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744E" w14:textId="01D8F447" w:rsidR="0080547C" w:rsidRPr="0080547C" w:rsidRDefault="0080547C" w:rsidP="0080547C">
      <w:pPr>
        <w:pStyle w:val="Nzev"/>
        <w:rPr>
          <w:rStyle w:val="Nadpis1Char"/>
          <w:color w:val="auto"/>
          <w:sz w:val="56"/>
          <w:szCs w:val="56"/>
        </w:rPr>
      </w:pPr>
      <w:r w:rsidRPr="0080547C">
        <w:rPr>
          <w:rStyle w:val="Nadpis1Char"/>
          <w:color w:val="auto"/>
          <w:sz w:val="56"/>
          <w:szCs w:val="56"/>
        </w:rPr>
        <w:t>Náhrady očních tkání</w:t>
      </w:r>
    </w:p>
    <w:p w14:paraId="6E2ED7C8" w14:textId="2304663C" w:rsidR="00E56D93" w:rsidRDefault="00E56D93" w:rsidP="0080547C">
      <w:pPr>
        <w:pStyle w:val="Nadpis1"/>
      </w:pPr>
      <w:r w:rsidRPr="0080547C">
        <w:rPr>
          <w:rStyle w:val="Nadpis1Char"/>
        </w:rPr>
        <w:t>Náhrady rohovky: keratoplastika, perforující</w:t>
      </w:r>
      <w:r>
        <w:t>, lamelární, endotelová</w:t>
      </w:r>
    </w:p>
    <w:p w14:paraId="7AD2DA05" w14:textId="134270AF" w:rsidR="0080547C" w:rsidRDefault="0080547C" w:rsidP="0080547C">
      <w:r>
        <w:t xml:space="preserve">Nejstarší úspěšně provedená transplantace </w:t>
      </w:r>
      <w:r w:rsidR="008A026A">
        <w:t>u člověka</w:t>
      </w:r>
      <w:r>
        <w:t xml:space="preserve">: </w:t>
      </w:r>
    </w:p>
    <w:p w14:paraId="3D42F31A" w14:textId="490D1608" w:rsidR="0080547C" w:rsidRPr="0080547C" w:rsidRDefault="0080547C" w:rsidP="0080547C">
      <w:r w:rsidRPr="0080547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R. </w:t>
      </w:r>
      <w:proofErr w:type="spellStart"/>
      <w:r w:rsidRPr="0080547C">
        <w:rPr>
          <w:rFonts w:ascii="Arial" w:hAnsi="Arial" w:cs="Arial"/>
          <w:color w:val="202122"/>
          <w:sz w:val="21"/>
          <w:szCs w:val="21"/>
          <w:shd w:val="clear" w:color="auto" w:fill="FFFFFF"/>
        </w:rPr>
        <w:t>Kissam</w:t>
      </w:r>
      <w:proofErr w:type="spellEnd"/>
      <w:r w:rsidRPr="0080547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provedl první perforační keratoplastiku na lidech v roce 1843. </w:t>
      </w:r>
      <w:hyperlink r:id="rId6" w:tooltip="Arthur von Hippel (Ophthalmologe)" w:history="1">
        <w:r w:rsidRPr="0080547C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 xml:space="preserve">Arthur von </w:t>
        </w:r>
        <w:proofErr w:type="spellStart"/>
        <w:r w:rsidRPr="0080547C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Hippel</w:t>
        </w:r>
        <w:proofErr w:type="spellEnd"/>
      </w:hyperlink>
      <w:r w:rsidRPr="0080547C">
        <w:rPr>
          <w:rFonts w:ascii="Arial" w:hAnsi="Arial" w:cs="Arial"/>
          <w:color w:val="202122"/>
          <w:sz w:val="21"/>
          <w:szCs w:val="21"/>
          <w:shd w:val="clear" w:color="auto" w:fill="FFFFFF"/>
        </w:rPr>
        <w:t> pak provedl lamelární a perforující keratoplastiky pomocí trepanu, jehož výsledky představil oftalmologické společnosti v Heidelbergu v roce 1886. První perforační keratoplastiku se střednědobým čirým štěpem (více než rok po operaci) provedl v roce 1905 vídeňský oftalmolog </w:t>
      </w:r>
      <w:hyperlink r:id="rId7" w:history="1">
        <w:r w:rsidRPr="0080547C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 xml:space="preserve">Eduard </w:t>
        </w:r>
        <w:proofErr w:type="spellStart"/>
        <w:r w:rsidRPr="0080547C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Zirm</w:t>
        </w:r>
        <w:proofErr w:type="spellEnd"/>
      </w:hyperlink>
      <w:r w:rsidRPr="0080547C">
        <w:rPr>
          <w:rFonts w:ascii="Arial" w:hAnsi="Arial" w:cs="Arial"/>
          <w:color w:val="202122"/>
          <w:sz w:val="21"/>
          <w:szCs w:val="21"/>
          <w:shd w:val="clear" w:color="auto" w:fill="FFFFFF"/>
        </w:rPr>
        <w:t> v </w:t>
      </w:r>
      <w:hyperlink r:id="rId8" w:tooltip="Olmütz" w:history="1">
        <w:r w:rsidRPr="0080547C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Olomouci.</w:t>
        </w:r>
      </w:hyperlink>
    </w:p>
    <w:p w14:paraId="1618FA89" w14:textId="77777777" w:rsidR="00584228" w:rsidRDefault="004B15B4" w:rsidP="00AB1357">
      <w:r>
        <w:rPr>
          <w:noProof/>
        </w:rPr>
        <w:drawing>
          <wp:inline distT="0" distB="0" distL="0" distR="0" wp14:anchorId="160A5BE4" wp14:editId="2673FCD1">
            <wp:extent cx="2724150" cy="2041080"/>
            <wp:effectExtent l="0" t="0" r="0" b="0"/>
            <wp:docPr id="26" name="obrázek 2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47" cy="20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A65D" w14:textId="57627DE6" w:rsidR="007B3C39" w:rsidRDefault="007B3C39" w:rsidP="00AB1357">
      <w:r>
        <w:t>Oko po perforující transplantaci rohovky s pokračujícím stehem</w:t>
      </w:r>
    </w:p>
    <w:p w14:paraId="57501C61" w14:textId="1B224EF9" w:rsidR="00E56D93" w:rsidRDefault="00E56D93" w:rsidP="00AB1357">
      <w:proofErr w:type="spellStart"/>
      <w:r w:rsidRPr="007B3C39">
        <w:rPr>
          <w:rStyle w:val="Nadpis1Char"/>
        </w:rPr>
        <w:t>Keratoprotézy</w:t>
      </w:r>
      <w:proofErr w:type="spellEnd"/>
      <w:r w:rsidRPr="007B3C39">
        <w:rPr>
          <w:rStyle w:val="Nadpis1Char"/>
        </w:rPr>
        <w:t>:</w:t>
      </w:r>
      <w:r>
        <w:t xml:space="preserve"> </w:t>
      </w:r>
      <w:r w:rsidR="007B3C39">
        <w:t xml:space="preserve">u </w:t>
      </w:r>
      <w:proofErr w:type="spellStart"/>
      <w:r w:rsidR="007B3C39">
        <w:t>vaskulirizovaných</w:t>
      </w:r>
      <w:proofErr w:type="spellEnd"/>
      <w:r w:rsidR="007B3C39">
        <w:t xml:space="preserve"> zkalených rohovek například po poleptání je naděje přihojení a zachování průhlednosti rohovky malá. Zde se používají umělé náhrady. </w:t>
      </w:r>
    </w:p>
    <w:p w14:paraId="375DA170" w14:textId="77777777" w:rsidR="00E56D93" w:rsidRDefault="00E56D93" w:rsidP="00AB1357">
      <w:r>
        <w:t xml:space="preserve">Typ Boston: </w:t>
      </w:r>
    </w:p>
    <w:p w14:paraId="1E070441" w14:textId="77777777" w:rsidR="00E56D93" w:rsidRDefault="00E56D93" w:rsidP="00AB1357">
      <w:r>
        <w:rPr>
          <w:noProof/>
        </w:rPr>
        <w:drawing>
          <wp:inline distT="0" distB="0" distL="0" distR="0" wp14:anchorId="4AB6A03D" wp14:editId="5B2E147B">
            <wp:extent cx="1998133" cy="1498600"/>
            <wp:effectExtent l="0" t="0" r="2540" b="6350"/>
            <wp:docPr id="19" name="obrázek 19" descr="https://upload.wikimedia.org/wikipedia/commons/thumb/f/f8/Boston_Kpro_type_1_Titanium_posterior_plate.JPG/1280px-Boston_Kpro_type_1_Titanium_posterior_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f/f8/Boston_Kpro_type_1_Titanium_posterior_plate.JPG/1280px-Boston_Kpro_type_1_Titanium_posterior_pl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73" cy="15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5B4" w:rsidRPr="004B15B4">
        <w:rPr>
          <w:noProof/>
        </w:rPr>
        <w:t xml:space="preserve"> </w:t>
      </w:r>
      <w:r w:rsidR="004B15B4">
        <w:rPr>
          <w:noProof/>
        </w:rPr>
        <w:drawing>
          <wp:inline distT="0" distB="0" distL="0" distR="0" wp14:anchorId="11D4A819" wp14:editId="264192C3">
            <wp:extent cx="1993900" cy="1491953"/>
            <wp:effectExtent l="0" t="0" r="6350" b="0"/>
            <wp:docPr id="25" name="obrázek 2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97" cy="15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FCBA" w14:textId="7B5D4BD7" w:rsidR="007B3C39" w:rsidRDefault="007B3C39" w:rsidP="00E56D93">
      <w:pPr>
        <w:spacing w:before="104" w:after="104" w:line="334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Protéza se přišije do kapsy rozštěpené části periferie rohovky tak, že je protéza </w:t>
      </w:r>
      <w:r w:rsidR="008A026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vpojená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do stromatu rohovky (trvá několik měsíců). Po vyhojení se pak vloží do centra transparentní kužel na vidění.</w:t>
      </w:r>
    </w:p>
    <w:p w14:paraId="0E3AFECB" w14:textId="18919D9A" w:rsidR="00E56D93" w:rsidRPr="00E56D93" w:rsidRDefault="007B3C39" w:rsidP="00E56D93">
      <w:pPr>
        <w:spacing w:before="104" w:after="104" w:line="334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Indikace</w:t>
      </w:r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 </w:t>
      </w:r>
    </w:p>
    <w:p w14:paraId="084D68AC" w14:textId="374AB53B"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Kerato</w:t>
      </w:r>
      <w:r w:rsidR="007B3C3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</w:t>
      </w:r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onus</w:t>
      </w:r>
      <w:proofErr w:type="spellEnd"/>
    </w:p>
    <w:p w14:paraId="1CB5476F" w14:textId="03469323" w:rsidR="00E56D93" w:rsidRPr="00E56D93" w:rsidRDefault="007B3C39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Rohovkové </w:t>
      </w:r>
      <w:proofErr w:type="spellStart"/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Dystrophies</w:t>
      </w:r>
      <w:proofErr w:type="spellEnd"/>
    </w:p>
    <w:p w14:paraId="71822298" w14:textId="1DF54457" w:rsidR="00E56D93" w:rsidRPr="00E56D93" w:rsidRDefault="007B3C39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Rohovkové jizvy</w:t>
      </w:r>
    </w:p>
    <w:p w14:paraId="2876270B" w14:textId="072B37ED" w:rsidR="00E56D93" w:rsidRPr="00E56D93" w:rsidRDefault="007B3C39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Rohovkový edém</w:t>
      </w:r>
    </w:p>
    <w:p w14:paraId="57C4945B" w14:textId="7A548E92" w:rsidR="00E56D93" w:rsidRPr="00E56D93" w:rsidRDefault="007B3C39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lastRenderedPageBreak/>
        <w:t xml:space="preserve">Insuficience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limbálních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kmenových buněk</w:t>
      </w:r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též u</w:t>
      </w:r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Aniridi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</w:t>
      </w:r>
      <w:proofErr w:type="spellEnd"/>
      <w:r w:rsidR="00E56D93"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14:paraId="2B7C4C37" w14:textId="2C9B09ED" w:rsidR="00E56D93" w:rsidRPr="00E56D93" w:rsidRDefault="007B3C39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Selhání předchozí transplantace </w:t>
      </w:r>
    </w:p>
    <w:p w14:paraId="3C98752E" w14:textId="77777777" w:rsidR="007B3C39" w:rsidRDefault="007B3C39" w:rsidP="00AB1357"/>
    <w:p w14:paraId="2B6FC4F4" w14:textId="47344DC6" w:rsidR="00E56D93" w:rsidRDefault="008A026A" w:rsidP="00AB1357">
      <w:hyperlink r:id="rId12" w:history="1">
        <w:r w:rsidR="000C7267" w:rsidRPr="003E7F9F">
          <w:rPr>
            <w:rStyle w:val="Hypertextovodkaz"/>
          </w:rPr>
          <w:t>https://youtu.be/6DfugbHQmmQ</w:t>
        </w:r>
      </w:hyperlink>
    </w:p>
    <w:p w14:paraId="79E37EB5" w14:textId="7FF278A3" w:rsidR="000C7267" w:rsidRDefault="000C7267" w:rsidP="00AB1357">
      <w:proofErr w:type="spellStart"/>
      <w:r>
        <w:t>Osteo</w:t>
      </w:r>
      <w:proofErr w:type="spellEnd"/>
      <w:r>
        <w:t xml:space="preserve"> </w:t>
      </w:r>
      <w:proofErr w:type="spellStart"/>
      <w:r>
        <w:t>odonto</w:t>
      </w:r>
      <w:proofErr w:type="spellEnd"/>
      <w:r>
        <w:t xml:space="preserve"> </w:t>
      </w:r>
      <w:proofErr w:type="spellStart"/>
      <w:r>
        <w:t>keratoprothesis</w:t>
      </w:r>
      <w:proofErr w:type="spellEnd"/>
      <w:r w:rsidR="007B3C39">
        <w:t xml:space="preserve">: pro lepší přihojení protézy se používá jako nosič kost či chrupavka, které vytvoří základ </w:t>
      </w:r>
    </w:p>
    <w:p w14:paraId="140AF0AA" w14:textId="735E1708" w:rsidR="00715268" w:rsidRDefault="00715268" w:rsidP="00715268">
      <w:pPr>
        <w:pStyle w:val="Nadpis2"/>
      </w:pPr>
      <w:r>
        <w:t>Náhrady endotelu: umělá vrstva endotelu firmy EyeYon-EndoArt®</w:t>
      </w:r>
    </w:p>
    <w:p w14:paraId="4A0BDAE5" w14:textId="47BC242F" w:rsidR="00715268" w:rsidRDefault="00715268" w:rsidP="00715268">
      <w:pPr>
        <w:numPr>
          <w:ilvl w:val="0"/>
          <w:numId w:val="4"/>
        </w:numPr>
        <w:spacing w:after="0" w:line="240" w:lineRule="auto"/>
        <w:ind w:left="495"/>
        <w:textAlignment w:val="baseline"/>
      </w:pPr>
      <w:r>
        <w:rPr>
          <w:rFonts w:ascii="Arial" w:eastAsia="Times New Roman" w:hAnsi="Arial" w:cs="Arial"/>
          <w:color w:val="252525"/>
          <w:sz w:val="26"/>
          <w:szCs w:val="26"/>
          <w:lang w:eastAsia="cs-CZ"/>
        </w:rPr>
        <w:t xml:space="preserve">Implantuje se stejně jak homogenní vrstva endotelu do přední komory přes malý </w:t>
      </w:r>
      <w:proofErr w:type="spellStart"/>
      <w:r>
        <w:rPr>
          <w:rFonts w:ascii="Arial" w:eastAsia="Times New Roman" w:hAnsi="Arial" w:cs="Arial"/>
          <w:color w:val="252525"/>
          <w:sz w:val="26"/>
          <w:szCs w:val="26"/>
          <w:lang w:eastAsia="cs-CZ"/>
        </w:rPr>
        <w:t>sunelový</w:t>
      </w:r>
      <w:proofErr w:type="spellEnd"/>
      <w:r>
        <w:rPr>
          <w:rFonts w:ascii="Arial" w:eastAsia="Times New Roman" w:hAnsi="Arial" w:cs="Arial"/>
          <w:color w:val="252525"/>
          <w:sz w:val="26"/>
          <w:szCs w:val="26"/>
          <w:lang w:eastAsia="cs-CZ"/>
        </w:rPr>
        <w:t xml:space="preserve"> řez, stabilizuje se vzduchovou bublinou. </w:t>
      </w:r>
    </w:p>
    <w:p w14:paraId="2780DD31" w14:textId="77777777" w:rsidR="00AB1357" w:rsidRDefault="00AB1357" w:rsidP="007B3C39">
      <w:pPr>
        <w:pStyle w:val="Nadpis1"/>
      </w:pPr>
      <w:r>
        <w:t>Náhrady čočky</w:t>
      </w:r>
    </w:p>
    <w:p w14:paraId="15B268F6" w14:textId="6FD98A17" w:rsidR="00AB1357" w:rsidRDefault="00AB1357" w:rsidP="00AB1357">
      <w:pPr>
        <w:ind w:left="708"/>
      </w:pPr>
      <w:r>
        <w:t>Nitrooční čočky, monofokální, asférické, multifokální, bifokální, akomodující, refrakční -</w:t>
      </w:r>
      <w:proofErr w:type="spellStart"/>
      <w:r>
        <w:t>fakické</w:t>
      </w:r>
      <w:proofErr w:type="spellEnd"/>
      <w:r>
        <w:t xml:space="preserve">, </w:t>
      </w:r>
      <w:proofErr w:type="spellStart"/>
      <w:r>
        <w:t>Intraokular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, zvětšující systémy- </w:t>
      </w:r>
      <w:proofErr w:type="spellStart"/>
      <w:r>
        <w:t>artefakický</w:t>
      </w:r>
      <w:proofErr w:type="spellEnd"/>
      <w:r>
        <w:t xml:space="preserve"> dalekohled, kombinace rozptylné nitrooční čočky a spojných brýlí</w:t>
      </w:r>
      <w:r w:rsidR="006766AD">
        <w:t>. Na obrázcích jsou různé tvary IOL a opěrné části, včetně diskové WIOL</w:t>
      </w:r>
    </w:p>
    <w:p w14:paraId="787155C5" w14:textId="77777777" w:rsidR="00F953BB" w:rsidRDefault="00F953BB" w:rsidP="00AB1357">
      <w:pPr>
        <w:ind w:left="708"/>
        <w:rPr>
          <w:noProof/>
        </w:rPr>
      </w:pPr>
      <w:r>
        <w:rPr>
          <w:noProof/>
        </w:rPr>
        <w:drawing>
          <wp:inline distT="0" distB="0" distL="0" distR="0" wp14:anchorId="3CA807D9" wp14:editId="1541F4D7">
            <wp:extent cx="2344988" cy="1555750"/>
            <wp:effectExtent l="0" t="0" r="0" b="635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6" cy="15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5A89E4" wp14:editId="1268A2A2">
            <wp:extent cx="1708150" cy="1276350"/>
            <wp:effectExtent l="0" t="0" r="6350" b="0"/>
            <wp:docPr id="10" name="obrázek 10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4D72" w14:textId="77777777" w:rsidR="00F953BB" w:rsidRDefault="00F953BB" w:rsidP="00AB1357">
      <w:pPr>
        <w:ind w:left="708"/>
      </w:pPr>
      <w:r>
        <w:rPr>
          <w:noProof/>
        </w:rPr>
        <w:drawing>
          <wp:inline distT="0" distB="0" distL="0" distR="0" wp14:anchorId="5333DA2C" wp14:editId="0745A21B">
            <wp:extent cx="1555750" cy="2073415"/>
            <wp:effectExtent l="0" t="0" r="6350" b="3175"/>
            <wp:docPr id="12" name="obrázek 1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28" cy="20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688A4D" wp14:editId="668E710E">
            <wp:extent cx="2457450" cy="1600200"/>
            <wp:effectExtent l="0" t="0" r="0" b="0"/>
            <wp:docPr id="14" name="obrázek 1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D106" w14:textId="77777777" w:rsidR="00AB1357" w:rsidRDefault="00AB1357"/>
    <w:p w14:paraId="3520AACE" w14:textId="77777777" w:rsidR="00584228" w:rsidRDefault="00584228">
      <w:r>
        <w:t xml:space="preserve">WIOL EDOF </w:t>
      </w:r>
      <w:r w:rsidR="004B15B4">
        <w:t>(</w:t>
      </w:r>
      <w:proofErr w:type="spellStart"/>
      <w:r w:rsidR="004B15B4">
        <w:t>Medicem</w:t>
      </w:r>
      <w:proofErr w:type="spellEnd"/>
      <w:r w:rsidR="004B15B4">
        <w:t>)</w:t>
      </w:r>
    </w:p>
    <w:p w14:paraId="33B72A7A" w14:textId="5A9BE01E" w:rsidR="006766AD" w:rsidRDefault="006766AD" w:rsidP="006766AD"/>
    <w:p w14:paraId="3FDC1967" w14:textId="5C513DA8" w:rsidR="006766AD" w:rsidRDefault="006766AD" w:rsidP="006766AD">
      <w:r w:rsidRPr="006766AD">
        <w:t xml:space="preserve"> </w:t>
      </w:r>
      <w:r>
        <w:t>Implantáty: náhrady duhovky- kontaktní čočka, nitrooční implantáty, duhovkový implantát + IOL</w:t>
      </w:r>
    </w:p>
    <w:p w14:paraId="41456E03" w14:textId="79C75C88" w:rsidR="00584228" w:rsidRDefault="00584228"/>
    <w:p w14:paraId="5822E9C9" w14:textId="77777777" w:rsidR="006766AD" w:rsidRDefault="006766AD"/>
    <w:p w14:paraId="1F9A4661" w14:textId="717DD45B" w:rsidR="00AB1357" w:rsidRDefault="00AB1357" w:rsidP="006766AD">
      <w:pPr>
        <w:pStyle w:val="Nadpis1"/>
      </w:pPr>
      <w:r>
        <w:t>Glaukomové implantáty: i-stent</w:t>
      </w:r>
    </w:p>
    <w:p w14:paraId="03488A31" w14:textId="041BF9AB" w:rsidR="006766AD" w:rsidRPr="006766AD" w:rsidRDefault="006766AD" w:rsidP="006766AD">
      <w:r>
        <w:t>Zavádí se do komorového úhlu</w:t>
      </w:r>
    </w:p>
    <w:p w14:paraId="7C8AB02E" w14:textId="77777777" w:rsidR="00AB1357" w:rsidRDefault="00AB1357" w:rsidP="00AB1357">
      <w:pPr>
        <w:ind w:left="708"/>
      </w:pPr>
      <w:r>
        <w:rPr>
          <w:noProof/>
        </w:rPr>
        <w:drawing>
          <wp:inline distT="0" distB="0" distL="0" distR="0" wp14:anchorId="285D9080" wp14:editId="287D3FCD">
            <wp:extent cx="2686050" cy="1676400"/>
            <wp:effectExtent l="0" t="0" r="0" b="0"/>
            <wp:docPr id="2" name="obrázek 2" descr="Nalezený obrázek pro is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ezený obrázek pro ist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3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056DA1" wp14:editId="334BACFE">
            <wp:extent cx="2278380" cy="1821253"/>
            <wp:effectExtent l="0" t="0" r="7620" b="7620"/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4410" cy="18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D6B5" w14:textId="04E8620E" w:rsidR="00AB1357" w:rsidRDefault="00AB1357">
      <w:pPr>
        <w:rPr>
          <w:noProof/>
        </w:rPr>
      </w:pPr>
      <w:r>
        <w:rPr>
          <w:noProof/>
        </w:rPr>
        <w:t>Molteno implantát</w:t>
      </w:r>
      <w:r w:rsidR="006766AD">
        <w:rPr>
          <w:noProof/>
        </w:rPr>
        <w:t xml:space="preserve"> má navíc i konteiner</w:t>
      </w:r>
    </w:p>
    <w:p w14:paraId="625AE3A6" w14:textId="77777777" w:rsidR="00AB1357" w:rsidRDefault="00AB1357">
      <w:r>
        <w:rPr>
          <w:noProof/>
        </w:rPr>
        <w:drawing>
          <wp:inline distT="0" distB="0" distL="0" distR="0" wp14:anchorId="793852DA" wp14:editId="00CF7973">
            <wp:extent cx="2152650" cy="2120900"/>
            <wp:effectExtent l="0" t="0" r="0" b="0"/>
            <wp:docPr id="5" name="obrázek 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47EC" w14:textId="28FA33D3" w:rsidR="00AB1357" w:rsidRDefault="00AB1357">
      <w:proofErr w:type="spellStart"/>
      <w:r>
        <w:t>Ahmedův</w:t>
      </w:r>
      <w:proofErr w:type="spellEnd"/>
      <w:r>
        <w:t xml:space="preserve"> implantát</w:t>
      </w:r>
      <w:r w:rsidR="006766AD">
        <w:t xml:space="preserve"> podobná konstrukce</w:t>
      </w:r>
    </w:p>
    <w:p w14:paraId="44C002CC" w14:textId="77777777" w:rsidR="00AB1357" w:rsidRDefault="00AB1357">
      <w:r>
        <w:rPr>
          <w:noProof/>
        </w:rPr>
        <w:drawing>
          <wp:inline distT="0" distB="0" distL="0" distR="0" wp14:anchorId="3272D4D2" wp14:editId="7A5B3DED">
            <wp:extent cx="2387600" cy="2219584"/>
            <wp:effectExtent l="0" t="0" r="0" b="9525"/>
            <wp:docPr id="7" name="obrázek 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54" cy="2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32B0" w14:textId="77777777" w:rsidR="00AB1357" w:rsidRDefault="00AB1357"/>
    <w:p w14:paraId="27FD56F7" w14:textId="77777777" w:rsidR="00AB1357" w:rsidRDefault="00AB1357"/>
    <w:p w14:paraId="3CFE1114" w14:textId="77777777" w:rsidR="00AB1357" w:rsidRDefault="00F953BB">
      <w:r>
        <w:rPr>
          <w:noProof/>
        </w:rPr>
        <w:lastRenderedPageBreak/>
        <w:drawing>
          <wp:inline distT="0" distB="0" distL="0" distR="0" wp14:anchorId="196396F0" wp14:editId="1CA22B5D">
            <wp:extent cx="2628900" cy="1873250"/>
            <wp:effectExtent l="0" t="0" r="0" b="0"/>
            <wp:docPr id="16" name="obrázek 16" descr="Nalezený obrázek pro nitrooční č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lezený obrázek pro nitrooční čoč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13D0" w14:textId="77777777" w:rsidR="00F953BB" w:rsidRDefault="00F953BB" w:rsidP="00F953BB">
      <w:r>
        <w:t xml:space="preserve">Historie náhrady duhovky implantátem při částečném defektu duhovky nebo při </w:t>
      </w:r>
      <w:proofErr w:type="spellStart"/>
      <w:r>
        <w:t>aniridii</w:t>
      </w:r>
      <w:proofErr w:type="spellEnd"/>
      <w:r>
        <w:t xml:space="preserve"> začíná v 80-tých letech 20. století. Vývoj začal tvrdými </w:t>
      </w:r>
      <w:proofErr w:type="spellStart"/>
      <w:r>
        <w:t>stenopeickými</w:t>
      </w:r>
      <w:proofErr w:type="spellEnd"/>
      <w:r>
        <w:t xml:space="preserve"> umělými nitroočními čočkami, segmenty nebo </w:t>
      </w:r>
      <w:proofErr w:type="spellStart"/>
      <w:r>
        <w:t>stenopeickými</w:t>
      </w:r>
      <w:proofErr w:type="spellEnd"/>
      <w:r>
        <w:t xml:space="preserve"> </w:t>
      </w:r>
      <w:proofErr w:type="spellStart"/>
      <w:r>
        <w:t>intrakapsulárními</w:t>
      </w:r>
      <w:proofErr w:type="spellEnd"/>
      <w:r>
        <w:t xml:space="preserve"> kroužky a pokračoval až po současné měkké membrány ze silikonu nebo akrylátu určené pro implantaci malým řezem. Doc. Jan Novák v Pardubicích zavedl v České republice použití </w:t>
      </w:r>
      <w:proofErr w:type="spellStart"/>
      <w:r>
        <w:t>intrakapsulární</w:t>
      </w:r>
      <w:proofErr w:type="spellEnd"/>
      <w:r>
        <w:t xml:space="preserve"> </w:t>
      </w:r>
      <w:proofErr w:type="spellStart"/>
      <w:r>
        <w:t>stenopeické</w:t>
      </w:r>
      <w:proofErr w:type="spellEnd"/>
      <w:r>
        <w:t xml:space="preserve"> černé silikonové membrány, kterou vyráběla firma ELLA-CS s.r.o., avšak výroba byla ukončena. </w:t>
      </w:r>
    </w:p>
    <w:p w14:paraId="711F13D0" w14:textId="77777777" w:rsidR="00F953BB" w:rsidRDefault="00F953BB" w:rsidP="00F953BB">
      <w:r>
        <w:t xml:space="preserve">Nově zavedla výrobu měkkých hydrogelových duhovkových implantátů firma </w:t>
      </w:r>
      <w:proofErr w:type="spellStart"/>
      <w:r>
        <w:t>Wilens</w:t>
      </w:r>
      <w:proofErr w:type="spellEnd"/>
      <w:r>
        <w:t xml:space="preserve"> s.r.o. s využitím materiálu pro nitrooční čočky. Implantáty jsou </w:t>
      </w:r>
      <w:proofErr w:type="spellStart"/>
      <w:r>
        <w:t>stenopeické</w:t>
      </w:r>
      <w:proofErr w:type="spellEnd"/>
      <w:r>
        <w:t xml:space="preserve"> konkávní membrány průměru 9 mm se zornicovým otvorem 3 až 5 mm. To je optimální velikost pro snadnou implantaci do pouzdra, přijatelné </w:t>
      </w:r>
      <w:proofErr w:type="spellStart"/>
      <w:r>
        <w:t>mesopické</w:t>
      </w:r>
      <w:proofErr w:type="spellEnd"/>
      <w:r>
        <w:t xml:space="preserve"> vidění i vyšetření očního pozadí včetně případného provedení pozdější operace PPV bez nutnosti explantace membrány.  Umělou duhovku lze aplikovat 1,5 mm řezem a díky prohnutému tvaru implantátu se pod ním snadnou centruje nitrooční čočka.                                                          </w:t>
      </w:r>
    </w:p>
    <w:p w14:paraId="16736608" w14:textId="55E00424" w:rsidR="00F953BB" w:rsidRDefault="00F953BB" w:rsidP="00F953BB">
      <w:r>
        <w:t xml:space="preserve">                    </w:t>
      </w:r>
    </w:p>
    <w:p w14:paraId="610FD49C" w14:textId="28F1C52D" w:rsidR="006766AD" w:rsidRDefault="00F953BB" w:rsidP="007152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t xml:space="preserve">  </w:t>
      </w:r>
    </w:p>
    <w:p w14:paraId="5C9DAB8B" w14:textId="08946359" w:rsidR="00F953BB" w:rsidRDefault="00F953BB" w:rsidP="006766AD">
      <w:r>
        <w:t xml:space="preserve">                                           </w:t>
      </w:r>
    </w:p>
    <w:p w14:paraId="27CACFE2" w14:textId="79FB8FC4" w:rsidR="00F953BB" w:rsidRDefault="00F953BB" w:rsidP="00F953BB">
      <w:r>
        <w:t xml:space="preserve"> </w:t>
      </w:r>
      <w:r w:rsidR="006766AD">
        <w:rPr>
          <w:noProof/>
        </w:rPr>
        <w:drawing>
          <wp:inline distT="0" distB="0" distL="0" distR="0" wp14:anchorId="42C757F3" wp14:editId="7485E7F4">
            <wp:extent cx="1333500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E985" w14:textId="77777777" w:rsidR="00F953BB" w:rsidRDefault="00F953BB" w:rsidP="00F953BB">
      <w:r>
        <w:t xml:space="preserve">Hydrogelový duhovkový implantát je vyráběn jako individuálně zhotovovaný zdravotní prostředek za respektování normy pro výrobu zdravotnických prostředků EN ISO 13485. V tomto případě není třeba CE značka, při objednávání je nutná identifikace pacienta i lékaře.  </w:t>
      </w:r>
    </w:p>
    <w:p w14:paraId="542C53AE" w14:textId="77777777" w:rsidR="00F953BB" w:rsidRDefault="00F953BB" w:rsidP="00F953BB">
      <w:r>
        <w:t xml:space="preserve"> </w:t>
      </w:r>
    </w:p>
    <w:p w14:paraId="4393152D" w14:textId="77777777" w:rsidR="00AB1357" w:rsidRDefault="00F953BB" w:rsidP="00F953BB">
      <w:r>
        <w:t xml:space="preserve">Implantáty se dodávají zabalené ve dvojitém sterilním obalu. U oboustranné </w:t>
      </w:r>
      <w:proofErr w:type="spellStart"/>
      <w:r>
        <w:t>aniridie</w:t>
      </w:r>
      <w:proofErr w:type="spellEnd"/>
      <w:r>
        <w:t xml:space="preserve"> si lze barvu implantátu vybrat ze standardní barevné škály, při jednostranném defektu se barevný implantát zhotovuje podle fotografie zdravého oka.</w:t>
      </w:r>
    </w:p>
    <w:p w14:paraId="2ECD3316" w14:textId="78ADCC1E" w:rsidR="0080547C" w:rsidRDefault="00AB1357" w:rsidP="0080547C">
      <w:pPr>
        <w:pStyle w:val="Nzev"/>
      </w:pPr>
      <w:r>
        <w:t xml:space="preserve"> </w:t>
      </w:r>
      <w:r w:rsidR="00D3739E">
        <w:t xml:space="preserve">Individuální akrylátová oční </w:t>
      </w:r>
      <w:r w:rsidR="00715268">
        <w:t>protéza</w:t>
      </w:r>
    </w:p>
    <w:p w14:paraId="6AD19B8A" w14:textId="0E0BC07C" w:rsidR="0080547C" w:rsidRDefault="00D3739E" w:rsidP="0080547C">
      <w:pPr>
        <w:pStyle w:val="Nzev"/>
      </w:pPr>
      <w:r>
        <w:rPr>
          <w:noProof/>
        </w:rPr>
        <w:lastRenderedPageBreak/>
        <w:drawing>
          <wp:inline distT="0" distB="0" distL="0" distR="0" wp14:anchorId="73E3FBA2" wp14:editId="0C396499">
            <wp:extent cx="2374900" cy="1578376"/>
            <wp:effectExtent l="0" t="0" r="6350" b="3175"/>
            <wp:docPr id="18" name="obrázek 1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41" cy="158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523D" w14:textId="03C0FAFC" w:rsidR="0080547C" w:rsidRDefault="00D3739E" w:rsidP="00D3739E">
      <w:r>
        <w:t>Vytváří se podle hloubky spojivkového vaku, a barvy duhovky zdravého oka</w:t>
      </w:r>
    </w:p>
    <w:p w14:paraId="0B3F3642" w14:textId="77777777" w:rsidR="0080547C" w:rsidRDefault="0080547C" w:rsidP="0080547C">
      <w:pPr>
        <w:pStyle w:val="Nzev"/>
      </w:pPr>
    </w:p>
    <w:p w14:paraId="14ACE6CB" w14:textId="77777777" w:rsidR="0080547C" w:rsidRDefault="0080547C" w:rsidP="0080547C">
      <w:pPr>
        <w:pStyle w:val="Nzev"/>
      </w:pPr>
    </w:p>
    <w:p w14:paraId="7CA02674" w14:textId="13112B0A" w:rsidR="00E714B3" w:rsidRDefault="0080547C" w:rsidP="0080547C">
      <w:pPr>
        <w:pStyle w:val="Nzev"/>
      </w:pPr>
      <w:r>
        <w:t xml:space="preserve">Oční </w:t>
      </w:r>
      <w:r w:rsidR="00AB1357">
        <w:t>choroby z</w:t>
      </w:r>
      <w:r w:rsidR="000C7267">
        <w:t> </w:t>
      </w:r>
      <w:r w:rsidR="00AB1357">
        <w:t>povolání</w:t>
      </w:r>
    </w:p>
    <w:p w14:paraId="26F01871" w14:textId="77777777" w:rsidR="000C7267" w:rsidRDefault="000C7267"/>
    <w:p w14:paraId="63E67AE5" w14:textId="77777777" w:rsidR="000C7267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 xml:space="preserve">po </w:t>
      </w:r>
      <w:r w:rsidR="0047321A" w:rsidRPr="0080547C">
        <w:rPr>
          <w:rFonts w:ascii="Tahoma" w:hAnsi="Tahoma" w:cs="Tahoma"/>
          <w:b/>
          <w:bCs/>
          <w:color w:val="000000"/>
          <w:sz w:val="20"/>
          <w:szCs w:val="20"/>
        </w:rPr>
        <w:t>pracovním úrazu</w:t>
      </w: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 xml:space="preserve"> oka</w:t>
      </w:r>
    </w:p>
    <w:p w14:paraId="1C0586D9" w14:textId="77777777" w:rsidR="000C7267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chemické působení cizích těles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, zvl. </w:t>
      </w:r>
      <w:proofErr w:type="spellStart"/>
      <w:r w:rsidRPr="0080547C">
        <w:rPr>
          <w:rFonts w:ascii="Tahoma" w:hAnsi="Tahoma" w:cs="Tahoma"/>
          <w:color w:val="000000"/>
          <w:sz w:val="20"/>
          <w:szCs w:val="20"/>
        </w:rPr>
        <w:t>Fe</w:t>
      </w:r>
      <w:proofErr w:type="spellEnd"/>
      <w:r w:rsidRPr="0080547C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80547C"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 w:rsidR="0047321A" w:rsidRPr="0080547C">
        <w:rPr>
          <w:rFonts w:ascii="Tahoma" w:hAnsi="Tahoma" w:cs="Tahoma"/>
          <w:color w:val="000000"/>
          <w:sz w:val="20"/>
          <w:szCs w:val="20"/>
        </w:rPr>
        <w:t>, olovo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… </w:t>
      </w:r>
      <w:r w:rsidRPr="0080547C">
        <w:rPr>
          <w:rFonts w:ascii="Tahoma" w:hAnsi="Tahoma" w:cs="Tahoma"/>
          <w:color w:val="000000"/>
          <w:sz w:val="20"/>
          <w:szCs w:val="20"/>
        </w:rPr>
        <w:br/>
      </w:r>
    </w:p>
    <w:p w14:paraId="1B12FCA4" w14:textId="66AAFAD1" w:rsidR="000C7267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radiační katarakty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47321A" w:rsidRPr="0080547C">
        <w:rPr>
          <w:rFonts w:ascii="Tahoma" w:hAnsi="Tahoma" w:cs="Tahoma"/>
          <w:color w:val="000000"/>
          <w:sz w:val="20"/>
          <w:szCs w:val="20"/>
        </w:rPr>
        <w:t>z</w:t>
      </w:r>
      <w:r w:rsidRPr="0080547C">
        <w:rPr>
          <w:rFonts w:ascii="Tahoma" w:hAnsi="Tahoma" w:cs="Tahoma"/>
          <w:color w:val="000000"/>
          <w:sz w:val="20"/>
          <w:szCs w:val="20"/>
        </w:rPr>
        <w:t>působeny neutrony, gama zářením, RTG</w:t>
      </w:r>
      <w:r w:rsidR="0047321A" w:rsidRPr="0080547C">
        <w:rPr>
          <w:rFonts w:ascii="Tahoma" w:hAnsi="Tahoma" w:cs="Tahoma"/>
          <w:color w:val="000000"/>
          <w:sz w:val="20"/>
          <w:szCs w:val="20"/>
        </w:rPr>
        <w:t xml:space="preserve">, kobaltovými </w:t>
      </w:r>
      <w:r w:rsidR="0080547C" w:rsidRPr="0080547C">
        <w:rPr>
          <w:rFonts w:ascii="Tahoma" w:hAnsi="Tahoma" w:cs="Tahoma"/>
          <w:color w:val="000000"/>
          <w:sz w:val="20"/>
          <w:szCs w:val="20"/>
        </w:rPr>
        <w:t>a</w:t>
      </w:r>
      <w:r w:rsidR="0047321A" w:rsidRPr="0080547C">
        <w:rPr>
          <w:rFonts w:ascii="Tahoma" w:hAnsi="Tahoma" w:cs="Tahoma"/>
          <w:color w:val="000000"/>
          <w:sz w:val="20"/>
          <w:szCs w:val="20"/>
        </w:rPr>
        <w:t xml:space="preserve"> rutheniovými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0547C" w:rsidRPr="0080547C">
        <w:rPr>
          <w:rFonts w:ascii="Tahoma" w:hAnsi="Tahoma" w:cs="Tahoma"/>
          <w:color w:val="000000"/>
          <w:sz w:val="20"/>
          <w:szCs w:val="20"/>
        </w:rPr>
        <w:t>zářiči</w:t>
      </w:r>
      <w:r w:rsidRPr="0080547C">
        <w:rPr>
          <w:rFonts w:ascii="Tahoma" w:hAnsi="Tahoma" w:cs="Tahoma"/>
          <w:color w:val="000000"/>
          <w:sz w:val="20"/>
          <w:szCs w:val="20"/>
        </w:rPr>
        <w:br/>
      </w:r>
    </w:p>
    <w:p w14:paraId="4272CFD5" w14:textId="3A920A4E" w:rsidR="000C7267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cataracta</w:t>
      </w:r>
      <w:proofErr w:type="spellEnd"/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electrica</w:t>
      </w:r>
      <w:proofErr w:type="spellEnd"/>
      <w:r w:rsidRPr="0080547C">
        <w:rPr>
          <w:rFonts w:ascii="Tahoma" w:hAnsi="Tahoma" w:cs="Tahoma"/>
          <w:color w:val="000000"/>
          <w:sz w:val="20"/>
          <w:szCs w:val="20"/>
        </w:rPr>
        <w:t xml:space="preserve">: styk s elektrickým proudem o vysokém napětí, též po zásahu bleskem </w:t>
      </w:r>
      <w:r w:rsidRPr="0080547C">
        <w:rPr>
          <w:rFonts w:ascii="Tahoma" w:hAnsi="Tahoma" w:cs="Tahoma"/>
          <w:color w:val="000000"/>
          <w:sz w:val="20"/>
          <w:szCs w:val="20"/>
        </w:rPr>
        <w:br/>
      </w:r>
    </w:p>
    <w:p w14:paraId="499BF752" w14:textId="4603175D" w:rsidR="000C7267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 xml:space="preserve">sklářská </w:t>
      </w:r>
      <w:r w:rsidR="00715268">
        <w:rPr>
          <w:rFonts w:ascii="Tahoma" w:hAnsi="Tahoma" w:cs="Tahoma"/>
          <w:b/>
          <w:bCs/>
          <w:color w:val="000000"/>
          <w:sz w:val="20"/>
          <w:szCs w:val="20"/>
        </w:rPr>
        <w:t xml:space="preserve">(žárová) </w:t>
      </w: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katarakta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: tepelné záření z pecí, nemoc z povolání, dnes se již nevyskytuje, do filtrů a okének pecí přidány soli </w:t>
      </w:r>
      <w:proofErr w:type="spellStart"/>
      <w:r w:rsidRPr="0080547C">
        <w:rPr>
          <w:rFonts w:ascii="Tahoma" w:hAnsi="Tahoma" w:cs="Tahoma"/>
          <w:color w:val="000000"/>
          <w:sz w:val="20"/>
          <w:szCs w:val="20"/>
        </w:rPr>
        <w:t>Fe</w:t>
      </w:r>
      <w:proofErr w:type="spellEnd"/>
      <w:r w:rsidRPr="0080547C">
        <w:rPr>
          <w:rFonts w:ascii="Tahoma" w:hAnsi="Tahoma" w:cs="Tahoma"/>
          <w:color w:val="000000"/>
          <w:sz w:val="20"/>
          <w:szCs w:val="20"/>
        </w:rPr>
        <w:t>, pohlcuj</w:t>
      </w:r>
      <w:r w:rsidR="0080547C">
        <w:rPr>
          <w:rFonts w:ascii="Tahoma" w:hAnsi="Tahoma" w:cs="Tahoma"/>
          <w:color w:val="000000"/>
          <w:sz w:val="20"/>
          <w:szCs w:val="20"/>
        </w:rPr>
        <w:t>ící</w:t>
      </w:r>
      <w:r w:rsidRPr="0080547C">
        <w:rPr>
          <w:rFonts w:ascii="Tahoma" w:hAnsi="Tahoma" w:cs="Tahoma"/>
          <w:color w:val="000000"/>
          <w:sz w:val="20"/>
          <w:szCs w:val="20"/>
        </w:rPr>
        <w:t xml:space="preserve"> IR záření</w:t>
      </w:r>
    </w:p>
    <w:p w14:paraId="7F6BCF90" w14:textId="674620D2" w:rsidR="0047321A" w:rsidRPr="0080547C" w:rsidRDefault="000C7267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80547C">
        <w:rPr>
          <w:rFonts w:ascii="Tahoma" w:hAnsi="Tahoma" w:cs="Tahoma"/>
          <w:b/>
          <w:bCs/>
          <w:color w:val="000000"/>
          <w:sz w:val="20"/>
          <w:szCs w:val="20"/>
        </w:rPr>
        <w:t>účinkem laseru- koagulačního, pulsního</w:t>
      </w:r>
    </w:p>
    <w:p w14:paraId="0865FEA5" w14:textId="2BF6224D" w:rsidR="0080547C" w:rsidRPr="0080547C" w:rsidRDefault="0080547C" w:rsidP="0080547C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nystagmus uhlokopů. </w:t>
      </w:r>
      <w:r>
        <w:t>patří mezi profesionální onemocnění havířů. Vzniká ve špatně odvětrávaných uhelných dolech (jedná se o chronickou otravu uhelnými plyny, jako je např. metan, oxid uhličitý a uhelnatý). Je doprovázen i dalšími příznaky, jako jsou například bolesti hlavy a nespavost.</w:t>
      </w:r>
    </w:p>
    <w:p w14:paraId="6606D227" w14:textId="093461B0" w:rsidR="000C7267" w:rsidRPr="0047321A" w:rsidRDefault="000C7267" w:rsidP="0080547C">
      <w:pPr>
        <w:ind w:firstLine="60"/>
        <w:rPr>
          <w:rFonts w:ascii="Tahoma" w:hAnsi="Tahoma" w:cs="Tahoma"/>
          <w:color w:val="000000"/>
          <w:sz w:val="20"/>
          <w:szCs w:val="20"/>
        </w:rPr>
      </w:pPr>
    </w:p>
    <w:p w14:paraId="2EB91256" w14:textId="77777777" w:rsidR="000C7267" w:rsidRDefault="000C7267">
      <w:pPr>
        <w:rPr>
          <w:rFonts w:ascii="Tahoma" w:hAnsi="Tahoma" w:cs="Tahoma"/>
          <w:color w:val="000000"/>
          <w:sz w:val="20"/>
          <w:szCs w:val="20"/>
        </w:rPr>
      </w:pPr>
    </w:p>
    <w:p w14:paraId="0D0143DD" w14:textId="77777777" w:rsidR="00BF5BBF" w:rsidRDefault="00BF5BBF" w:rsidP="00BF5BBF">
      <w:pPr>
        <w:tabs>
          <w:tab w:val="left" w:pos="1215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t xml:space="preserve">Nařízení vlády ze 6. dubna 2011, kterým se mění a doplňuje nařízení vlády č. 290/1995 Sb. a kterým se stanovuje seznam nemocí z povolání, vymezuje následujíc oční choroby: </w:t>
      </w:r>
    </w:p>
    <w:p w14:paraId="049527DE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sz w:val="24"/>
          <w:szCs w:val="24"/>
        </w:rPr>
      </w:pPr>
    </w:p>
    <w:p w14:paraId="69271410" w14:textId="77777777" w:rsidR="00BF5BBF" w:rsidRDefault="00BF5BBF" w:rsidP="00BF5BBF">
      <w:pPr>
        <w:pStyle w:val="ColorfulList-Accent11"/>
        <w:numPr>
          <w:ilvl w:val="0"/>
          <w:numId w:val="2"/>
        </w:num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Nemoci z povolání způsobené fyzikálními faktory</w:t>
      </w:r>
    </w:p>
    <w:p w14:paraId="1B398E4B" w14:textId="4D607E86" w:rsidR="00BF5BBF" w:rsidRDefault="00BF5BBF" w:rsidP="00BF5BBF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Zá</w:t>
      </w:r>
      <w:r w:rsidR="00715268">
        <w:rPr>
          <w:b/>
        </w:rPr>
        <w:t xml:space="preserve">kal </w:t>
      </w:r>
      <w:r>
        <w:rPr>
          <w:b/>
        </w:rPr>
        <w:t>čočky způsobený tepelným zářením -</w:t>
      </w:r>
      <w:r>
        <w:t xml:space="preserve"> nemoc vzniká při práci, při níž je prokázaná taková expozice tepelného záření, která je podle skutečných lékařských poznatků příčinou nemoci.</w:t>
      </w:r>
    </w:p>
    <w:p w14:paraId="0A149CFB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lastRenderedPageBreak/>
        <w:t xml:space="preserve">Kontraindikace: chronické oční onemocnění, zejména kongenitální a získaný zákal čoček, glaukom, těžké refrakční chyby, významný </w:t>
      </w:r>
      <w:proofErr w:type="spellStart"/>
      <w:r>
        <w:t>lagoftalmus</w:t>
      </w:r>
      <w:proofErr w:type="spellEnd"/>
      <w:r>
        <w:t>, porucha sekrece slz, ztráta jednoho oka;</w:t>
      </w:r>
    </w:p>
    <w:p w14:paraId="53D6F278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taviči, slévači, kováři, svářeči</w:t>
      </w:r>
    </w:p>
    <w:p w14:paraId="7820C2A7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</w:p>
    <w:p w14:paraId="1BD87170" w14:textId="77777777" w:rsidR="00BF5BBF" w:rsidRDefault="00BF5BBF" w:rsidP="00BF5BBF">
      <w:pPr>
        <w:pStyle w:val="ColorfulList-Accent11"/>
        <w:numPr>
          <w:ilvl w:val="0"/>
          <w:numId w:val="2"/>
        </w:num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Nemoci z povolání způsobené ostatními faktory a činiteli</w:t>
      </w:r>
    </w:p>
    <w:p w14:paraId="59849766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Práce v podzemí </w:t>
      </w:r>
    </w:p>
    <w:p w14:paraId="4EB1095B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Cs/>
        </w:rPr>
      </w:pPr>
      <w:r>
        <w:rPr>
          <w:bCs/>
        </w:rPr>
        <w:t xml:space="preserve">Člověk dlouhodobě pracující v podzemí se po určité době stává světloplachým. </w:t>
      </w:r>
    </w:p>
    <w:p w14:paraId="78C0D813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refrakční chyby oka vyžadující trvalou korekci brýlemi, ztráta jednoho oka anebo těžší vady jednoho oka znemožňující prostorové vidění;</w:t>
      </w:r>
    </w:p>
    <w:p w14:paraId="192E3FF3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havíři</w:t>
      </w:r>
    </w:p>
    <w:p w14:paraId="1E580840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14:paraId="324130DB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ve výškách</w:t>
      </w:r>
    </w:p>
    <w:p w14:paraId="09FBFE7B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poruchy zraku, kde je nutná korekce brýlemi a porucha prostorového vidění;</w:t>
      </w:r>
    </w:p>
    <w:p w14:paraId="235E5BA6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umývači oken na výškových budovách, montéři, jeřábníci</w:t>
      </w:r>
    </w:p>
    <w:p w14:paraId="75EEB429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14:paraId="61828653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spojená s nadměrnou fyzickou a tepelnou zátěží</w:t>
      </w:r>
    </w:p>
    <w:p w14:paraId="6767FAB0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poruchy zraku (refrakční chyby vyžadující trvalou korekci brýlemi a poruchy prostorového vidění);</w:t>
      </w:r>
    </w:p>
    <w:p w14:paraId="1B09184B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rolníci, zahradníci, dřevorubci</w:t>
      </w:r>
    </w:p>
    <w:p w14:paraId="46F5AD5E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14:paraId="5A08CADC" w14:textId="77777777"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s počítači a zobrazovacími jednotkami</w:t>
      </w:r>
    </w:p>
    <w:p w14:paraId="1E5B405A" w14:textId="7475115E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 xml:space="preserve">Kontraindikace: závažné oční choroby včetně výrazné refrakční </w:t>
      </w:r>
      <w:r w:rsidR="008A026A">
        <w:t>vady</w:t>
      </w:r>
      <w:r>
        <w:t>.</w:t>
      </w:r>
    </w:p>
    <w:p w14:paraId="2DC07BC9" w14:textId="77777777"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pracovníci bank, IT pracovníci</w:t>
      </w:r>
    </w:p>
    <w:p w14:paraId="2633387A" w14:textId="77777777" w:rsidR="000C7267" w:rsidRDefault="000C7267"/>
    <w:sectPr w:rsidR="000C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ACA"/>
    <w:multiLevelType w:val="hybridMultilevel"/>
    <w:tmpl w:val="2430D17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F77"/>
    <w:multiLevelType w:val="multilevel"/>
    <w:tmpl w:val="6B5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E5B71"/>
    <w:multiLevelType w:val="hybridMultilevel"/>
    <w:tmpl w:val="9A1A4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5AC8"/>
    <w:multiLevelType w:val="multilevel"/>
    <w:tmpl w:val="F91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7"/>
    <w:rsid w:val="00053B59"/>
    <w:rsid w:val="0006562F"/>
    <w:rsid w:val="000C1A25"/>
    <w:rsid w:val="000C51A3"/>
    <w:rsid w:val="000C7267"/>
    <w:rsid w:val="000D6DEF"/>
    <w:rsid w:val="00181987"/>
    <w:rsid w:val="001D5CBB"/>
    <w:rsid w:val="0024672A"/>
    <w:rsid w:val="002D30C3"/>
    <w:rsid w:val="003058F1"/>
    <w:rsid w:val="00306A7F"/>
    <w:rsid w:val="00323087"/>
    <w:rsid w:val="003234B1"/>
    <w:rsid w:val="003329C3"/>
    <w:rsid w:val="00335A8F"/>
    <w:rsid w:val="00360AAE"/>
    <w:rsid w:val="003A4C5A"/>
    <w:rsid w:val="003D617B"/>
    <w:rsid w:val="003F440F"/>
    <w:rsid w:val="0047321A"/>
    <w:rsid w:val="004B15B4"/>
    <w:rsid w:val="004B41AE"/>
    <w:rsid w:val="0053696A"/>
    <w:rsid w:val="00570270"/>
    <w:rsid w:val="00584228"/>
    <w:rsid w:val="005A2F54"/>
    <w:rsid w:val="005E7DAA"/>
    <w:rsid w:val="00611277"/>
    <w:rsid w:val="006455AE"/>
    <w:rsid w:val="0065461E"/>
    <w:rsid w:val="006766AD"/>
    <w:rsid w:val="0069647E"/>
    <w:rsid w:val="00701125"/>
    <w:rsid w:val="00705AF8"/>
    <w:rsid w:val="00715268"/>
    <w:rsid w:val="00775087"/>
    <w:rsid w:val="007A0160"/>
    <w:rsid w:val="007B3C39"/>
    <w:rsid w:val="0080547C"/>
    <w:rsid w:val="008438D7"/>
    <w:rsid w:val="00892562"/>
    <w:rsid w:val="008A026A"/>
    <w:rsid w:val="008A61E1"/>
    <w:rsid w:val="008B3D2C"/>
    <w:rsid w:val="00905D28"/>
    <w:rsid w:val="009122A0"/>
    <w:rsid w:val="00913396"/>
    <w:rsid w:val="0091416E"/>
    <w:rsid w:val="0098635E"/>
    <w:rsid w:val="00987CCF"/>
    <w:rsid w:val="009A1796"/>
    <w:rsid w:val="009A4D9D"/>
    <w:rsid w:val="009D7E38"/>
    <w:rsid w:val="00A173E0"/>
    <w:rsid w:val="00A61DFF"/>
    <w:rsid w:val="00A80D4D"/>
    <w:rsid w:val="00A84806"/>
    <w:rsid w:val="00A8707D"/>
    <w:rsid w:val="00AB04FA"/>
    <w:rsid w:val="00AB1357"/>
    <w:rsid w:val="00AB3AEE"/>
    <w:rsid w:val="00AC2B2C"/>
    <w:rsid w:val="00AD3E6C"/>
    <w:rsid w:val="00B1059C"/>
    <w:rsid w:val="00BA1259"/>
    <w:rsid w:val="00BD0EE0"/>
    <w:rsid w:val="00BF5BBF"/>
    <w:rsid w:val="00BF7ECF"/>
    <w:rsid w:val="00C04100"/>
    <w:rsid w:val="00C45DF8"/>
    <w:rsid w:val="00CD0336"/>
    <w:rsid w:val="00D3739E"/>
    <w:rsid w:val="00D4171B"/>
    <w:rsid w:val="00D4371E"/>
    <w:rsid w:val="00D94983"/>
    <w:rsid w:val="00DB45C8"/>
    <w:rsid w:val="00DF48BE"/>
    <w:rsid w:val="00E56D93"/>
    <w:rsid w:val="00E70613"/>
    <w:rsid w:val="00E714B3"/>
    <w:rsid w:val="00EF7B13"/>
    <w:rsid w:val="00F06EFA"/>
    <w:rsid w:val="00F20F0D"/>
    <w:rsid w:val="00F40D23"/>
    <w:rsid w:val="00F84D93"/>
    <w:rsid w:val="00F953BB"/>
    <w:rsid w:val="00FB5AB1"/>
    <w:rsid w:val="00FF075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30C6"/>
  <w15:chartTrackingRefBased/>
  <w15:docId w15:val="{47D9EF5E-BFD3-45FB-B874-0BE4486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BF5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2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267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BF5BBF"/>
    <w:rPr>
      <w:rFonts w:ascii="Times New Roman" w:eastAsia="Times New Roman" w:hAnsi="Times New Roman" w:cs="Times New Roman"/>
      <w:b/>
      <w:bCs/>
      <w:noProof/>
      <w:sz w:val="36"/>
      <w:szCs w:val="36"/>
      <w:lang w:eastAsia="sk-SK"/>
    </w:rPr>
  </w:style>
  <w:style w:type="paragraph" w:customStyle="1" w:styleId="ColorfulList-Accent11">
    <w:name w:val="Colorful List - Accent 11"/>
    <w:basedOn w:val="Normln"/>
    <w:qFormat/>
    <w:rsid w:val="00BF5BB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05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054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05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Olm%C3%BCt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s://de.wikipedia.org/wiki/Eduard_Zirm" TargetMode="External"/><Relationship Id="rId12" Type="http://schemas.openxmlformats.org/officeDocument/2006/relationships/hyperlink" Target="https://youtu.be/6DfugbHQmmQ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Arthur_von_Hippel_(Ophthalmologe)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03A3-3356-4390-BD0D-286C278B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6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Synek</dc:creator>
  <cp:keywords/>
  <dc:description/>
  <cp:lastModifiedBy>Svatopluk Synek</cp:lastModifiedBy>
  <cp:revision>7</cp:revision>
  <dcterms:created xsi:type="dcterms:W3CDTF">2018-10-13T14:01:00Z</dcterms:created>
  <dcterms:modified xsi:type="dcterms:W3CDTF">2020-10-30T09:25:00Z</dcterms:modified>
</cp:coreProperties>
</file>