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190CF" w14:textId="11E12592" w:rsidR="00F062B0" w:rsidRDefault="00127FE0" w:rsidP="00371B34">
      <w:pPr>
        <w:spacing w:after="0" w:line="240" w:lineRule="auto"/>
        <w:jc w:val="center"/>
        <w:rPr>
          <w:b/>
        </w:rPr>
      </w:pPr>
      <w:r w:rsidRPr="00EB715D">
        <w:rPr>
          <w:b/>
        </w:rPr>
        <w:t xml:space="preserve">Název výukové jednotky: </w:t>
      </w:r>
      <w:r w:rsidR="00AC1D8B">
        <w:rPr>
          <w:b/>
        </w:rPr>
        <w:t>Léčiva kardiovaskulárního systému</w:t>
      </w:r>
    </w:p>
    <w:p w14:paraId="056B0DE9" w14:textId="77777777" w:rsidR="00CD0D8D" w:rsidRDefault="00CD0D8D" w:rsidP="00371B34">
      <w:pPr>
        <w:spacing w:after="0" w:line="240" w:lineRule="auto"/>
        <w:jc w:val="center"/>
        <w:rPr>
          <w:b/>
        </w:rPr>
      </w:pPr>
    </w:p>
    <w:p w14:paraId="56D1F59F" w14:textId="77777777" w:rsidR="00AC1D8B" w:rsidRPr="00EB715D" w:rsidRDefault="00AC1D8B" w:rsidP="00371B34">
      <w:pPr>
        <w:spacing w:after="0" w:line="240" w:lineRule="auto"/>
        <w:jc w:val="center"/>
        <w:rPr>
          <w:b/>
        </w:rPr>
      </w:pPr>
    </w:p>
    <w:p w14:paraId="7E0190D5" w14:textId="77777777" w:rsidR="00F062B0" w:rsidRPr="00EB715D" w:rsidRDefault="00F062B0" w:rsidP="00371B34">
      <w:pPr>
        <w:spacing w:after="0" w:line="240" w:lineRule="auto"/>
        <w:rPr>
          <w:b/>
        </w:rPr>
      </w:pPr>
      <w:r w:rsidRPr="00EB715D">
        <w:rPr>
          <w:b/>
        </w:rPr>
        <w:t>Význam výukové jednotky:</w:t>
      </w:r>
    </w:p>
    <w:p w14:paraId="7E0190D6" w14:textId="77777777" w:rsidR="00B10901" w:rsidRPr="00EB715D" w:rsidRDefault="00B10901" w:rsidP="00371B34">
      <w:pPr>
        <w:spacing w:after="0" w:line="240" w:lineRule="auto"/>
      </w:pPr>
      <w:r w:rsidRPr="00EB715D">
        <w:t xml:space="preserve">Hypertenze a </w:t>
      </w:r>
      <w:proofErr w:type="spellStart"/>
      <w:r w:rsidRPr="00EB715D">
        <w:t>dyslipidémie</w:t>
      </w:r>
      <w:proofErr w:type="spellEnd"/>
      <w:r w:rsidRPr="00EB715D">
        <w:t xml:space="preserve"> jsou jedny ze zásadních rizikových faktorů pro vznik aterosklerózy, která hraje důležitou roli v rozvoji celé řady závažných onemocnění kardiovaskulárního systému. Výše uvedené patofyziologické stavy patří k onemocněním s vůbec nejvyšší incidencí v populaci a setkají se s nimi jak poradní asistentky v podobě těhotenské hypertenze, tak záchranáři u akutních stavů u infarktu myokardu či srdečního selhání stejně jako všeobecná sestra v podobě pacientů s </w:t>
      </w:r>
      <w:proofErr w:type="spellStart"/>
      <w:r w:rsidRPr="00EB715D">
        <w:t>hypercholesterolémií</w:t>
      </w:r>
      <w:proofErr w:type="spellEnd"/>
      <w:r w:rsidRPr="00EB715D">
        <w:t xml:space="preserve"> a esenciální hypertenzí či metabolickým syndromem.</w:t>
      </w:r>
    </w:p>
    <w:p w14:paraId="7E0190D7" w14:textId="77777777" w:rsidR="00F062B0" w:rsidRPr="00EB715D" w:rsidRDefault="00F062B0" w:rsidP="00371B34">
      <w:pPr>
        <w:spacing w:after="0" w:line="240" w:lineRule="auto"/>
      </w:pPr>
    </w:p>
    <w:p w14:paraId="7E0190D8" w14:textId="77777777" w:rsidR="00F062B0" w:rsidRPr="00EB715D" w:rsidRDefault="00F062B0" w:rsidP="00371B34">
      <w:pPr>
        <w:spacing w:after="0" w:line="240" w:lineRule="auto"/>
        <w:rPr>
          <w:b/>
        </w:rPr>
      </w:pPr>
      <w:r w:rsidRPr="00EB715D">
        <w:rPr>
          <w:b/>
        </w:rPr>
        <w:t>Popis výukové jednotky:</w:t>
      </w:r>
    </w:p>
    <w:p w14:paraId="7E0190D9" w14:textId="77777777" w:rsidR="00F062B0" w:rsidRPr="00EB715D" w:rsidRDefault="00F062B0" w:rsidP="00371B34">
      <w:pPr>
        <w:spacing w:after="0" w:line="240" w:lineRule="auto"/>
      </w:pPr>
      <w:r w:rsidRPr="00EB715D">
        <w:t>Výuková jednotka:</w:t>
      </w:r>
    </w:p>
    <w:p w14:paraId="7E0190DA" w14:textId="77777777" w:rsidR="00F062B0" w:rsidRPr="00EB715D" w:rsidRDefault="00B10901" w:rsidP="00371B34">
      <w:pPr>
        <w:spacing w:after="0" w:line="240" w:lineRule="auto"/>
      </w:pPr>
      <w:r w:rsidRPr="00EB715D">
        <w:t xml:space="preserve">popisuje roli hypertenze a </w:t>
      </w:r>
      <w:proofErr w:type="spellStart"/>
      <w:r w:rsidRPr="00EB715D">
        <w:t>dyslipidémie</w:t>
      </w:r>
      <w:proofErr w:type="spellEnd"/>
      <w:r w:rsidRPr="00EB715D">
        <w:t xml:space="preserve"> v procesu aterosklerózy</w:t>
      </w:r>
    </w:p>
    <w:p w14:paraId="7E0190DB" w14:textId="77777777" w:rsidR="00F062B0" w:rsidRPr="00EB715D" w:rsidRDefault="006A4DF2" w:rsidP="00371B34">
      <w:pPr>
        <w:spacing w:after="0" w:line="240" w:lineRule="auto"/>
      </w:pPr>
      <w:r w:rsidRPr="00EB715D">
        <w:t xml:space="preserve">definuje jednotlivé skupiny antihypertenziv a </w:t>
      </w:r>
      <w:proofErr w:type="spellStart"/>
      <w:r w:rsidRPr="00EB715D">
        <w:t>hypolipidemik</w:t>
      </w:r>
      <w:proofErr w:type="spellEnd"/>
    </w:p>
    <w:p w14:paraId="7E0190DC" w14:textId="77777777" w:rsidR="006A4DF2" w:rsidRPr="00EB715D" w:rsidRDefault="006A4DF2" w:rsidP="00371B34">
      <w:pPr>
        <w:spacing w:after="0" w:line="240" w:lineRule="auto"/>
      </w:pPr>
      <w:r w:rsidRPr="00EB715D">
        <w:t xml:space="preserve">charakterizuje farmakologický profil jednotlivých skupin antihypertenziv a </w:t>
      </w:r>
      <w:proofErr w:type="spellStart"/>
      <w:r w:rsidRPr="00EB715D">
        <w:t>hypolipidemik</w:t>
      </w:r>
      <w:proofErr w:type="spellEnd"/>
    </w:p>
    <w:p w14:paraId="7E0190DD" w14:textId="77777777" w:rsidR="00F062B0" w:rsidRPr="00EB715D" w:rsidRDefault="00F062B0" w:rsidP="00371B34">
      <w:pPr>
        <w:spacing w:after="0" w:line="240" w:lineRule="auto"/>
      </w:pPr>
    </w:p>
    <w:p w14:paraId="7E0190DE" w14:textId="77777777" w:rsidR="00F062B0" w:rsidRPr="00EB715D" w:rsidRDefault="00F062B0" w:rsidP="00371B34">
      <w:pPr>
        <w:spacing w:after="0" w:line="240" w:lineRule="auto"/>
        <w:rPr>
          <w:b/>
        </w:rPr>
      </w:pPr>
      <w:r w:rsidRPr="00EB715D">
        <w:rPr>
          <w:b/>
        </w:rPr>
        <w:t>Významné pojmy</w:t>
      </w:r>
    </w:p>
    <w:p w14:paraId="7E0190E0" w14:textId="2B83E642" w:rsidR="006A4DF2" w:rsidRPr="00EB715D" w:rsidRDefault="009D2EAB" w:rsidP="00DF67F7">
      <w:pPr>
        <w:spacing w:after="0" w:line="240" w:lineRule="auto"/>
      </w:pPr>
      <w:r w:rsidRPr="00EB715D">
        <w:t>RAAS</w:t>
      </w:r>
    </w:p>
    <w:p w14:paraId="7E0190E1" w14:textId="0153C004" w:rsidR="009D2EAB" w:rsidRPr="00EB715D" w:rsidRDefault="009D2EAB" w:rsidP="00371B34">
      <w:pPr>
        <w:spacing w:after="0" w:line="240" w:lineRule="auto"/>
      </w:pPr>
      <w:r w:rsidRPr="00EB715D">
        <w:tab/>
        <w:t>inhibitory ACE</w:t>
      </w:r>
    </w:p>
    <w:p w14:paraId="7E0190E2" w14:textId="628B3C3F" w:rsidR="009D2EAB" w:rsidRPr="00EB715D" w:rsidRDefault="009D2EAB" w:rsidP="00371B34">
      <w:pPr>
        <w:spacing w:after="0" w:line="240" w:lineRule="auto"/>
      </w:pPr>
      <w:r w:rsidRPr="00EB715D">
        <w:tab/>
      </w:r>
      <w:r w:rsidR="00A01CBA" w:rsidRPr="00EB715D">
        <w:tab/>
      </w:r>
      <w:proofErr w:type="spellStart"/>
      <w:r w:rsidRPr="00EB715D">
        <w:t>kapto</w:t>
      </w:r>
      <w:r w:rsidRPr="00DF67F7">
        <w:rPr>
          <w:b/>
        </w:rPr>
        <w:t>pril</w:t>
      </w:r>
      <w:proofErr w:type="spellEnd"/>
      <w:r w:rsidRPr="00EB715D">
        <w:t xml:space="preserve">, </w:t>
      </w:r>
      <w:proofErr w:type="spellStart"/>
      <w:r w:rsidRPr="00EB715D">
        <w:t>perindo</w:t>
      </w:r>
      <w:r w:rsidRPr="00DF67F7">
        <w:rPr>
          <w:b/>
        </w:rPr>
        <w:t>pril</w:t>
      </w:r>
      <w:proofErr w:type="spellEnd"/>
    </w:p>
    <w:p w14:paraId="7E0190E3" w14:textId="04FA0404" w:rsidR="009D2EAB" w:rsidRPr="00EB715D" w:rsidRDefault="009D2EAB" w:rsidP="00371B34">
      <w:pPr>
        <w:spacing w:after="0" w:line="240" w:lineRule="auto"/>
      </w:pPr>
      <w:r w:rsidRPr="00EB715D">
        <w:tab/>
        <w:t>antagonisté receptoru AT1</w:t>
      </w:r>
    </w:p>
    <w:p w14:paraId="7E0190E4" w14:textId="12933247" w:rsidR="009D2EAB" w:rsidRPr="00EB715D" w:rsidRDefault="009D2EAB" w:rsidP="00371B34">
      <w:pPr>
        <w:spacing w:after="0" w:line="240" w:lineRule="auto"/>
      </w:pPr>
      <w:r w:rsidRPr="00EB715D">
        <w:tab/>
      </w:r>
      <w:r w:rsidR="00A01CBA" w:rsidRPr="00EB715D">
        <w:tab/>
      </w:r>
      <w:proofErr w:type="spellStart"/>
      <w:r w:rsidRPr="00EB715D">
        <w:t>val</w:t>
      </w:r>
      <w:r w:rsidRPr="00DF67F7">
        <w:rPr>
          <w:b/>
        </w:rPr>
        <w:t>sartan</w:t>
      </w:r>
      <w:proofErr w:type="spellEnd"/>
      <w:r w:rsidRPr="00EB715D">
        <w:t xml:space="preserve">, </w:t>
      </w:r>
      <w:proofErr w:type="spellStart"/>
      <w:r w:rsidRPr="00EB715D">
        <w:t>lo</w:t>
      </w:r>
      <w:r w:rsidRPr="00DF67F7">
        <w:rPr>
          <w:b/>
        </w:rPr>
        <w:t>sartan</w:t>
      </w:r>
      <w:proofErr w:type="spellEnd"/>
    </w:p>
    <w:p w14:paraId="7E0190E5" w14:textId="0678C787" w:rsidR="009D2EAB" w:rsidRPr="00EB715D" w:rsidRDefault="00A01CBA" w:rsidP="00371B34">
      <w:pPr>
        <w:spacing w:after="0" w:line="240" w:lineRule="auto"/>
      </w:pPr>
      <w:r w:rsidRPr="00EB715D">
        <w:tab/>
      </w:r>
      <w:r w:rsidR="009D2EAB" w:rsidRPr="00EB715D">
        <w:t>antagonisté reninu</w:t>
      </w:r>
    </w:p>
    <w:p w14:paraId="7E0190E6" w14:textId="28A7CEB5" w:rsidR="009D2EAB" w:rsidRPr="00EB715D" w:rsidRDefault="009D2EAB" w:rsidP="00371B34">
      <w:pPr>
        <w:spacing w:after="0" w:line="240" w:lineRule="auto"/>
      </w:pPr>
      <w:r w:rsidRPr="00EB715D">
        <w:tab/>
      </w:r>
      <w:r w:rsidR="00A01CBA" w:rsidRPr="00EB715D">
        <w:tab/>
      </w:r>
    </w:p>
    <w:p w14:paraId="7E0190E7" w14:textId="77777777" w:rsidR="009D2EAB" w:rsidRPr="00EB715D" w:rsidRDefault="00A01CBA" w:rsidP="00DF67F7">
      <w:pPr>
        <w:spacing w:after="0" w:line="240" w:lineRule="auto"/>
      </w:pPr>
      <w:r w:rsidRPr="00EB715D">
        <w:t>d</w:t>
      </w:r>
      <w:r w:rsidR="009D2EAB" w:rsidRPr="00EB715D">
        <w:t>iuretika</w:t>
      </w:r>
    </w:p>
    <w:p w14:paraId="7E0190E8" w14:textId="7CA11B93" w:rsidR="009D2EAB" w:rsidRPr="00DF67F7" w:rsidRDefault="00A01CBA" w:rsidP="00DF67F7">
      <w:pPr>
        <w:spacing w:after="0" w:line="240" w:lineRule="auto"/>
      </w:pPr>
      <w:r w:rsidRPr="00EB715D">
        <w:tab/>
      </w:r>
      <w:r w:rsidR="009D2EAB" w:rsidRPr="00DF67F7">
        <w:t>osmotická</w:t>
      </w:r>
    </w:p>
    <w:p w14:paraId="7E0190E9" w14:textId="4BABD568" w:rsidR="009D2EAB" w:rsidRPr="00DF67F7" w:rsidRDefault="009D2EAB" w:rsidP="00DF67F7">
      <w:pPr>
        <w:spacing w:after="0" w:line="240" w:lineRule="auto"/>
      </w:pPr>
      <w:r w:rsidRPr="00DF67F7">
        <w:tab/>
      </w:r>
      <w:r w:rsidR="00A01CBA" w:rsidRPr="00DF67F7">
        <w:tab/>
      </w:r>
      <w:proofErr w:type="spellStart"/>
      <w:r w:rsidRPr="00DF67F7">
        <w:t>mannitol</w:t>
      </w:r>
      <w:proofErr w:type="spellEnd"/>
    </w:p>
    <w:p w14:paraId="7E0190EB" w14:textId="3608EEDC" w:rsidR="00A01CBA" w:rsidRPr="00DF67F7" w:rsidRDefault="009D2EAB" w:rsidP="00DF67F7">
      <w:pPr>
        <w:spacing w:after="0" w:line="240" w:lineRule="auto"/>
      </w:pPr>
      <w:r w:rsidRPr="00DF67F7">
        <w:tab/>
        <w:t xml:space="preserve">inhibitory </w:t>
      </w:r>
      <w:proofErr w:type="spellStart"/>
      <w:r w:rsidRPr="00DF67F7">
        <w:t>karboanhydrázy</w:t>
      </w:r>
      <w:proofErr w:type="spellEnd"/>
    </w:p>
    <w:p w14:paraId="7E0190EC" w14:textId="00DC8E82" w:rsidR="00A01CBA" w:rsidRPr="00EB715D" w:rsidRDefault="00A01CBA" w:rsidP="00DF67F7">
      <w:pPr>
        <w:spacing w:after="0" w:line="240" w:lineRule="auto"/>
      </w:pPr>
      <w:r w:rsidRPr="00EB715D">
        <w:tab/>
        <w:t>kličková</w:t>
      </w:r>
    </w:p>
    <w:p w14:paraId="7E0190ED" w14:textId="2853D410" w:rsidR="00A01CBA" w:rsidRPr="00EB715D" w:rsidRDefault="00A01CBA" w:rsidP="00DF67F7">
      <w:pPr>
        <w:spacing w:after="0" w:line="240" w:lineRule="auto"/>
      </w:pPr>
      <w:r w:rsidRPr="00EB715D">
        <w:tab/>
      </w:r>
      <w:r w:rsidRPr="00EB715D">
        <w:tab/>
      </w:r>
      <w:proofErr w:type="spellStart"/>
      <w:r w:rsidRPr="00EB715D">
        <w:t>furosemid</w:t>
      </w:r>
      <w:proofErr w:type="spellEnd"/>
    </w:p>
    <w:p w14:paraId="7E0190EE" w14:textId="32FB448E" w:rsidR="00A01CBA" w:rsidRPr="00EB715D" w:rsidRDefault="00A01CBA" w:rsidP="00DF67F7">
      <w:pPr>
        <w:spacing w:after="0" w:line="240" w:lineRule="auto"/>
      </w:pPr>
      <w:r w:rsidRPr="00EB715D">
        <w:tab/>
      </w:r>
      <w:proofErr w:type="spellStart"/>
      <w:r w:rsidRPr="00EB715D">
        <w:t>thiazidová</w:t>
      </w:r>
      <w:proofErr w:type="spellEnd"/>
    </w:p>
    <w:p w14:paraId="7E0190EF" w14:textId="6C81B949" w:rsidR="00A01CBA" w:rsidRPr="00EB715D" w:rsidRDefault="00A01CBA" w:rsidP="00DF67F7">
      <w:pPr>
        <w:spacing w:after="0" w:line="240" w:lineRule="auto"/>
      </w:pPr>
      <w:r w:rsidRPr="00EB715D">
        <w:tab/>
      </w:r>
      <w:r w:rsidRPr="00EB715D">
        <w:tab/>
      </w:r>
      <w:proofErr w:type="spellStart"/>
      <w:r w:rsidRPr="00EB715D">
        <w:t>chlortalidon</w:t>
      </w:r>
      <w:proofErr w:type="spellEnd"/>
      <w:r w:rsidRPr="00EB715D">
        <w:t xml:space="preserve">, </w:t>
      </w:r>
      <w:proofErr w:type="spellStart"/>
      <w:r w:rsidRPr="00EB715D">
        <w:t>indapamid</w:t>
      </w:r>
      <w:proofErr w:type="spellEnd"/>
    </w:p>
    <w:p w14:paraId="7E0190F0" w14:textId="47AE28D5" w:rsidR="00A01CBA" w:rsidRPr="00EB715D" w:rsidRDefault="00A01CBA" w:rsidP="00DF67F7">
      <w:pPr>
        <w:spacing w:after="0" w:line="240" w:lineRule="auto"/>
      </w:pPr>
      <w:r w:rsidRPr="00EB715D">
        <w:tab/>
        <w:t>draslík šetřící</w:t>
      </w:r>
    </w:p>
    <w:p w14:paraId="7E0190F1" w14:textId="7F61469F" w:rsidR="00A01CBA" w:rsidRPr="00EB715D" w:rsidRDefault="00A01CBA" w:rsidP="00DF67F7">
      <w:pPr>
        <w:spacing w:after="0" w:line="240" w:lineRule="auto"/>
      </w:pPr>
      <w:r w:rsidRPr="00EB715D">
        <w:tab/>
      </w:r>
      <w:r w:rsidRPr="00EB715D">
        <w:tab/>
      </w:r>
      <w:proofErr w:type="spellStart"/>
      <w:r w:rsidRPr="00EB715D">
        <w:t>amilorid</w:t>
      </w:r>
      <w:proofErr w:type="spellEnd"/>
      <w:r w:rsidRPr="00EB715D">
        <w:t xml:space="preserve">, </w:t>
      </w:r>
      <w:proofErr w:type="spellStart"/>
      <w:r w:rsidRPr="00EB715D">
        <w:t>spironolakton</w:t>
      </w:r>
      <w:proofErr w:type="spellEnd"/>
    </w:p>
    <w:p w14:paraId="7E0190F2" w14:textId="77777777" w:rsidR="00A01CBA" w:rsidRPr="00EB715D" w:rsidRDefault="00A01CBA" w:rsidP="00DF67F7">
      <w:pPr>
        <w:spacing w:after="0" w:line="240" w:lineRule="auto"/>
        <w:rPr>
          <w:b/>
        </w:rPr>
      </w:pPr>
      <w:r w:rsidRPr="00EB715D">
        <w:t>blokátory Ca</w:t>
      </w:r>
      <w:r w:rsidRPr="00EB715D">
        <w:rPr>
          <w:vertAlign w:val="superscript"/>
        </w:rPr>
        <w:t>2+</w:t>
      </w:r>
      <w:r w:rsidRPr="00EB715D">
        <w:t xml:space="preserve"> kanálů</w:t>
      </w:r>
    </w:p>
    <w:p w14:paraId="7E0190F3" w14:textId="7BD01F9C" w:rsidR="00A01CBA" w:rsidRPr="00EB715D" w:rsidRDefault="00A01CBA" w:rsidP="00371B34">
      <w:pPr>
        <w:spacing w:after="0" w:line="240" w:lineRule="auto"/>
      </w:pPr>
      <w:r w:rsidRPr="00EB715D">
        <w:rPr>
          <w:b/>
        </w:rPr>
        <w:tab/>
      </w:r>
      <w:proofErr w:type="spellStart"/>
      <w:r w:rsidRPr="00EB715D">
        <w:t>dihydrop</w:t>
      </w:r>
      <w:r w:rsidR="00D5005A">
        <w:t>y</w:t>
      </w:r>
      <w:r w:rsidRPr="00EB715D">
        <w:t>ridiny</w:t>
      </w:r>
      <w:proofErr w:type="spellEnd"/>
    </w:p>
    <w:p w14:paraId="7E0190F4" w14:textId="51DF3A65" w:rsidR="00A01CBA" w:rsidRPr="00EB715D" w:rsidRDefault="00A01CBA" w:rsidP="00371B34">
      <w:pPr>
        <w:spacing w:after="0" w:line="240" w:lineRule="auto"/>
      </w:pPr>
      <w:r w:rsidRPr="00EB715D">
        <w:tab/>
      </w:r>
      <w:r w:rsidRPr="00EB715D">
        <w:tab/>
      </w:r>
      <w:proofErr w:type="spellStart"/>
      <w:r w:rsidRPr="00EB715D">
        <w:t>nife</w:t>
      </w:r>
      <w:r w:rsidRPr="00DF67F7">
        <w:rPr>
          <w:b/>
        </w:rPr>
        <w:t>dipin</w:t>
      </w:r>
      <w:proofErr w:type="spellEnd"/>
      <w:r w:rsidRPr="00EB715D">
        <w:t xml:space="preserve">, </w:t>
      </w:r>
      <w:proofErr w:type="spellStart"/>
      <w:r w:rsidRPr="00EB715D">
        <w:t>felo</w:t>
      </w:r>
      <w:r w:rsidRPr="00DF67F7">
        <w:rPr>
          <w:b/>
        </w:rPr>
        <w:t>dipin</w:t>
      </w:r>
      <w:proofErr w:type="spellEnd"/>
      <w:r w:rsidRPr="00EB715D">
        <w:t xml:space="preserve">, </w:t>
      </w:r>
      <w:proofErr w:type="spellStart"/>
      <w:r w:rsidRPr="00EB715D">
        <w:t>amlo</w:t>
      </w:r>
      <w:r w:rsidRPr="00DF67F7">
        <w:rPr>
          <w:b/>
        </w:rPr>
        <w:t>dipin</w:t>
      </w:r>
      <w:proofErr w:type="spellEnd"/>
    </w:p>
    <w:p w14:paraId="7E0190F5" w14:textId="7A59AB97" w:rsidR="00A01CBA" w:rsidRPr="00D5005A" w:rsidRDefault="00A01CBA" w:rsidP="00371B34">
      <w:pPr>
        <w:spacing w:after="0" w:line="240" w:lineRule="auto"/>
      </w:pPr>
      <w:r w:rsidRPr="00EB715D">
        <w:tab/>
      </w:r>
      <w:r w:rsidRPr="00D5005A">
        <w:t>non-</w:t>
      </w:r>
      <w:proofErr w:type="spellStart"/>
      <w:r w:rsidRPr="00D5005A">
        <w:t>dihydropyridiny</w:t>
      </w:r>
      <w:proofErr w:type="spellEnd"/>
    </w:p>
    <w:p w14:paraId="7E0190F6" w14:textId="5D18ACE0" w:rsidR="00A01CBA" w:rsidRPr="00D5005A" w:rsidRDefault="00A01CBA" w:rsidP="00371B34">
      <w:pPr>
        <w:spacing w:after="0" w:line="240" w:lineRule="auto"/>
      </w:pPr>
      <w:r w:rsidRPr="00D5005A">
        <w:tab/>
      </w:r>
      <w:r w:rsidRPr="00D5005A">
        <w:tab/>
      </w:r>
      <w:proofErr w:type="spellStart"/>
      <w:r w:rsidRPr="00D5005A">
        <w:t>verapamil</w:t>
      </w:r>
      <w:proofErr w:type="spellEnd"/>
      <w:r w:rsidRPr="00D5005A">
        <w:t xml:space="preserve">, </w:t>
      </w:r>
      <w:proofErr w:type="spellStart"/>
      <w:r w:rsidRPr="00D5005A">
        <w:t>diltiazem</w:t>
      </w:r>
      <w:proofErr w:type="spellEnd"/>
    </w:p>
    <w:p w14:paraId="7E0190F7" w14:textId="77777777" w:rsidR="00A01CBA" w:rsidRPr="00EB715D" w:rsidRDefault="00A01CBA" w:rsidP="00DF67F7">
      <w:pPr>
        <w:spacing w:after="0" w:line="240" w:lineRule="auto"/>
      </w:pPr>
      <w:r w:rsidRPr="00EB715D">
        <w:t>beta blokátory</w:t>
      </w:r>
    </w:p>
    <w:p w14:paraId="7E0190F8" w14:textId="16ACF24E" w:rsidR="00A01CBA" w:rsidRPr="00EB715D" w:rsidRDefault="00A01CBA" w:rsidP="00371B34">
      <w:pPr>
        <w:spacing w:after="0" w:line="240" w:lineRule="auto"/>
      </w:pPr>
      <w:r w:rsidRPr="00EB715D">
        <w:tab/>
        <w:t>neselektivní</w:t>
      </w:r>
    </w:p>
    <w:p w14:paraId="7E0190F9" w14:textId="03D86784" w:rsidR="00A01CBA" w:rsidRPr="00EB715D" w:rsidRDefault="00A01CBA" w:rsidP="00371B34">
      <w:pPr>
        <w:spacing w:after="0" w:line="240" w:lineRule="auto"/>
      </w:pPr>
      <w:r w:rsidRPr="00EB715D">
        <w:tab/>
        <w:t>selektivní</w:t>
      </w:r>
    </w:p>
    <w:p w14:paraId="7E0190FA" w14:textId="2007E9E1" w:rsidR="00A01CBA" w:rsidRPr="00EB715D" w:rsidRDefault="00A01CBA" w:rsidP="00371B34">
      <w:pPr>
        <w:spacing w:after="0" w:line="240" w:lineRule="auto"/>
      </w:pPr>
      <w:r w:rsidRPr="00EB715D">
        <w:tab/>
      </w:r>
      <w:r w:rsidRPr="00EB715D">
        <w:tab/>
        <w:t>bez ISA</w:t>
      </w:r>
    </w:p>
    <w:p w14:paraId="7E0190FB" w14:textId="33E0B636" w:rsidR="00A01CBA" w:rsidRPr="00EB715D" w:rsidRDefault="00A01CBA" w:rsidP="00371B34">
      <w:pPr>
        <w:spacing w:after="0" w:line="240" w:lineRule="auto"/>
      </w:pPr>
      <w:r w:rsidRPr="00EB715D">
        <w:tab/>
      </w:r>
      <w:r w:rsidRPr="00EB715D">
        <w:tab/>
      </w:r>
      <w:r w:rsidRPr="00EB715D">
        <w:tab/>
      </w:r>
      <w:proofErr w:type="spellStart"/>
      <w:r w:rsidRPr="00EB715D">
        <w:t>ateno</w:t>
      </w:r>
      <w:r w:rsidRPr="00DF67F7">
        <w:rPr>
          <w:b/>
        </w:rPr>
        <w:t>lol</w:t>
      </w:r>
      <w:proofErr w:type="spellEnd"/>
      <w:r w:rsidRPr="00EB715D">
        <w:t xml:space="preserve">, </w:t>
      </w:r>
      <w:proofErr w:type="spellStart"/>
      <w:r w:rsidRPr="00EB715D">
        <w:t>metopro</w:t>
      </w:r>
      <w:r w:rsidRPr="00DF67F7">
        <w:rPr>
          <w:b/>
        </w:rPr>
        <w:t>lol</w:t>
      </w:r>
      <w:proofErr w:type="spellEnd"/>
    </w:p>
    <w:p w14:paraId="7E0190FC" w14:textId="6AA415AE" w:rsidR="00A01CBA" w:rsidRPr="00EB715D" w:rsidRDefault="00A01CBA" w:rsidP="00371B34">
      <w:pPr>
        <w:spacing w:after="0" w:line="240" w:lineRule="auto"/>
      </w:pPr>
      <w:r w:rsidRPr="00EB715D">
        <w:tab/>
      </w:r>
      <w:r w:rsidRPr="00EB715D">
        <w:tab/>
        <w:t>s ISA</w:t>
      </w:r>
    </w:p>
    <w:p w14:paraId="7E0190FD" w14:textId="4EBB1513" w:rsidR="00A01CBA" w:rsidRPr="00EB715D" w:rsidRDefault="00A01CBA" w:rsidP="00371B34">
      <w:pPr>
        <w:spacing w:after="0" w:line="240" w:lineRule="auto"/>
      </w:pPr>
      <w:r w:rsidRPr="00EB715D">
        <w:tab/>
      </w:r>
      <w:r w:rsidRPr="00EB715D">
        <w:tab/>
      </w:r>
      <w:r w:rsidRPr="00EB715D">
        <w:tab/>
      </w:r>
      <w:proofErr w:type="spellStart"/>
      <w:r w:rsidRPr="00EB715D">
        <w:t>acebuto</w:t>
      </w:r>
      <w:r w:rsidRPr="00DF67F7">
        <w:rPr>
          <w:b/>
        </w:rPr>
        <w:t>lol</w:t>
      </w:r>
      <w:proofErr w:type="spellEnd"/>
    </w:p>
    <w:p w14:paraId="7E0190FE" w14:textId="7A246379" w:rsidR="00A01CBA" w:rsidRPr="00EB715D" w:rsidRDefault="00A01CBA" w:rsidP="00371B34">
      <w:pPr>
        <w:spacing w:after="0" w:line="240" w:lineRule="auto"/>
      </w:pPr>
      <w:r w:rsidRPr="00EB715D">
        <w:tab/>
        <w:t>II. generace</w:t>
      </w:r>
    </w:p>
    <w:p w14:paraId="7E0190FF" w14:textId="61091689" w:rsidR="00A01CBA" w:rsidRPr="00EB715D" w:rsidRDefault="00A01CBA" w:rsidP="00371B34">
      <w:pPr>
        <w:spacing w:after="0" w:line="240" w:lineRule="auto"/>
      </w:pPr>
      <w:r w:rsidRPr="00EB715D">
        <w:tab/>
      </w:r>
      <w:r w:rsidRPr="00EB715D">
        <w:tab/>
      </w:r>
      <w:proofErr w:type="spellStart"/>
      <w:r w:rsidRPr="00EB715D">
        <w:t>labeta</w:t>
      </w:r>
      <w:r w:rsidRPr="00DF67F7">
        <w:rPr>
          <w:b/>
        </w:rPr>
        <w:t>lol</w:t>
      </w:r>
      <w:proofErr w:type="spellEnd"/>
      <w:r w:rsidRPr="00EB715D">
        <w:t xml:space="preserve">, </w:t>
      </w:r>
      <w:proofErr w:type="spellStart"/>
      <w:r w:rsidR="00DD1C76" w:rsidRPr="00EB715D">
        <w:t>k</w:t>
      </w:r>
      <w:r w:rsidRPr="00EB715D">
        <w:t>arvedi</w:t>
      </w:r>
      <w:r w:rsidRPr="00DF67F7">
        <w:rPr>
          <w:b/>
        </w:rPr>
        <w:t>lol</w:t>
      </w:r>
      <w:proofErr w:type="spellEnd"/>
    </w:p>
    <w:p w14:paraId="7E019100" w14:textId="77777777" w:rsidR="00A01CBA" w:rsidRPr="00EB715D" w:rsidRDefault="00A01CBA" w:rsidP="00DF67F7">
      <w:pPr>
        <w:spacing w:after="0" w:line="240" w:lineRule="auto"/>
      </w:pPr>
      <w:r w:rsidRPr="00EB715D">
        <w:t>centrální α2 agonisté</w:t>
      </w:r>
    </w:p>
    <w:p w14:paraId="7E019101" w14:textId="34B27018" w:rsidR="00A01CBA" w:rsidRPr="00EB715D" w:rsidRDefault="00A01CBA" w:rsidP="00371B34">
      <w:pPr>
        <w:spacing w:after="0" w:line="240" w:lineRule="auto"/>
      </w:pPr>
      <w:r w:rsidRPr="00EB715D">
        <w:tab/>
        <w:t>α –</w:t>
      </w:r>
      <w:proofErr w:type="spellStart"/>
      <w:proofErr w:type="gramStart"/>
      <w:r w:rsidRPr="00EB715D">
        <w:t>metyldopa</w:t>
      </w:r>
      <w:proofErr w:type="spellEnd"/>
      <w:r w:rsidRPr="00EB715D">
        <w:t xml:space="preserve"> ,</w:t>
      </w:r>
      <w:proofErr w:type="gramEnd"/>
      <w:r w:rsidRPr="00EB715D">
        <w:t xml:space="preserve"> </w:t>
      </w:r>
      <w:proofErr w:type="spellStart"/>
      <w:r w:rsidRPr="00DF67F7">
        <w:t>klonidin</w:t>
      </w:r>
      <w:proofErr w:type="spellEnd"/>
    </w:p>
    <w:p w14:paraId="7E019102" w14:textId="77777777" w:rsidR="00A01CBA" w:rsidRPr="00EB715D" w:rsidRDefault="00A01CBA" w:rsidP="00DF67F7">
      <w:pPr>
        <w:spacing w:after="0" w:line="240" w:lineRule="auto"/>
      </w:pPr>
      <w:r w:rsidRPr="00EB715D">
        <w:t>α1 antagonisté</w:t>
      </w:r>
    </w:p>
    <w:p w14:paraId="7E019103" w14:textId="3C8318E4" w:rsidR="00A01CBA" w:rsidRPr="00EB715D" w:rsidRDefault="00A01CBA" w:rsidP="00371B34">
      <w:pPr>
        <w:spacing w:after="0" w:line="240" w:lineRule="auto"/>
      </w:pPr>
      <w:r w:rsidRPr="00EB715D">
        <w:lastRenderedPageBreak/>
        <w:tab/>
      </w:r>
      <w:proofErr w:type="spellStart"/>
      <w:r w:rsidR="00DD2B33">
        <w:t>doxa</w:t>
      </w:r>
      <w:r w:rsidRPr="00EB715D">
        <w:t>zosin</w:t>
      </w:r>
      <w:proofErr w:type="spellEnd"/>
    </w:p>
    <w:p w14:paraId="7E019104" w14:textId="77777777" w:rsidR="00A01CBA" w:rsidRPr="00EB715D" w:rsidRDefault="00A01CBA" w:rsidP="00DF67F7">
      <w:pPr>
        <w:spacing w:after="0" w:line="240" w:lineRule="auto"/>
      </w:pPr>
      <w:proofErr w:type="spellStart"/>
      <w:r w:rsidRPr="00EB715D">
        <w:t>vazodilatancia</w:t>
      </w:r>
      <w:proofErr w:type="spellEnd"/>
    </w:p>
    <w:p w14:paraId="0A4B87C1" w14:textId="0EA3AEF0" w:rsidR="00DF67F7" w:rsidRDefault="00A01CBA" w:rsidP="00371B34">
      <w:pPr>
        <w:spacing w:after="0" w:line="240" w:lineRule="auto"/>
      </w:pPr>
      <w:r w:rsidRPr="00EB715D">
        <w:tab/>
      </w:r>
      <w:r w:rsidR="00DF67F7">
        <w:t>nitráty</w:t>
      </w:r>
    </w:p>
    <w:p w14:paraId="7E019105" w14:textId="5BAFA9FA" w:rsidR="00A01CBA" w:rsidRPr="008575D5" w:rsidRDefault="00A01CBA" w:rsidP="00DF67F7">
      <w:pPr>
        <w:spacing w:after="0" w:line="240" w:lineRule="auto"/>
        <w:ind w:left="708" w:firstLine="708"/>
      </w:pPr>
      <w:r w:rsidRPr="008575D5">
        <w:t>nitroglycerin</w:t>
      </w:r>
    </w:p>
    <w:p w14:paraId="7D18BB5A" w14:textId="38D85C3D" w:rsidR="004B394C" w:rsidRPr="008575D5" w:rsidRDefault="004B394C" w:rsidP="00DF67F7">
      <w:pPr>
        <w:spacing w:after="0" w:line="240" w:lineRule="auto"/>
        <w:ind w:left="708" w:firstLine="708"/>
      </w:pPr>
      <w:proofErr w:type="spellStart"/>
      <w:r w:rsidRPr="008575D5">
        <w:rPr>
          <w:rFonts w:cstheme="minorHAnsi"/>
        </w:rPr>
        <w:t>isosorbid</w:t>
      </w:r>
      <w:proofErr w:type="spellEnd"/>
      <w:r w:rsidRPr="008575D5">
        <w:rPr>
          <w:rFonts w:cstheme="minorHAnsi"/>
        </w:rPr>
        <w:t xml:space="preserve"> </w:t>
      </w:r>
      <w:proofErr w:type="spellStart"/>
      <w:r w:rsidRPr="008575D5">
        <w:rPr>
          <w:rFonts w:cstheme="minorHAnsi"/>
        </w:rPr>
        <w:t>dinitrát</w:t>
      </w:r>
      <w:proofErr w:type="spellEnd"/>
    </w:p>
    <w:p w14:paraId="5B12E369" w14:textId="4B7536BB" w:rsidR="00562CA5" w:rsidRPr="008575D5" w:rsidRDefault="00562CA5" w:rsidP="00562CA5">
      <w:pPr>
        <w:spacing w:after="0" w:line="240" w:lineRule="auto"/>
      </w:pPr>
      <w:r w:rsidRPr="008575D5">
        <w:tab/>
      </w:r>
      <w:proofErr w:type="spellStart"/>
      <w:r w:rsidR="004B394C" w:rsidRPr="008575D5">
        <w:rPr>
          <w:rFonts w:cstheme="minorHAnsi"/>
        </w:rPr>
        <w:t>nitroprussid</w:t>
      </w:r>
      <w:proofErr w:type="spellEnd"/>
      <w:r w:rsidR="004B394C" w:rsidRPr="008575D5">
        <w:rPr>
          <w:rFonts w:cstheme="minorHAnsi"/>
        </w:rPr>
        <w:t xml:space="preserve"> sodný</w:t>
      </w:r>
    </w:p>
    <w:p w14:paraId="7E019106" w14:textId="77777777" w:rsidR="00A01CBA" w:rsidRPr="008575D5" w:rsidRDefault="00A01CBA" w:rsidP="00371B34">
      <w:pPr>
        <w:spacing w:after="0" w:line="240" w:lineRule="auto"/>
      </w:pPr>
      <w:proofErr w:type="spellStart"/>
      <w:r w:rsidRPr="008575D5">
        <w:t>hypolipidemika</w:t>
      </w:r>
      <w:proofErr w:type="spellEnd"/>
    </w:p>
    <w:p w14:paraId="7E019107" w14:textId="77777777" w:rsidR="00A01CBA" w:rsidRPr="008575D5" w:rsidRDefault="00A01CBA" w:rsidP="00371B34">
      <w:pPr>
        <w:spacing w:after="0" w:line="240" w:lineRule="auto"/>
      </w:pPr>
      <w:r w:rsidRPr="008575D5">
        <w:tab/>
      </w:r>
      <w:proofErr w:type="spellStart"/>
      <w:r w:rsidRPr="008575D5">
        <w:t>statiny</w:t>
      </w:r>
      <w:proofErr w:type="spellEnd"/>
    </w:p>
    <w:p w14:paraId="7E019108" w14:textId="77777777" w:rsidR="00A01CBA" w:rsidRPr="008575D5" w:rsidRDefault="00A01CBA" w:rsidP="00371B34">
      <w:pPr>
        <w:spacing w:after="0" w:line="240" w:lineRule="auto"/>
      </w:pPr>
      <w:r w:rsidRPr="008575D5">
        <w:tab/>
      </w:r>
      <w:r w:rsidRPr="008575D5">
        <w:tab/>
      </w:r>
      <w:proofErr w:type="spellStart"/>
      <w:r w:rsidRPr="008575D5">
        <w:t>simva</w:t>
      </w:r>
      <w:r w:rsidRPr="008575D5">
        <w:rPr>
          <w:b/>
        </w:rPr>
        <w:t>statin</w:t>
      </w:r>
      <w:proofErr w:type="spellEnd"/>
      <w:r w:rsidRPr="008575D5">
        <w:t xml:space="preserve">, </w:t>
      </w:r>
      <w:proofErr w:type="spellStart"/>
      <w:r w:rsidRPr="008575D5">
        <w:t>atorva</w:t>
      </w:r>
      <w:r w:rsidRPr="008575D5">
        <w:rPr>
          <w:b/>
        </w:rPr>
        <w:t>statin</w:t>
      </w:r>
      <w:proofErr w:type="spellEnd"/>
    </w:p>
    <w:p w14:paraId="7E019109" w14:textId="77777777" w:rsidR="00A01CBA" w:rsidRPr="008575D5" w:rsidRDefault="00A01CBA" w:rsidP="00371B34">
      <w:pPr>
        <w:spacing w:after="0" w:line="240" w:lineRule="auto"/>
      </w:pPr>
      <w:r w:rsidRPr="008575D5">
        <w:tab/>
      </w:r>
      <w:proofErr w:type="spellStart"/>
      <w:r w:rsidRPr="008575D5">
        <w:t>fibráty</w:t>
      </w:r>
      <w:proofErr w:type="spellEnd"/>
    </w:p>
    <w:p w14:paraId="7E01910A" w14:textId="77777777" w:rsidR="00A01CBA" w:rsidRPr="008575D5" w:rsidRDefault="00A01CBA" w:rsidP="00371B34">
      <w:pPr>
        <w:spacing w:after="0" w:line="240" w:lineRule="auto"/>
      </w:pPr>
      <w:r w:rsidRPr="008575D5">
        <w:tab/>
      </w:r>
      <w:r w:rsidRPr="008575D5">
        <w:tab/>
      </w:r>
      <w:proofErr w:type="spellStart"/>
      <w:r w:rsidRPr="008575D5">
        <w:t>feno</w:t>
      </w:r>
      <w:r w:rsidRPr="008575D5">
        <w:rPr>
          <w:b/>
        </w:rPr>
        <w:t>fibrát</w:t>
      </w:r>
      <w:proofErr w:type="spellEnd"/>
    </w:p>
    <w:p w14:paraId="7E01910B" w14:textId="77777777" w:rsidR="00A01CBA" w:rsidRPr="008575D5" w:rsidRDefault="00A01CBA" w:rsidP="00371B34">
      <w:pPr>
        <w:spacing w:after="0" w:line="240" w:lineRule="auto"/>
      </w:pPr>
      <w:r w:rsidRPr="008575D5">
        <w:tab/>
      </w:r>
      <w:proofErr w:type="spellStart"/>
      <w:r w:rsidRPr="008575D5">
        <w:t>ezetimib</w:t>
      </w:r>
      <w:proofErr w:type="spellEnd"/>
    </w:p>
    <w:p w14:paraId="7E01910C" w14:textId="77777777" w:rsidR="00A01CBA" w:rsidRPr="008575D5" w:rsidRDefault="00A01CBA" w:rsidP="00371B34">
      <w:pPr>
        <w:spacing w:after="0" w:line="240" w:lineRule="auto"/>
      </w:pPr>
      <w:r w:rsidRPr="008575D5">
        <w:tab/>
        <w:t>pryskyřice</w:t>
      </w:r>
    </w:p>
    <w:p w14:paraId="7E01910D" w14:textId="77777777" w:rsidR="00A01CBA" w:rsidRPr="008575D5" w:rsidRDefault="00A01CBA" w:rsidP="00371B34">
      <w:pPr>
        <w:spacing w:after="0" w:line="240" w:lineRule="auto"/>
      </w:pPr>
      <w:r w:rsidRPr="008575D5">
        <w:tab/>
      </w:r>
      <w:r w:rsidRPr="008575D5">
        <w:tab/>
      </w:r>
      <w:proofErr w:type="spellStart"/>
      <w:r w:rsidRPr="008575D5">
        <w:t>kolesevelam</w:t>
      </w:r>
      <w:proofErr w:type="spellEnd"/>
      <w:r w:rsidRPr="008575D5">
        <w:t xml:space="preserve">, </w:t>
      </w:r>
      <w:proofErr w:type="spellStart"/>
      <w:r w:rsidRPr="008575D5">
        <w:t>kolestipol</w:t>
      </w:r>
      <w:proofErr w:type="spellEnd"/>
    </w:p>
    <w:p w14:paraId="6481BEA1" w14:textId="77777777" w:rsidR="00DF67F7" w:rsidRPr="008575D5" w:rsidRDefault="00DF67F7" w:rsidP="00DF67F7">
      <w:pPr>
        <w:spacing w:after="0" w:line="240" w:lineRule="auto"/>
      </w:pPr>
      <w:r w:rsidRPr="008575D5">
        <w:t>kardiotonika</w:t>
      </w:r>
    </w:p>
    <w:p w14:paraId="607B0B31" w14:textId="1553817F" w:rsidR="00DF67F7" w:rsidRPr="008575D5" w:rsidRDefault="00DF67F7" w:rsidP="00DF67F7">
      <w:pPr>
        <w:spacing w:after="0" w:line="240" w:lineRule="auto"/>
      </w:pPr>
      <w:r w:rsidRPr="008575D5">
        <w:tab/>
      </w:r>
      <w:proofErr w:type="spellStart"/>
      <w:r w:rsidRPr="008575D5">
        <w:t>dobutamin</w:t>
      </w:r>
      <w:proofErr w:type="spellEnd"/>
    </w:p>
    <w:p w14:paraId="3F9B9012" w14:textId="6A661C75" w:rsidR="0080534E" w:rsidRPr="008575D5" w:rsidRDefault="0080534E" w:rsidP="00DF67F7">
      <w:pPr>
        <w:spacing w:after="0" w:line="240" w:lineRule="auto"/>
      </w:pPr>
      <w:r w:rsidRPr="008575D5">
        <w:tab/>
        <w:t>digoxin</w:t>
      </w:r>
    </w:p>
    <w:p w14:paraId="6A5EB5E7" w14:textId="35D9E3B5" w:rsidR="0080534E" w:rsidRDefault="0080534E" w:rsidP="00DF67F7">
      <w:pPr>
        <w:spacing w:after="0" w:line="240" w:lineRule="auto"/>
      </w:pPr>
      <w:r w:rsidRPr="008575D5">
        <w:tab/>
      </w:r>
      <w:proofErr w:type="spellStart"/>
      <w:r w:rsidRPr="008575D5">
        <w:t>levosimendan</w:t>
      </w:r>
      <w:proofErr w:type="spellEnd"/>
    </w:p>
    <w:p w14:paraId="7E01910E" w14:textId="58577435" w:rsidR="00A01CBA" w:rsidRPr="00EB715D" w:rsidRDefault="00A01CBA" w:rsidP="00371B34">
      <w:pPr>
        <w:spacing w:after="0" w:line="240" w:lineRule="auto"/>
        <w:rPr>
          <w:b/>
        </w:rPr>
      </w:pPr>
    </w:p>
    <w:p w14:paraId="7E01910F" w14:textId="77777777" w:rsidR="00F062B0" w:rsidRPr="00EB715D" w:rsidRDefault="00F062B0" w:rsidP="00371B34">
      <w:pPr>
        <w:spacing w:after="0" w:line="240" w:lineRule="auto"/>
        <w:rPr>
          <w:b/>
        </w:rPr>
      </w:pPr>
      <w:r w:rsidRPr="00EB715D">
        <w:rPr>
          <w:b/>
        </w:rPr>
        <w:t>Výstupy z učení</w:t>
      </w:r>
    </w:p>
    <w:p w14:paraId="7E019110" w14:textId="77777777" w:rsidR="008A75C7" w:rsidRPr="00EB715D" w:rsidRDefault="008A75C7" w:rsidP="00371B34">
      <w:pPr>
        <w:spacing w:after="0" w:line="240" w:lineRule="auto"/>
      </w:pPr>
      <w:r w:rsidRPr="00EB715D">
        <w:t xml:space="preserve">Student umí </w:t>
      </w:r>
      <w:r w:rsidR="009D2EAB" w:rsidRPr="00EB715D">
        <w:t>vyjmenovat skupiny látek používaných jako antihypertenziva</w:t>
      </w:r>
      <w:r w:rsidRPr="00EB715D">
        <w:t xml:space="preserve"> </w:t>
      </w:r>
      <w:r w:rsidR="006A4DF2" w:rsidRPr="00EB715D">
        <w:t xml:space="preserve">a </w:t>
      </w:r>
      <w:proofErr w:type="spellStart"/>
      <w:r w:rsidR="006A4DF2" w:rsidRPr="00EB715D">
        <w:t>hypolipidemik</w:t>
      </w:r>
      <w:r w:rsidR="009D2EAB" w:rsidRPr="00EB715D">
        <w:t>a</w:t>
      </w:r>
      <w:proofErr w:type="spellEnd"/>
      <w:r w:rsidR="006A4DF2" w:rsidRPr="00EB715D">
        <w:t>.</w:t>
      </w:r>
    </w:p>
    <w:p w14:paraId="7E019111" w14:textId="77777777" w:rsidR="008A75C7" w:rsidRPr="00EB715D" w:rsidRDefault="009D2EAB" w:rsidP="00371B34">
      <w:pPr>
        <w:spacing w:after="0" w:line="240" w:lineRule="auto"/>
      </w:pPr>
      <w:r w:rsidRPr="00EB715D">
        <w:t xml:space="preserve">Student zná farmakologický profil (mechanismus účinku, nežádoucí účinky, indikace, kontraindikace) ACE inhibitorů, </w:t>
      </w:r>
      <w:proofErr w:type="spellStart"/>
      <w:r w:rsidRPr="00EB715D">
        <w:t>sartanů</w:t>
      </w:r>
      <w:proofErr w:type="spellEnd"/>
      <w:r w:rsidRPr="00EB715D">
        <w:t xml:space="preserve">, </w:t>
      </w:r>
      <w:r w:rsidR="00A01CBA" w:rsidRPr="00EB715D">
        <w:t xml:space="preserve">antagonistů reninu, </w:t>
      </w:r>
      <w:r w:rsidRPr="00EB715D">
        <w:t>diuretik, blokátorů Ca</w:t>
      </w:r>
      <w:r w:rsidR="00A01CBA" w:rsidRPr="00EB715D">
        <w:rPr>
          <w:vertAlign w:val="superscript"/>
        </w:rPr>
        <w:t>2+</w:t>
      </w:r>
      <w:r w:rsidRPr="00EB715D">
        <w:t xml:space="preserve"> kanálů, beta blokátorů, </w:t>
      </w:r>
      <w:r w:rsidR="00A01CBA" w:rsidRPr="00EB715D">
        <w:t>alfa blokátorů, centrálně působících látek a vazodilatátorů.</w:t>
      </w:r>
    </w:p>
    <w:p w14:paraId="01A3B6AB" w14:textId="77777777" w:rsidR="00AC1D8B" w:rsidRDefault="00AC1D8B" w:rsidP="00371B34">
      <w:pPr>
        <w:spacing w:after="0" w:line="240" w:lineRule="auto"/>
        <w:rPr>
          <w:b/>
        </w:rPr>
      </w:pPr>
    </w:p>
    <w:p w14:paraId="7E019112" w14:textId="2E11F2FE" w:rsidR="00F062B0" w:rsidRPr="00EB715D" w:rsidRDefault="00F062B0" w:rsidP="00371B34">
      <w:pPr>
        <w:spacing w:after="0" w:line="240" w:lineRule="auto"/>
        <w:rPr>
          <w:b/>
        </w:rPr>
      </w:pPr>
      <w:r w:rsidRPr="00EB715D">
        <w:rPr>
          <w:b/>
        </w:rPr>
        <w:t>Informační zdroje</w:t>
      </w:r>
    </w:p>
    <w:p w14:paraId="7E019113" w14:textId="77777777" w:rsidR="00691522" w:rsidRPr="00EB715D" w:rsidRDefault="00691522" w:rsidP="00371B34">
      <w:pPr>
        <w:spacing w:after="0" w:line="240" w:lineRule="auto"/>
      </w:pPr>
      <w:r w:rsidRPr="00EB715D">
        <w:t>Pracovní listy ze cvičení (IS)</w:t>
      </w:r>
    </w:p>
    <w:p w14:paraId="7E019114" w14:textId="77777777" w:rsidR="00691522" w:rsidRPr="00EB715D" w:rsidRDefault="00691522" w:rsidP="00371B34">
      <w:pPr>
        <w:spacing w:after="0" w:line="240" w:lineRule="auto"/>
      </w:pPr>
      <w:r w:rsidRPr="00EB715D">
        <w:t>Podklady k přednášce (IS)</w:t>
      </w:r>
    </w:p>
    <w:p w14:paraId="7E019115" w14:textId="77777777" w:rsidR="00691522" w:rsidRPr="00EB715D" w:rsidRDefault="00691522" w:rsidP="00371B34">
      <w:pPr>
        <w:spacing w:after="0" w:line="240" w:lineRule="auto"/>
      </w:pPr>
      <w:r w:rsidRPr="00EB715D">
        <w:t xml:space="preserve">Farmakologie pro studenty bakalářských oborů na MU (str. </w:t>
      </w:r>
      <w:r w:rsidR="006A4DF2" w:rsidRPr="00EB715D">
        <w:t>120-127 a 182-186</w:t>
      </w:r>
      <w:r w:rsidRPr="00EB715D">
        <w:t>)</w:t>
      </w:r>
    </w:p>
    <w:p w14:paraId="7E019116" w14:textId="77777777" w:rsidR="00F062B0" w:rsidRPr="00EB715D" w:rsidRDefault="00F062B0" w:rsidP="00371B34">
      <w:pPr>
        <w:spacing w:after="0" w:line="240" w:lineRule="auto"/>
        <w:rPr>
          <w:b/>
        </w:rPr>
      </w:pPr>
    </w:p>
    <w:p w14:paraId="7E019117" w14:textId="77777777" w:rsidR="005C4750" w:rsidRPr="00EB715D" w:rsidRDefault="005C4750" w:rsidP="00371B34">
      <w:pPr>
        <w:spacing w:after="0" w:line="240" w:lineRule="auto"/>
      </w:pPr>
    </w:p>
    <w:sectPr w:rsidR="005C4750" w:rsidRPr="00EB715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C5089" w14:textId="77777777" w:rsidR="00CD0D8D" w:rsidRDefault="00CD0D8D" w:rsidP="00CD0D8D">
      <w:pPr>
        <w:spacing w:after="0" w:line="240" w:lineRule="auto"/>
      </w:pPr>
      <w:r>
        <w:separator/>
      </w:r>
    </w:p>
  </w:endnote>
  <w:endnote w:type="continuationSeparator" w:id="0">
    <w:p w14:paraId="3B9E9DAD" w14:textId="77777777" w:rsidR="00CD0D8D" w:rsidRDefault="00CD0D8D" w:rsidP="00CD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B4691" w14:textId="77777777" w:rsidR="00CD0D8D" w:rsidRDefault="00CD0D8D" w:rsidP="00CD0D8D">
      <w:pPr>
        <w:spacing w:after="0" w:line="240" w:lineRule="auto"/>
      </w:pPr>
      <w:r>
        <w:separator/>
      </w:r>
    </w:p>
  </w:footnote>
  <w:footnote w:type="continuationSeparator" w:id="0">
    <w:p w14:paraId="54129B92" w14:textId="77777777" w:rsidR="00CD0D8D" w:rsidRDefault="00CD0D8D" w:rsidP="00CD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70931" w14:textId="64227B02" w:rsidR="00CD0D8D" w:rsidRDefault="00CD0D8D">
    <w:pPr>
      <w:pStyle w:val="Zhlav"/>
    </w:pPr>
    <w:r>
      <w:rPr>
        <w:noProof/>
      </w:rPr>
      <w:drawing>
        <wp:anchor distT="0" distB="252095" distL="114300" distR="114300" simplePos="0" relativeHeight="251659264" behindDoc="1" locked="1" layoutInCell="1" allowOverlap="1" wp14:anchorId="19D5E993" wp14:editId="3B8473AE">
          <wp:simplePos x="0" y="0"/>
          <wp:positionH relativeFrom="margin">
            <wp:posOffset>-314325</wp:posOffset>
          </wp:positionH>
          <wp:positionV relativeFrom="page">
            <wp:posOffset>325120</wp:posOffset>
          </wp:positionV>
          <wp:extent cx="552450" cy="380365"/>
          <wp:effectExtent l="0" t="0" r="0" b="635"/>
          <wp:wrapTight wrapText="bothSides">
            <wp:wrapPolygon edited="0">
              <wp:start x="0" y="0"/>
              <wp:lineTo x="0" y="20554"/>
              <wp:lineTo x="15641" y="20554"/>
              <wp:lineTo x="17876" y="17309"/>
              <wp:lineTo x="20855" y="6491"/>
              <wp:lineTo x="2085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B0"/>
    <w:rsid w:val="000E622A"/>
    <w:rsid w:val="00113BB1"/>
    <w:rsid w:val="00127FE0"/>
    <w:rsid w:val="0034191C"/>
    <w:rsid w:val="00371B34"/>
    <w:rsid w:val="004B394C"/>
    <w:rsid w:val="00562CA5"/>
    <w:rsid w:val="005C4750"/>
    <w:rsid w:val="00691522"/>
    <w:rsid w:val="006A4DF2"/>
    <w:rsid w:val="006E51E3"/>
    <w:rsid w:val="007270B0"/>
    <w:rsid w:val="0080534E"/>
    <w:rsid w:val="008575D5"/>
    <w:rsid w:val="008A75C7"/>
    <w:rsid w:val="009A38D4"/>
    <w:rsid w:val="009D2EAB"/>
    <w:rsid w:val="00A01CBA"/>
    <w:rsid w:val="00A258C2"/>
    <w:rsid w:val="00AC1D8B"/>
    <w:rsid w:val="00AF065D"/>
    <w:rsid w:val="00B10901"/>
    <w:rsid w:val="00B43346"/>
    <w:rsid w:val="00C13072"/>
    <w:rsid w:val="00CD0D8D"/>
    <w:rsid w:val="00D5005A"/>
    <w:rsid w:val="00DD1C76"/>
    <w:rsid w:val="00DD2B33"/>
    <w:rsid w:val="00DF67F7"/>
    <w:rsid w:val="00EB715D"/>
    <w:rsid w:val="00F062B0"/>
    <w:rsid w:val="00F7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90CF"/>
  <w15:docId w15:val="{2D12B906-7F23-4BDB-9C40-026E221E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2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27F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7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7F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7F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7F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F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0D8D"/>
  </w:style>
  <w:style w:type="paragraph" w:styleId="Zpat">
    <w:name w:val="footer"/>
    <w:basedOn w:val="Normln"/>
    <w:link w:val="ZpatChar"/>
    <w:uiPriority w:val="99"/>
    <w:unhideWhenUsed/>
    <w:rsid w:val="00CD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0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1B7BF8839CF74A92228D93B258CAA1" ma:contentTypeVersion="13" ma:contentTypeDescription="Vytvoří nový dokument" ma:contentTypeScope="" ma:versionID="db294155f9791e22d06385f5e91e6324">
  <xsd:schema xmlns:xsd="http://www.w3.org/2001/XMLSchema" xmlns:xs="http://www.w3.org/2001/XMLSchema" xmlns:p="http://schemas.microsoft.com/office/2006/metadata/properties" xmlns:ns3="efac5f05-cf7a-4b5b-9fc8-c24aef98d1cf" xmlns:ns4="6c671791-080d-472c-ab81-ce54b3d5a454" targetNamespace="http://schemas.microsoft.com/office/2006/metadata/properties" ma:root="true" ma:fieldsID="4bb3461a335de0bd6d439d4830b88a13" ns3:_="" ns4:_="">
    <xsd:import namespace="efac5f05-cf7a-4b5b-9fc8-c24aef98d1cf"/>
    <xsd:import namespace="6c671791-080d-472c-ab81-ce54b3d5a4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5f05-cf7a-4b5b-9fc8-c24aef98d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71791-080d-472c-ab81-ce54b3d5a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DD7A97-8593-47B7-B325-5A56153CA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c5f05-cf7a-4b5b-9fc8-c24aef98d1cf"/>
    <ds:schemaRef ds:uri="6c671791-080d-472c-ab81-ce54b3d5a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64D9D-2942-40A9-AF40-2ADD29118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8478E-FAEF-4F0D-8C0F-322E34A838E0}">
  <ds:schemaRefs>
    <ds:schemaRef ds:uri="6c671791-080d-472c-ab81-ce54b3d5a454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efac5f05-cf7a-4b5b-9fc8-c24aef98d1cf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Petra Amchová</cp:lastModifiedBy>
  <cp:revision>2</cp:revision>
  <cp:lastPrinted>2019-11-11T12:12:00Z</cp:lastPrinted>
  <dcterms:created xsi:type="dcterms:W3CDTF">2020-12-07T13:21:00Z</dcterms:created>
  <dcterms:modified xsi:type="dcterms:W3CDTF">2020-12-07T13:21:00Z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0x010100011B7BF8839CF74A92228D93B258CAA1</vt:lpwstr>
  </property>
</Properties>
</file>