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ED39C" w14:textId="77777777" w:rsidR="00F44D6F" w:rsidRPr="00364E77" w:rsidRDefault="00F44D6F" w:rsidP="00F44D6F">
      <w:pPr>
        <w:jc w:val="center"/>
        <w:rPr>
          <w:b/>
        </w:rPr>
      </w:pPr>
      <w:r w:rsidRPr="00364E77">
        <w:rPr>
          <w:b/>
        </w:rPr>
        <w:t>Název výukové jednotky:</w:t>
      </w:r>
      <w:r>
        <w:rPr>
          <w:b/>
        </w:rPr>
        <w:t xml:space="preserve"> </w:t>
      </w:r>
      <w:proofErr w:type="spellStart"/>
      <w:r>
        <w:rPr>
          <w:b/>
        </w:rPr>
        <w:t>Neopioidní</w:t>
      </w:r>
      <w:proofErr w:type="spellEnd"/>
      <w:r>
        <w:rPr>
          <w:b/>
        </w:rPr>
        <w:t xml:space="preserve"> analgetika</w:t>
      </w:r>
    </w:p>
    <w:p w14:paraId="2A58B7AF" w14:textId="77777777" w:rsidR="00AC6536" w:rsidRDefault="00AC6536" w:rsidP="00F44D6F">
      <w:pPr>
        <w:rPr>
          <w:b/>
          <w:bCs/>
        </w:rPr>
      </w:pPr>
    </w:p>
    <w:p w14:paraId="4225E512" w14:textId="3BBF0612" w:rsidR="00F44D6F" w:rsidRPr="00364E77" w:rsidRDefault="00F44D6F" w:rsidP="00F44D6F">
      <w:pPr>
        <w:rPr>
          <w:b/>
          <w:bCs/>
        </w:rPr>
      </w:pPr>
      <w:r>
        <w:rPr>
          <w:b/>
          <w:bCs/>
        </w:rPr>
        <w:t>Význam jednotky</w:t>
      </w:r>
    </w:p>
    <w:p w14:paraId="42D1C7F1" w14:textId="77777777" w:rsidR="00F44D6F" w:rsidRDefault="00F44D6F" w:rsidP="00AC6536">
      <w:pPr>
        <w:spacing w:after="0"/>
        <w:jc w:val="both"/>
      </w:pPr>
      <w:proofErr w:type="spellStart"/>
      <w:r>
        <w:t>Neopioidní</w:t>
      </w:r>
      <w:proofErr w:type="spellEnd"/>
      <w:r>
        <w:t xml:space="preserve"> analgetika je chemicky i farmakologicky heterogenní skupina léčiv, kterou dle jejich spektra účinku rozdělujeme na nesteroidní antiflogistika</w:t>
      </w:r>
      <w:r w:rsidR="00356B35">
        <w:t xml:space="preserve"> </w:t>
      </w:r>
      <w:r>
        <w:t>a analgetika-antipyretika. Jedná se o celosvětově jedny z nepoužívanějších léčiv. Řada z nich je dostupná i bez receptu. Dobrá znalost této farmakoterapeutické skupiny je žádoucí u všech zdravotnických pracovníků.</w:t>
      </w:r>
    </w:p>
    <w:p w14:paraId="04F051AE" w14:textId="77777777" w:rsidR="00F44D6F" w:rsidRDefault="00F44D6F" w:rsidP="00AC6536">
      <w:pPr>
        <w:spacing w:after="0"/>
      </w:pPr>
      <w:r w:rsidRPr="00FE4ACA">
        <w:t>Cílem výukové jednotky je seznámit studenta se skupinou léčiv</w:t>
      </w:r>
      <w:r w:rsidR="00356B35">
        <w:t>, jejich hlavními indikacemi, nežádoucími účinky a kontraindikacemi</w:t>
      </w:r>
      <w:r w:rsidRPr="00FE4ACA">
        <w:t xml:space="preserve">.  </w:t>
      </w:r>
    </w:p>
    <w:p w14:paraId="236EE891" w14:textId="77777777" w:rsidR="00AC6536" w:rsidRDefault="00AC6536" w:rsidP="00F44D6F">
      <w:pPr>
        <w:rPr>
          <w:b/>
        </w:rPr>
      </w:pPr>
    </w:p>
    <w:p w14:paraId="127A2D9F" w14:textId="2344DA14" w:rsidR="00F44D6F" w:rsidRPr="00364E77" w:rsidRDefault="00F44D6F" w:rsidP="00AC6536">
      <w:pPr>
        <w:spacing w:after="60" w:line="240" w:lineRule="auto"/>
        <w:rPr>
          <w:b/>
        </w:rPr>
      </w:pPr>
      <w:r w:rsidRPr="00364E77">
        <w:rPr>
          <w:b/>
        </w:rPr>
        <w:t>Významné pojmy</w:t>
      </w:r>
    </w:p>
    <w:p w14:paraId="7434E315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proofErr w:type="spellStart"/>
      <w:r w:rsidRPr="00356B35">
        <w:rPr>
          <w:rFonts w:cs="DejaVuSerifCondensed"/>
          <w:color w:val="auto"/>
        </w:rPr>
        <w:t>Cyklooxygenáza</w:t>
      </w:r>
      <w:proofErr w:type="spellEnd"/>
      <w:r>
        <w:rPr>
          <w:rFonts w:cs="DejaVuSerifCondensed"/>
          <w:color w:val="auto"/>
        </w:rPr>
        <w:t xml:space="preserve"> 1 a 2</w:t>
      </w:r>
    </w:p>
    <w:p w14:paraId="2BF890EB" w14:textId="77777777" w:rsidR="00356B35" w:rsidRDefault="00356B35" w:rsidP="00AC6536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 xml:space="preserve">Inhibitory </w:t>
      </w:r>
      <w:proofErr w:type="spellStart"/>
      <w:r>
        <w:rPr>
          <w:rFonts w:cs="DejaVuSerifCondensed"/>
          <w:color w:val="auto"/>
        </w:rPr>
        <w:t>cyklooxygenázy</w:t>
      </w:r>
      <w:proofErr w:type="spellEnd"/>
    </w:p>
    <w:p w14:paraId="79DC5D9C" w14:textId="77777777" w:rsidR="00356B35" w:rsidRDefault="00356B35" w:rsidP="00AC6536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  <w:t xml:space="preserve">Ireverzibilní inhibice </w:t>
      </w:r>
      <w:proofErr w:type="spellStart"/>
      <w:r>
        <w:rPr>
          <w:rFonts w:cs="DejaVuSerifCondensed"/>
          <w:color w:val="auto"/>
        </w:rPr>
        <w:t>cyklooxygenázy</w:t>
      </w:r>
      <w:proofErr w:type="spellEnd"/>
    </w:p>
    <w:p w14:paraId="16002C80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Prostaglandiny</w:t>
      </w:r>
    </w:p>
    <w:p w14:paraId="1FB7E3AC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proofErr w:type="spellStart"/>
      <w:r>
        <w:rPr>
          <w:rFonts w:cs="DejaVuSerifCondensed"/>
          <w:color w:val="auto"/>
        </w:rPr>
        <w:t>Prostacyklin</w:t>
      </w:r>
      <w:proofErr w:type="spellEnd"/>
    </w:p>
    <w:p w14:paraId="6CA607A9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proofErr w:type="spellStart"/>
      <w:r>
        <w:rPr>
          <w:rFonts w:cs="DejaVuSerifCondensed"/>
          <w:color w:val="auto"/>
        </w:rPr>
        <w:t>Tromboxan</w:t>
      </w:r>
      <w:proofErr w:type="spellEnd"/>
    </w:p>
    <w:p w14:paraId="3880D7DB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Kyselina acetylsalicylová</w:t>
      </w:r>
    </w:p>
    <w:p w14:paraId="41E5B0F8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ab/>
      </w:r>
      <w:proofErr w:type="spellStart"/>
      <w:r>
        <w:rPr>
          <w:rFonts w:cs="DejaVuSerifCondensed"/>
          <w:color w:val="auto"/>
        </w:rPr>
        <w:t>Reyův</w:t>
      </w:r>
      <w:proofErr w:type="spellEnd"/>
      <w:r>
        <w:rPr>
          <w:rFonts w:cs="DejaVuSerifCondensed"/>
          <w:color w:val="auto"/>
        </w:rPr>
        <w:t xml:space="preserve"> syndrom</w:t>
      </w:r>
    </w:p>
    <w:p w14:paraId="23C2EDB7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Paracetamol</w:t>
      </w:r>
    </w:p>
    <w:p w14:paraId="0826543C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proofErr w:type="spellStart"/>
      <w:r>
        <w:rPr>
          <w:rFonts w:cs="DejaVuSerifCondensed"/>
          <w:color w:val="auto"/>
        </w:rPr>
        <w:t>Metamizol</w:t>
      </w:r>
      <w:proofErr w:type="spellEnd"/>
    </w:p>
    <w:p w14:paraId="417A319A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Ibuprofen</w:t>
      </w:r>
    </w:p>
    <w:p w14:paraId="07CDB671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Naproxen</w:t>
      </w:r>
    </w:p>
    <w:p w14:paraId="79DCCA30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r>
        <w:rPr>
          <w:rFonts w:cs="DejaVuSerifCondensed"/>
          <w:color w:val="auto"/>
        </w:rPr>
        <w:t>Diklofenak</w:t>
      </w:r>
    </w:p>
    <w:p w14:paraId="26459C09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proofErr w:type="spellStart"/>
      <w:r>
        <w:rPr>
          <w:rFonts w:cs="DejaVuSerifCondensed"/>
          <w:color w:val="auto"/>
        </w:rPr>
        <w:t>Indometacin</w:t>
      </w:r>
      <w:proofErr w:type="spellEnd"/>
    </w:p>
    <w:p w14:paraId="577FBDD7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proofErr w:type="spellStart"/>
      <w:r>
        <w:rPr>
          <w:rFonts w:cs="DejaVuSerifCondensed"/>
          <w:color w:val="auto"/>
        </w:rPr>
        <w:t>Meloxikam</w:t>
      </w:r>
      <w:proofErr w:type="spellEnd"/>
    </w:p>
    <w:p w14:paraId="5AA2C043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proofErr w:type="spellStart"/>
      <w:r>
        <w:rPr>
          <w:rFonts w:cs="DejaVuSerifCondensed"/>
          <w:color w:val="auto"/>
        </w:rPr>
        <w:t>Nimesulid</w:t>
      </w:r>
      <w:proofErr w:type="spellEnd"/>
    </w:p>
    <w:p w14:paraId="30B6BE68" w14:textId="77777777" w:rsidR="00F44D6F" w:rsidRDefault="00F44D6F" w:rsidP="00AC6536">
      <w:pPr>
        <w:spacing w:after="60" w:line="240" w:lineRule="auto"/>
        <w:rPr>
          <w:rFonts w:cs="DejaVuSerifCondensed"/>
          <w:color w:val="auto"/>
        </w:rPr>
      </w:pPr>
      <w:proofErr w:type="spellStart"/>
      <w:r>
        <w:rPr>
          <w:rFonts w:cs="DejaVuSerifCondensed"/>
          <w:color w:val="auto"/>
        </w:rPr>
        <w:t>Celekoxib</w:t>
      </w:r>
      <w:proofErr w:type="spellEnd"/>
    </w:p>
    <w:p w14:paraId="6DB35D1E" w14:textId="77777777" w:rsidR="00F44D6F" w:rsidRDefault="00F44D6F" w:rsidP="00F44D6F">
      <w:pPr>
        <w:spacing w:after="0" w:line="240" w:lineRule="auto"/>
        <w:rPr>
          <w:rFonts w:cs="DejaVuSerifCondensed"/>
          <w:color w:val="auto"/>
        </w:rPr>
      </w:pPr>
    </w:p>
    <w:p w14:paraId="7642078A" w14:textId="77777777" w:rsidR="00F44D6F" w:rsidRPr="00364E77" w:rsidRDefault="00F44D6F" w:rsidP="00F44D6F">
      <w:pPr>
        <w:spacing w:after="0" w:line="240" w:lineRule="auto"/>
        <w:rPr>
          <w:rFonts w:cs="DejaVuSerifCondensed"/>
          <w:color w:val="FF0000"/>
        </w:rPr>
      </w:pPr>
      <w:r w:rsidRPr="003E4B2A">
        <w:rPr>
          <w:rFonts w:cs="DejaVuSerifCondensed"/>
          <w:color w:val="FF0000"/>
        </w:rPr>
        <w:tab/>
      </w:r>
    </w:p>
    <w:p w14:paraId="5E282D45" w14:textId="77777777" w:rsidR="00F44D6F" w:rsidRPr="00364E77" w:rsidRDefault="00F44D6F" w:rsidP="00F44D6F">
      <w:pPr>
        <w:spacing w:after="0" w:line="240" w:lineRule="auto"/>
        <w:rPr>
          <w:b/>
        </w:rPr>
      </w:pPr>
      <w:r w:rsidRPr="00364E77">
        <w:rPr>
          <w:b/>
        </w:rPr>
        <w:t>Výstupy z učení</w:t>
      </w:r>
    </w:p>
    <w:p w14:paraId="465D9EE3" w14:textId="77777777" w:rsidR="00264AE2" w:rsidRDefault="00264AE2" w:rsidP="00F44D6F">
      <w:pPr>
        <w:spacing w:after="0" w:line="240" w:lineRule="auto"/>
      </w:pPr>
      <w:r w:rsidRPr="00264AE2">
        <w:t xml:space="preserve">Student </w:t>
      </w:r>
      <w:r w:rsidR="00475B20">
        <w:t>zná mechanismus</w:t>
      </w:r>
      <w:r>
        <w:t xml:space="preserve"> účinku </w:t>
      </w:r>
      <w:r w:rsidR="00475B20">
        <w:t xml:space="preserve">farmakoterapeutické </w:t>
      </w:r>
      <w:r>
        <w:t xml:space="preserve">skupiny. </w:t>
      </w:r>
    </w:p>
    <w:p w14:paraId="10A536BF" w14:textId="77777777" w:rsidR="00F44D6F" w:rsidRDefault="00264AE2" w:rsidP="00F44D6F">
      <w:pPr>
        <w:spacing w:after="0" w:line="240" w:lineRule="auto"/>
      </w:pPr>
      <w:r>
        <w:t>Student dokáže vysvětlit rozdíl mezi nesteroidními antiflogistiky a analgetiky-antipyretiky.</w:t>
      </w:r>
    </w:p>
    <w:p w14:paraId="2D31ED6B" w14:textId="77777777" w:rsidR="00356B35" w:rsidRDefault="00356B35" w:rsidP="00F44D6F">
      <w:pPr>
        <w:spacing w:after="0" w:line="240" w:lineRule="auto"/>
      </w:pPr>
      <w:r>
        <w:t>Student dokáže chápe rozdíly mezi nespecifických a specifických či preferenčních inhibitorů COX.</w:t>
      </w:r>
    </w:p>
    <w:p w14:paraId="6F6DE5E7" w14:textId="77777777" w:rsidR="00264AE2" w:rsidRDefault="00475B20" w:rsidP="00F44D6F">
      <w:pPr>
        <w:spacing w:after="0" w:line="240" w:lineRule="auto"/>
      </w:pPr>
      <w:r>
        <w:t>Student zná základní indikace, nežádoucí účinky a kontraindikace jednotlivých léčiv.</w:t>
      </w:r>
    </w:p>
    <w:p w14:paraId="7F5A06AD" w14:textId="77777777" w:rsidR="00AC6536" w:rsidRDefault="00AC6536" w:rsidP="00AC6536">
      <w:pPr>
        <w:spacing w:after="60" w:line="240" w:lineRule="auto"/>
        <w:rPr>
          <w:b/>
        </w:rPr>
      </w:pPr>
    </w:p>
    <w:p w14:paraId="06C42EAB" w14:textId="3E849522" w:rsidR="00F44D6F" w:rsidRDefault="00F44D6F" w:rsidP="00AC6536">
      <w:pPr>
        <w:spacing w:after="60" w:line="240" w:lineRule="auto"/>
        <w:rPr>
          <w:b/>
        </w:rPr>
      </w:pPr>
      <w:r>
        <w:rPr>
          <w:b/>
        </w:rPr>
        <w:t>Informační zdroje</w:t>
      </w:r>
    </w:p>
    <w:p w14:paraId="2F3F0B06" w14:textId="77777777" w:rsidR="001B6E1A" w:rsidRDefault="001B6E1A" w:rsidP="00AC6536">
      <w:pPr>
        <w:spacing w:after="60" w:line="240" w:lineRule="auto"/>
      </w:pPr>
      <w:r>
        <w:t>Podklady k přednáškám (IS)</w:t>
      </w:r>
    </w:p>
    <w:p w14:paraId="2096A1CD" w14:textId="77777777" w:rsidR="00F44D6F" w:rsidRDefault="00F44D6F" w:rsidP="00F44D6F">
      <w:pPr>
        <w:rPr>
          <w:b/>
        </w:rPr>
      </w:pPr>
      <w:r>
        <w:t>Farmakologie pro studenty bakalářských oborů na MU (str.</w:t>
      </w:r>
      <w:r w:rsidR="00356B35">
        <w:t xml:space="preserve"> </w:t>
      </w:r>
      <w:proofErr w:type="gramStart"/>
      <w:r w:rsidR="00356B35">
        <w:t>217 - 222</w:t>
      </w:r>
      <w:proofErr w:type="gramEnd"/>
      <w:r>
        <w:t>)</w:t>
      </w:r>
    </w:p>
    <w:p w14:paraId="4DC9E6ED" w14:textId="77777777" w:rsidR="00FA7DCA" w:rsidRDefault="00FA7DCA"/>
    <w:sectPr w:rsidR="00FA7DCA" w:rsidSect="007E2E67">
      <w:headerReference w:type="default" r:id="rId9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B9DE1" w14:textId="77777777" w:rsidR="00AC6536" w:rsidRDefault="00AC6536" w:rsidP="00AC6536">
      <w:pPr>
        <w:spacing w:after="0" w:line="240" w:lineRule="auto"/>
      </w:pPr>
      <w:r>
        <w:separator/>
      </w:r>
    </w:p>
  </w:endnote>
  <w:endnote w:type="continuationSeparator" w:id="0">
    <w:p w14:paraId="7430BF24" w14:textId="77777777" w:rsidR="00AC6536" w:rsidRDefault="00AC6536" w:rsidP="00AC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C096B" w14:textId="77777777" w:rsidR="00AC6536" w:rsidRDefault="00AC6536" w:rsidP="00AC6536">
      <w:pPr>
        <w:spacing w:after="0" w:line="240" w:lineRule="auto"/>
      </w:pPr>
      <w:r>
        <w:separator/>
      </w:r>
    </w:p>
  </w:footnote>
  <w:footnote w:type="continuationSeparator" w:id="0">
    <w:p w14:paraId="3350497F" w14:textId="77777777" w:rsidR="00AC6536" w:rsidRDefault="00AC6536" w:rsidP="00AC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9EF89" w14:textId="40087844" w:rsidR="00AC6536" w:rsidRDefault="00AC6536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1FFAA757" wp14:editId="1CCB20E4">
          <wp:simplePos x="0" y="0"/>
          <wp:positionH relativeFrom="margin">
            <wp:posOffset>-152400</wp:posOffset>
          </wp:positionH>
          <wp:positionV relativeFrom="page">
            <wp:posOffset>304800</wp:posOffset>
          </wp:positionV>
          <wp:extent cx="552450" cy="380365"/>
          <wp:effectExtent l="0" t="0" r="0" b="635"/>
          <wp:wrapTight wrapText="bothSides">
            <wp:wrapPolygon edited="0">
              <wp:start x="0" y="0"/>
              <wp:lineTo x="0" y="20554"/>
              <wp:lineTo x="15641" y="20554"/>
              <wp:lineTo x="17876" y="17309"/>
              <wp:lineTo x="20855" y="6491"/>
              <wp:lineTo x="208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6F"/>
    <w:rsid w:val="000C3AEB"/>
    <w:rsid w:val="00142765"/>
    <w:rsid w:val="001B6E1A"/>
    <w:rsid w:val="00264AE2"/>
    <w:rsid w:val="00356B35"/>
    <w:rsid w:val="00475B20"/>
    <w:rsid w:val="00607FB9"/>
    <w:rsid w:val="00AC6536"/>
    <w:rsid w:val="00F44D6F"/>
    <w:rsid w:val="00FA7DCA"/>
    <w:rsid w:val="00F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2F6D"/>
  <w15:chartTrackingRefBased/>
  <w15:docId w15:val="{E31247D3-4F42-46E9-BE47-DD08858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D6F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536"/>
    <w:rPr>
      <w:rFonts w:ascii="Calibri" w:eastAsia="Droid Sans Fallback" w:hAnsi="Calibri" w:cs="Calibri"/>
      <w:color w:val="00000A"/>
    </w:rPr>
  </w:style>
  <w:style w:type="paragraph" w:styleId="Zpat">
    <w:name w:val="footer"/>
    <w:basedOn w:val="Normln"/>
    <w:link w:val="ZpatChar"/>
    <w:uiPriority w:val="99"/>
    <w:unhideWhenUsed/>
    <w:rsid w:val="00AC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536"/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B7BF8839CF74A92228D93B258CAA1" ma:contentTypeVersion="13" ma:contentTypeDescription="Vytvoří nový dokument" ma:contentTypeScope="" ma:versionID="db294155f9791e22d06385f5e91e6324">
  <xsd:schema xmlns:xsd="http://www.w3.org/2001/XMLSchema" xmlns:xs="http://www.w3.org/2001/XMLSchema" xmlns:p="http://schemas.microsoft.com/office/2006/metadata/properties" xmlns:ns3="efac5f05-cf7a-4b5b-9fc8-c24aef98d1cf" xmlns:ns4="6c671791-080d-472c-ab81-ce54b3d5a454" targetNamespace="http://schemas.microsoft.com/office/2006/metadata/properties" ma:root="true" ma:fieldsID="4bb3461a335de0bd6d439d4830b88a13" ns3:_="" ns4:_="">
    <xsd:import namespace="efac5f05-cf7a-4b5b-9fc8-c24aef98d1cf"/>
    <xsd:import namespace="6c671791-080d-472c-ab81-ce54b3d5a4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5f05-cf7a-4b5b-9fc8-c24aef98d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1791-080d-472c-ab81-ce54b3d5a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6F261-3034-4591-871B-4489CF11A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c5f05-cf7a-4b5b-9fc8-c24aef98d1cf"/>
    <ds:schemaRef ds:uri="6c671791-080d-472c-ab81-ce54b3d5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10CE6-8EA9-493F-9A80-54B92CE2F35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fac5f05-cf7a-4b5b-9fc8-c24aef98d1cf"/>
    <ds:schemaRef ds:uri="http://purl.org/dc/terms/"/>
    <ds:schemaRef ds:uri="http://purl.org/dc/dcmitype/"/>
    <ds:schemaRef ds:uri="http://schemas.openxmlformats.org/package/2006/metadata/core-properties"/>
    <ds:schemaRef ds:uri="6c671791-080d-472c-ab81-ce54b3d5a45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D6ACEB-3753-42FC-BF60-F768E5C0D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Nosková</dc:creator>
  <cp:keywords/>
  <dc:description/>
  <cp:lastModifiedBy>Petra Amchová</cp:lastModifiedBy>
  <cp:revision>2</cp:revision>
  <dcterms:created xsi:type="dcterms:W3CDTF">2020-12-07T13:24:00Z</dcterms:created>
  <dcterms:modified xsi:type="dcterms:W3CDTF">2020-12-07T13:24:00Z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0x010100011B7BF8839CF74A92228D93B258CAA1</vt:lpwstr>
  </property>
</Properties>
</file>