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C6" w:rsidRDefault="000D0BC6" w:rsidP="00885CFD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  <w:t xml:space="preserve">Plánované rodičovství 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bookmarkStart w:id="0" w:name="_GoBack"/>
      <w:bookmarkEnd w:id="0"/>
      <w:r w:rsidRPr="00885CFD">
        <w:rPr>
          <w:rFonts w:ascii="Calibri" w:eastAsia="Times New Roman" w:hAnsi="Calibri" w:cs="Calibri"/>
          <w:color w:val="00000A"/>
          <w:sz w:val="28"/>
          <w:szCs w:val="28"/>
          <w:lang w:eastAsia="cs-CZ"/>
        </w:rPr>
        <w:t>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u w:val="single"/>
          <w:lang w:eastAsia="cs-CZ"/>
        </w:rPr>
        <w:t>Antikoncepce (kontracepce)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reverzibilní metody zabraňující nechtěné graviditě  </w:t>
      </w:r>
    </w:p>
    <w:p w:rsidR="00885CFD" w:rsidRPr="00885CFD" w:rsidRDefault="00885CFD" w:rsidP="00885CF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používají se před pohlavním stykem, během nebo i po něm  </w:t>
      </w:r>
    </w:p>
    <w:p w:rsidR="00885CFD" w:rsidRPr="00885CFD" w:rsidRDefault="00885CFD" w:rsidP="00885CFD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k vyjádření spolehlivost i antikoncepce se využívá </w:t>
      </w: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index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počet otěhotnění na 100 žen během jednoho roku pravidelného sexuálního života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ideální x běžná uživatelka  </w:t>
      </w:r>
    </w:p>
    <w:p w:rsidR="00885CFD" w:rsidRPr="00885CFD" w:rsidRDefault="00885CFD" w:rsidP="00885CFD">
      <w:pPr>
        <w:numPr>
          <w:ilvl w:val="0"/>
          <w:numId w:val="4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čím nižší index, tím větší spolehlivost metody  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Přirozené metody regulace fertility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Kojení 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důležitá frekvence kojení, ne množství vypitého mléka </w:t>
      </w:r>
    </w:p>
    <w:p w:rsidR="00885CFD" w:rsidRPr="00885CFD" w:rsidRDefault="00885CFD" w:rsidP="00885CF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fyziologická inhibice ovulace vysokou hladinou prolaktinu a útlumem gonadotropinů  </w:t>
      </w:r>
    </w:p>
    <w:p w:rsidR="00885CFD" w:rsidRPr="00885CFD" w:rsidRDefault="00885CFD" w:rsidP="00885CF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u w:val="single"/>
          <w:lang w:eastAsia="cs-CZ"/>
        </w:rPr>
        <w:t>podmínky použití kojení jako antikoncepční metody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7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ne delší doba než šest měsíců od porodu, plné kojení bez příkrmů, žena neměla po porodu menstruaci, dítě kojeno jednou za 4 hodiny, v noci jednou za 6 hodin  </w:t>
      </w:r>
    </w:p>
    <w:p w:rsidR="00885CFD" w:rsidRPr="00885CFD" w:rsidRDefault="00885CFD" w:rsidP="00885CFD">
      <w:pPr>
        <w:numPr>
          <w:ilvl w:val="0"/>
          <w:numId w:val="7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při dodržení podmínek </w:t>
      </w:r>
      <w:proofErr w:type="spellStart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index asi 3 </w:t>
      </w:r>
    </w:p>
    <w:p w:rsidR="00885CFD" w:rsidRPr="00885CFD" w:rsidRDefault="00885CFD" w:rsidP="00885CFD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Kalendářní metoda (periodická abstinence)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výpočet neplodných dnů podle délky menstruačního cyklu </w:t>
      </w:r>
    </w:p>
    <w:p w:rsidR="00885CFD" w:rsidRPr="00885CFD" w:rsidRDefault="00885CFD" w:rsidP="00885CFD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dnes již překonaná metoda, </w:t>
      </w:r>
      <w:proofErr w:type="spellStart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index 14-35 </w:t>
      </w:r>
    </w:p>
    <w:p w:rsidR="00885CFD" w:rsidRPr="00885CFD" w:rsidRDefault="00885CFD" w:rsidP="00885CFD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Hlenová metoda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využívá sledování změn hlenu tvořeného žlázkami děložního hrdla  </w:t>
      </w:r>
    </w:p>
    <w:p w:rsidR="00885CFD" w:rsidRPr="00885CFD" w:rsidRDefault="00885CFD" w:rsidP="00885CFD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po menstruaci je hlen vazký a je ho malé množství, se změnou kvality hlenu začínají plodné dny </w:t>
      </w:r>
    </w:p>
    <w:p w:rsidR="00885CFD" w:rsidRPr="00885CFD" w:rsidRDefault="00885CFD" w:rsidP="00885CFD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index podobný jako u předchozí metody </w:t>
      </w:r>
    </w:p>
    <w:p w:rsidR="00885CFD" w:rsidRPr="00885CFD" w:rsidRDefault="00885CFD" w:rsidP="00885CFD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Měření bazální teploty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den před zvýšením bazální teploty a první den počínajícího vzestupu se považují za dny pravděpodobné ovulace </w:t>
      </w:r>
    </w:p>
    <w:p w:rsidR="00885CFD" w:rsidRPr="00885CFD" w:rsidRDefault="00885CFD" w:rsidP="00885CFD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málo spolehlivá metoda </w:t>
      </w:r>
    </w:p>
    <w:p w:rsidR="00885CFD" w:rsidRPr="00885CFD" w:rsidRDefault="00885CFD" w:rsidP="00885CFD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Cervikální metoda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Krystalizace slin 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proofErr w:type="spellStart"/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Coitus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 </w:t>
      </w:r>
      <w:proofErr w:type="spellStart"/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interruptus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 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ejakulace mimo rodidla ženy  </w:t>
      </w:r>
    </w:p>
    <w:p w:rsidR="00885CFD" w:rsidRPr="00885CFD" w:rsidRDefault="00885CFD" w:rsidP="00885CFD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index ideálního uživatele je asi 5 </w:t>
      </w:r>
    </w:p>
    <w:p w:rsidR="00885CFD" w:rsidRPr="00885CFD" w:rsidRDefault="00885CFD" w:rsidP="00885CFD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sz w:val="18"/>
          <w:szCs w:val="18"/>
          <w:u w:val="single"/>
          <w:lang w:eastAsia="cs-CZ"/>
        </w:rPr>
        <w:t>příčiny selhání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: </w:t>
      </w:r>
      <w:proofErr w:type="spellStart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preejakulační</w:t>
      </w:r>
      <w:proofErr w:type="spellEnd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tekutina, která obsahuje dostatek spermií k oplodnění, přežívání spermií v </w:t>
      </w:r>
      <w:proofErr w:type="spellStart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parauretrálních</w:t>
      </w:r>
      <w:proofErr w:type="spellEnd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  <w:proofErr w:type="spellStart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žlázkáchm</w:t>
      </w:r>
      <w:proofErr w:type="spellEnd"/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odkud jsou při další souloži vmasírovány do pochvy  </w:t>
      </w:r>
    </w:p>
    <w:p w:rsidR="00885CFD" w:rsidRPr="00885CFD" w:rsidRDefault="00885CFD" w:rsidP="00885CFD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sz w:val="18"/>
          <w:szCs w:val="18"/>
          <w:lang w:eastAsia="cs-CZ"/>
        </w:rPr>
        <w:t>Úplná koitální abstinence</w:t>
      </w:r>
      <w:r w:rsidRPr="00885CFD">
        <w:rPr>
          <w:rFonts w:ascii="Calibri" w:eastAsia="Times New Roman" w:hAnsi="Calibri" w:cs="Calibri"/>
          <w:color w:val="00000A"/>
          <w:sz w:val="18"/>
          <w:szCs w:val="18"/>
          <w:lang w:eastAsia="cs-CZ"/>
        </w:rPr>
        <w:t>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Bariérová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Spermicidy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látky, které svou vazbou na spermie způsobují jejich znehodnocení </w:t>
      </w:r>
    </w:p>
    <w:p w:rsidR="00885CFD" w:rsidRPr="00885CFD" w:rsidRDefault="00885CFD" w:rsidP="00885CFD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nonoxynol-9, </w:t>
      </w: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benzalkonii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chloridum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vaginální tablety nebo vaginální krém  </w:t>
      </w:r>
    </w:p>
    <w:p w:rsidR="00885CFD" w:rsidRPr="00885CFD" w:rsidRDefault="00885CFD" w:rsidP="00885CFD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vysoké riziko selhání, vhodná kombinace s kondomem</w:t>
      </w: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Vaginální diafragma (cervikální pesar, ženský kondom, vaginální hubky)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nízká spolehlivost  </w:t>
      </w:r>
    </w:p>
    <w:p w:rsidR="00885CFD" w:rsidRPr="00885CFD" w:rsidRDefault="00885CFD" w:rsidP="00885CFD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kromě ženského kondomu (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Femidom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) nejsou nyní na českém trhu  </w:t>
      </w:r>
    </w:p>
    <w:p w:rsidR="00885CFD" w:rsidRPr="00885CFD" w:rsidRDefault="00885CFD" w:rsidP="00885CF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Mužská bariérová antikoncepce – kondom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metoda ochrany před otěhotněním a před přenosem STD  </w:t>
      </w:r>
    </w:p>
    <w:p w:rsidR="00885CFD" w:rsidRPr="00885CFD" w:rsidRDefault="00885CFD" w:rsidP="00885CFD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index je asi 4, v běžné praxi 10 – vysoká chybovost při používání 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Nitroděložní antikoncepce – nitroděložní tělísko (IUD)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zavedení tělíska do dutiny děložní, do směsi je přidáván síran barnatý, který umožňuje ultrazvukovou kontrolu tělíska + měděný drátek    </w:t>
      </w:r>
    </w:p>
    <w:p w:rsidR="00885CFD" w:rsidRPr="00885CFD" w:rsidRDefault="00885CFD" w:rsidP="00885CF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mechanismus účinku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přítomnost cizího tělesa v děloze pravděpodobně inhibuje migraci spermií z pochvy do horních částí ženského genitálu </w:t>
      </w:r>
    </w:p>
    <w:p w:rsidR="00885CFD" w:rsidRPr="00885CFD" w:rsidRDefault="00885CFD" w:rsidP="00885CFD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lastRenderedPageBreak/>
        <w:t>vyvolá zvýšenou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hyperperistaltiku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vejcovodů – vajíčko se dostane do děložní dutiny v takovém stadiu vývoje, kdy není schopno se implantovat </w:t>
      </w:r>
    </w:p>
    <w:p w:rsidR="00885CFD" w:rsidRPr="00885CFD" w:rsidRDefault="00885CFD" w:rsidP="00885CFD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lokálně vyvolává místní aseptickou zánětlivou reakci v endometriu, která brání implantaci plodového vejce  </w:t>
      </w:r>
    </w:p>
    <w:p w:rsidR="00885CFD" w:rsidRPr="00885CFD" w:rsidRDefault="00885CFD" w:rsidP="00885CFD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spermicidní účinek mědi nebo jiného kovu </w:t>
      </w:r>
    </w:p>
    <w:p w:rsidR="00885CFD" w:rsidRPr="00885CFD" w:rsidRDefault="00885CFD" w:rsidP="00885C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zavádí se třetí/čtvrtý den pravidelného menstruačního krvácení po gynekologickém vyšetření a cytologickém a kolposkopickém vyšetření děložního hrdla </w:t>
      </w:r>
    </w:p>
    <w:p w:rsidR="00885CFD" w:rsidRPr="00885CFD" w:rsidRDefault="00885CFD" w:rsidP="00885CF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zavádějí se zvláštním aplikátorem do děložní dutiny po zachycení a zastavení děložního čípku americkými kleštěmi co nejvýše k děložnímu fundu, kde se rozvinou do svého tvaru </w:t>
      </w:r>
    </w:p>
    <w:p w:rsidR="00885CFD" w:rsidRPr="00885CFD" w:rsidRDefault="00885CFD" w:rsidP="00885C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pro kontrolu a snadnou extrakci mají vlákno, které ční do pochvy </w:t>
      </w:r>
    </w:p>
    <w:p w:rsidR="00885CFD" w:rsidRPr="00885CFD" w:rsidRDefault="00885CFD" w:rsidP="00885C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doba ponechání tělíska 4-5 let </w:t>
      </w:r>
    </w:p>
    <w:p w:rsidR="00885CFD" w:rsidRPr="00885CFD" w:rsidRDefault="00885CFD" w:rsidP="00885C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index 0,1-1  </w:t>
      </w:r>
    </w:p>
    <w:p w:rsidR="00885CFD" w:rsidRPr="00885CFD" w:rsidRDefault="00885CFD" w:rsidP="00885CF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Nežádoucí účinky a komplikace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selhání IUD </w:t>
      </w:r>
    </w:p>
    <w:p w:rsidR="00885CFD" w:rsidRPr="00885CFD" w:rsidRDefault="00885CFD" w:rsidP="00885CFD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krvácení, špinění </w:t>
      </w:r>
    </w:p>
    <w:p w:rsidR="00885CFD" w:rsidRPr="00885CFD" w:rsidRDefault="00885CFD" w:rsidP="00885CFD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bolest v podbřišku </w:t>
      </w:r>
    </w:p>
    <w:p w:rsidR="00885CFD" w:rsidRPr="00885CFD" w:rsidRDefault="00885CFD" w:rsidP="00885CFD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pánevní zánětlivá onemocnění – aktinomykóza </w:t>
      </w:r>
    </w:p>
    <w:p w:rsidR="00885CFD" w:rsidRPr="00885CFD" w:rsidRDefault="00885CFD" w:rsidP="00885CFD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spontánní expulze IUD – nejčastěji při menstruaci </w:t>
      </w:r>
    </w:p>
    <w:p w:rsidR="00885CFD" w:rsidRPr="00885CFD" w:rsidRDefault="00885CFD" w:rsidP="00885CFD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perforace děložní stěny – vzácná, spíše při zavádění </w:t>
      </w:r>
    </w:p>
    <w:p w:rsidR="00885CFD" w:rsidRPr="00885CFD" w:rsidRDefault="00885CFD" w:rsidP="00885CFD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Nitroděložní systém s </w:t>
      </w: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levonogestrelem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dominantní mechanismus účinku je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atrofizace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endometria, změna cervikálního hlenu bránící průniku spermií, ovlivnění motility tub </w:t>
      </w:r>
    </w:p>
    <w:p w:rsidR="00885CFD" w:rsidRPr="00885CFD" w:rsidRDefault="00885CFD" w:rsidP="00885CFD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účinnost blízká sterilizaci  </w:t>
      </w:r>
    </w:p>
    <w:p w:rsidR="00885CFD" w:rsidRPr="00885CFD" w:rsidRDefault="00885CFD" w:rsidP="00885CFD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stejné kontraindikace podání jako u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gestagenní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antikoncepce </w:t>
      </w:r>
    </w:p>
    <w:p w:rsidR="00885CFD" w:rsidRPr="00885CFD" w:rsidRDefault="00885CFD" w:rsidP="00885CFD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zavádí se na dobu tří až pěti let 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Kombinovaná hormonální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nejrozšířenější,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index 0,1-0,2 </w:t>
      </w:r>
    </w:p>
    <w:p w:rsidR="00885CFD" w:rsidRPr="00885CFD" w:rsidRDefault="00885CFD" w:rsidP="00885CFD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mechanismus účinku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 xml:space="preserve">blokování ovulace pomocí kombinace estrogenů a 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gestagenů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 xml:space="preserve"> – cestou negativní zpětné vazby inhibují sekreci gonadotropinů, progestiny ovlivňují také motilitu vejcovodů, trofiku sliznice a cervikální hlen  </w:t>
      </w:r>
    </w:p>
    <w:p w:rsidR="00885CFD" w:rsidRPr="00885CFD" w:rsidRDefault="00885CFD" w:rsidP="00885CFD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estrogenní složka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ve většině případů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ethinylestradiol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 </w:t>
      </w:r>
    </w:p>
    <w:p w:rsidR="00885CFD" w:rsidRPr="00885CFD" w:rsidRDefault="00885CFD" w:rsidP="00885CFD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dělíme je na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vysokodávkované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(40-50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ug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),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nízkodávkované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(30.37,5ug), velmi nízko dávkované (15-20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ug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) </w:t>
      </w:r>
    </w:p>
    <w:p w:rsidR="00885CFD" w:rsidRPr="00885CFD" w:rsidRDefault="00885CFD" w:rsidP="00885CFD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gestageny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progestiny s reziduálním androgenním účinkem</w:t>
      </w:r>
      <w:r w:rsidRPr="00885CFD">
        <w:rPr>
          <w:rFonts w:ascii="Calibri" w:eastAsia="Times New Roman" w:hAnsi="Calibri" w:cs="Calibri"/>
          <w:color w:val="00000A"/>
          <w:lang w:eastAsia="cs-CZ"/>
        </w:rPr>
        <w:t> –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norethisteron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lynestrenol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levonogestrel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progestiny s minimální androgenní aktivitou</w:t>
      </w:r>
      <w:r w:rsidRPr="00885CFD">
        <w:rPr>
          <w:rFonts w:ascii="Calibri" w:eastAsia="Times New Roman" w:hAnsi="Calibri" w:cs="Calibri"/>
          <w:color w:val="00000A"/>
          <w:lang w:eastAsia="cs-CZ"/>
        </w:rPr>
        <w:t> –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desogestrel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norgestimát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gestoden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progestiny s </w:t>
      </w:r>
      <w:proofErr w:type="spellStart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antiandrogenním</w:t>
      </w:r>
      <w:proofErr w:type="spellEnd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 účinkem</w:t>
      </w:r>
      <w:r w:rsidRPr="00885CFD">
        <w:rPr>
          <w:rFonts w:ascii="Calibri" w:eastAsia="Times New Roman" w:hAnsi="Calibri" w:cs="Calibri"/>
          <w:color w:val="00000A"/>
          <w:lang w:eastAsia="cs-CZ"/>
        </w:rPr>
        <w:t> –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cyproteronacetát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dienogest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(mají navíc účinky na zlepšení mastné pleti, akné, hirsutismu, alopecie),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drospirenon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(není přírůstek na váze v důsledku retence vody, úleva od mastodynie a premenstruačního syndromu) </w:t>
      </w:r>
    </w:p>
    <w:p w:rsidR="00885CFD" w:rsidRPr="00885CFD" w:rsidRDefault="00885CFD" w:rsidP="00885CFD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jedinečnost používané antikoncepce je založena právě na druhu progestinu  </w:t>
      </w:r>
    </w:p>
    <w:p w:rsidR="00885CFD" w:rsidRPr="00885CFD" w:rsidRDefault="00885CFD" w:rsidP="00885CFD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Typy kombinované perorální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monofazické</w:t>
      </w:r>
      <w:proofErr w:type="spellEnd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 preparáty – dávka</w:t>
      </w:r>
      <w:r w:rsidRPr="00885CFD">
        <w:rPr>
          <w:rFonts w:ascii="Calibri" w:eastAsia="Times New Roman" w:hAnsi="Calibri" w:cs="Calibri"/>
          <w:color w:val="00000A"/>
          <w:lang w:eastAsia="cs-CZ"/>
        </w:rPr>
        <w:t xml:space="preserve"> estrogenu a 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gestagenu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 xml:space="preserve"> se během cyklu nemění </w:t>
      </w:r>
    </w:p>
    <w:p w:rsidR="00885CFD" w:rsidRPr="00885CFD" w:rsidRDefault="00885CFD" w:rsidP="00885CFD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bifázické</w:t>
      </w:r>
      <w:proofErr w:type="spellEnd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 preparáty – zvýšení</w:t>
      </w:r>
      <w:r w:rsidRPr="00885CFD">
        <w:rPr>
          <w:rFonts w:ascii="Calibri" w:eastAsia="Times New Roman" w:hAnsi="Calibri" w:cs="Calibri"/>
          <w:color w:val="00000A"/>
          <w:lang w:eastAsia="cs-CZ"/>
        </w:rPr>
        <w:t> dávky progestinu v druhé polovině cyklu  </w:t>
      </w:r>
    </w:p>
    <w:p w:rsidR="00885CFD" w:rsidRPr="00885CFD" w:rsidRDefault="00885CFD" w:rsidP="00885CFD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trifázické</w:t>
      </w:r>
      <w:proofErr w:type="spellEnd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 preparáty – mění</w:t>
      </w:r>
      <w:r w:rsidRPr="00885CFD">
        <w:rPr>
          <w:rFonts w:ascii="Calibri" w:eastAsia="Times New Roman" w:hAnsi="Calibri" w:cs="Calibri"/>
          <w:color w:val="00000A"/>
          <w:lang w:eastAsia="cs-CZ"/>
        </w:rPr>
        <w:t> dávky progestinu dvakrát, případně i úprava dávky EE  </w:t>
      </w:r>
    </w:p>
    <w:p w:rsidR="00885CFD" w:rsidRPr="00885CFD" w:rsidRDefault="00885CFD" w:rsidP="00885CFD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Formy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perorální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transdermální</w:t>
      </w:r>
      <w:proofErr w:type="spellEnd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 antikoncepční systém (antikoncepční náplast)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t</w:t>
      </w: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ransvaginální</w:t>
      </w:r>
      <w:proofErr w:type="spellEnd"/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 antikoncepce (vaginální kroužek)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Perorální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lastRenderedPageBreak/>
        <w:t>nasazujeme na začátku menstruačního cyklu </w:t>
      </w:r>
    </w:p>
    <w:p w:rsidR="00885CFD" w:rsidRPr="00885CFD" w:rsidRDefault="00885CFD" w:rsidP="00885CFD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většinou se užívá 21 dní, pak 7 dní pauza (nebo 24 účinných tablet a 4 neúčinné nebo 21 tablet účinných a 7 neúčinných – berou se tedy bez pauzy) </w:t>
      </w:r>
    </w:p>
    <w:p w:rsidR="00885CFD" w:rsidRPr="00885CFD" w:rsidRDefault="00885CFD" w:rsidP="00885CFD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během pauzy se objevuje </w:t>
      </w: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pseudomenstruační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krvácení</w:t>
      </w:r>
      <w:r w:rsidRPr="00885CFD">
        <w:rPr>
          <w:rFonts w:ascii="Calibri" w:eastAsia="Times New Roman" w:hAnsi="Calibri" w:cs="Calibri"/>
          <w:color w:val="00000A"/>
          <w:lang w:eastAsia="cs-CZ"/>
        </w:rPr>
        <w:t> ze spádu hormonálních hlad </w:t>
      </w:r>
    </w:p>
    <w:p w:rsidR="00885CFD" w:rsidRPr="00885CFD" w:rsidRDefault="00885CFD" w:rsidP="00885CFD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užívají se denně ve stejnou hodinu (zpoždění nesmí přesáhnout 12 hodin)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B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359"/>
      </w:tblGrid>
      <w:tr w:rsidR="00885CFD" w:rsidRPr="00885CFD" w:rsidTr="00885CFD"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885CFD" w:rsidRPr="00885CFD" w:rsidRDefault="00885CFD" w:rsidP="00885CFD">
            <w:pPr>
              <w:spacing w:after="0" w:line="240" w:lineRule="auto"/>
              <w:jc w:val="center"/>
              <w:textAlignment w:val="baseline"/>
              <w:divId w:val="73173645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b/>
                <w:bCs/>
                <w:color w:val="00000A"/>
                <w:lang w:eastAsia="cs-CZ"/>
              </w:rPr>
              <w:t>Kontraindikace kombinované antikoncepce</w:t>
            </w: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</w:t>
            </w:r>
          </w:p>
        </w:tc>
      </w:tr>
      <w:tr w:rsidR="00885CFD" w:rsidRPr="00885CFD" w:rsidTr="00885CFD">
        <w:tc>
          <w:tcPr>
            <w:tcW w:w="48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885CFD" w:rsidRPr="00885CFD" w:rsidRDefault="00885CFD" w:rsidP="00885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b/>
                <w:bCs/>
                <w:color w:val="00000A"/>
                <w:lang w:eastAsia="cs-CZ"/>
              </w:rPr>
              <w:t>Absolutní</w:t>
            </w: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885CFD" w:rsidRPr="00885CFD" w:rsidRDefault="00885CFD" w:rsidP="00885C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b/>
                <w:bCs/>
                <w:color w:val="00000A"/>
                <w:lang w:eastAsia="cs-CZ"/>
              </w:rPr>
              <w:t>Relativní</w:t>
            </w: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</w:t>
            </w:r>
          </w:p>
        </w:tc>
      </w:tr>
      <w:tr w:rsidR="00885CFD" w:rsidRPr="00885CFD" w:rsidTr="00885CFD">
        <w:tc>
          <w:tcPr>
            <w:tcW w:w="481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Kouření u ženy nad 35let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Anamnéza TEN, CMP, ICHS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Akutní onemocnění jater, tumor jater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Primární plicní hypertenze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Neléčená hypertenze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Diabetes </w:t>
            </w: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mellitus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s orgánovými změnami 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Karcinom prsu a endometria 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Endometroidní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karcinom ovaria 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Bolesti hlavy s neurologickými symptomy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Těhotenství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Kojení do šesti měsíců věku kojence 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Dlouhodobá imobilizace 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Vrozená </w:t>
            </w: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koagulopatie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Rodinná anamnéza TEN a ICHS do 45let 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Hemodynamicky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významná srdeční vada 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Hepatopatie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a </w:t>
            </w: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cholecystolithiáza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Hyperlipidemie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Diabetes </w:t>
            </w: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mellitus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bez komplikací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Některá systémová onemocnění (např. SLE)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Srpková anemie, porfyrie 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Antifosfolipidový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syndrom </w:t>
            </w:r>
          </w:p>
          <w:p w:rsidR="00885CFD" w:rsidRPr="00885CFD" w:rsidRDefault="00885CFD" w:rsidP="00885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Hyperprolatinemie</w:t>
            </w:r>
            <w:proofErr w:type="spellEnd"/>
            <w:r w:rsidRPr="00885CFD">
              <w:rPr>
                <w:rFonts w:ascii="Calibri" w:eastAsia="Times New Roman" w:hAnsi="Calibri" w:cs="Calibri"/>
                <w:color w:val="00000A"/>
                <w:lang w:eastAsia="cs-CZ"/>
              </w:rPr>
              <w:t> </w:t>
            </w:r>
          </w:p>
        </w:tc>
      </w:tr>
    </w:tbl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Nežádoucí účinky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nejčastější nežádoucí účinky jsou charakteru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dyskomfortu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, bez dlouhodobého ohrožení života ženy (bolesti hlavy, napětí v prsou, zvětšení prsou, nervozita, podráždění, retence tekutin, zvýšení hmotnosti) </w:t>
      </w:r>
    </w:p>
    <w:p w:rsidR="00885CFD" w:rsidRPr="00885CFD" w:rsidRDefault="00885CFD" w:rsidP="00885CFD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vzácné komplikace: Ten, infarkt myokardu, CMP, hypertenze </w:t>
      </w:r>
    </w:p>
    <w:p w:rsidR="00885CFD" w:rsidRPr="00885CFD" w:rsidRDefault="00885CFD" w:rsidP="00885CFD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karcinom hrdla děložního, karcinom prsu  </w:t>
      </w:r>
    </w:p>
    <w:p w:rsidR="00885CFD" w:rsidRPr="00885CFD" w:rsidRDefault="00885CFD" w:rsidP="00885CFD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nepravidelný cyklus,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intermenstruační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krvácení </w:t>
      </w:r>
    </w:p>
    <w:p w:rsidR="00885CFD" w:rsidRPr="00885CFD" w:rsidRDefault="00885CFD" w:rsidP="00885CFD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lékové interakce </w:t>
      </w:r>
    </w:p>
    <w:p w:rsidR="00885CFD" w:rsidRPr="00885CFD" w:rsidRDefault="00885CFD" w:rsidP="00885CFD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vzácně zvýšené riziko hepatocelulárního adenomu, cholestáza </w:t>
      </w:r>
    </w:p>
    <w:p w:rsidR="00885CFD" w:rsidRPr="00885CFD" w:rsidRDefault="00885CFD" w:rsidP="00885CFD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Přínosy kombinované hormonální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léčba poruch menstruačního cyklu </w:t>
      </w:r>
    </w:p>
    <w:p w:rsidR="00885CFD" w:rsidRPr="00885CFD" w:rsidRDefault="00885CFD" w:rsidP="00885CFD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potlačení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folikulogeneze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– snížení tvorby ovariálních cyst </w:t>
      </w:r>
    </w:p>
    <w:p w:rsidR="00885CFD" w:rsidRPr="00885CFD" w:rsidRDefault="00885CFD" w:rsidP="00885CFD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snížení rizika vzniku pánevních zánětů změnou prostupnosti cervikálního hlenu </w:t>
      </w:r>
    </w:p>
    <w:p w:rsidR="00885CFD" w:rsidRPr="00885CFD" w:rsidRDefault="00885CFD" w:rsidP="00885CFD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zlepšení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hyperandrogenního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syndromu (CC se slabě androgenními účinky nebo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antiandrogeny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) </w:t>
      </w:r>
    </w:p>
    <w:p w:rsidR="00885CFD" w:rsidRPr="00885CFD" w:rsidRDefault="00885CFD" w:rsidP="00885CFD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snížení výskytu myomů  </w:t>
      </w:r>
    </w:p>
    <w:p w:rsidR="00885CFD" w:rsidRPr="00885CFD" w:rsidRDefault="00885CFD" w:rsidP="00885CFD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snížení rizika kolorektálního,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endometriálního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a ovariálního karcinomu  </w:t>
      </w:r>
    </w:p>
    <w:p w:rsidR="00885CFD" w:rsidRPr="00885CFD" w:rsidRDefault="00885CFD" w:rsidP="00885CFD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 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Gestagenní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 xml:space="preserve">kontinuální udržování nízké stabilní koncentrace syntetického 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gestagenu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 xml:space="preserve"> v krvi </w:t>
      </w:r>
    </w:p>
    <w:p w:rsidR="00885CFD" w:rsidRPr="00885CFD" w:rsidRDefault="00885CFD" w:rsidP="00885CFD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vysoce spolehlivá, minimum kontraindikací, i pro nemocné ženy, ženy kojící </w:t>
      </w:r>
    </w:p>
    <w:p w:rsidR="00885CFD" w:rsidRPr="00885CFD" w:rsidRDefault="00885CFD" w:rsidP="00885CF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gestageny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 xml:space="preserve"> blokují ovulaci na základě negativní zpětné vazby, ovlivňují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cervikalní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hlen (je hustý, vazký a neprostupný pro spermie), ovlivňují motilitu vejcovodu  </w:t>
      </w:r>
    </w:p>
    <w:p w:rsidR="00885CFD" w:rsidRPr="00885CFD" w:rsidRDefault="00885CFD" w:rsidP="00885CF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absolutní kontraindikace pouze těhotenství a Ca prsu </w:t>
      </w:r>
    </w:p>
    <w:p w:rsidR="00885CFD" w:rsidRPr="00885CFD" w:rsidRDefault="00885CFD" w:rsidP="00885CF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formy antikoncepce: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perorální forma (minipilulka)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6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preparáty s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lynestrenolem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,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norethisterone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a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desogestrelem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7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každodenně bez přerušování </w:t>
      </w:r>
    </w:p>
    <w:p w:rsidR="00885CFD" w:rsidRPr="00885CFD" w:rsidRDefault="00885CFD" w:rsidP="00885CFD">
      <w:pPr>
        <w:numPr>
          <w:ilvl w:val="0"/>
          <w:numId w:val="37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lastRenderedPageBreak/>
        <w:t>vhodné u kojících že, u žen starších, které nemohou užívat kombinovanou z důvodu nežádoucích účinků estrogenů </w:t>
      </w:r>
    </w:p>
    <w:p w:rsidR="00885CFD" w:rsidRPr="00885CFD" w:rsidRDefault="00885CFD" w:rsidP="00885CFD">
      <w:pPr>
        <w:numPr>
          <w:ilvl w:val="0"/>
          <w:numId w:val="37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nevýhoda – nepravidelná krvácení a špinění </w:t>
      </w:r>
    </w:p>
    <w:p w:rsidR="00885CFD" w:rsidRPr="00885CFD" w:rsidRDefault="00885CFD" w:rsidP="00885CFD">
      <w:pPr>
        <w:numPr>
          <w:ilvl w:val="0"/>
          <w:numId w:val="37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kontraindikace – karcinom prsu </w:t>
      </w:r>
    </w:p>
    <w:p w:rsidR="00885CFD" w:rsidRPr="00885CFD" w:rsidRDefault="00885CFD" w:rsidP="00885CFD">
      <w:pPr>
        <w:numPr>
          <w:ilvl w:val="0"/>
          <w:numId w:val="37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index 0,5 </w:t>
      </w:r>
    </w:p>
    <w:p w:rsidR="00885CFD" w:rsidRPr="00885CFD" w:rsidRDefault="00885CFD" w:rsidP="00885CFD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Injekční forma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8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depotní </w:t>
      </w: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medroxyprogesteron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acetát </w:t>
      </w:r>
    </w:p>
    <w:p w:rsidR="00885CFD" w:rsidRPr="00885CFD" w:rsidRDefault="00885CFD" w:rsidP="00885CFD">
      <w:pPr>
        <w:numPr>
          <w:ilvl w:val="0"/>
          <w:numId w:val="38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aplikuje se i. m. jednou za 3 měsíce </w:t>
      </w:r>
    </w:p>
    <w:p w:rsidR="00885CFD" w:rsidRPr="00885CFD" w:rsidRDefault="00885CFD" w:rsidP="00885CFD">
      <w:pPr>
        <w:numPr>
          <w:ilvl w:val="0"/>
          <w:numId w:val="38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color w:val="00000A"/>
          <w:lang w:eastAsia="cs-CZ"/>
        </w:rPr>
        <w:t>Pearlův</w:t>
      </w:r>
      <w:proofErr w:type="spellEnd"/>
      <w:r w:rsidRPr="00885CFD">
        <w:rPr>
          <w:rFonts w:ascii="Calibri" w:eastAsia="Times New Roman" w:hAnsi="Calibri" w:cs="Calibri"/>
          <w:color w:val="00000A"/>
          <w:lang w:eastAsia="cs-CZ"/>
        </w:rPr>
        <w:t> index je 0,01 </w:t>
      </w:r>
    </w:p>
    <w:p w:rsidR="00885CFD" w:rsidRPr="00885CFD" w:rsidRDefault="00885CFD" w:rsidP="00885CFD">
      <w:pPr>
        <w:numPr>
          <w:ilvl w:val="0"/>
          <w:numId w:val="38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snižuje intenzitu menstruačního krvácení, některé ženy přestanou menstruovat úplně </w:t>
      </w:r>
    </w:p>
    <w:p w:rsidR="00885CFD" w:rsidRPr="00885CFD" w:rsidRDefault="00885CFD" w:rsidP="00885CFD">
      <w:pPr>
        <w:numPr>
          <w:ilvl w:val="0"/>
          <w:numId w:val="39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nevýhoda – pomalý návrat plodnosti po poslední injekci </w:t>
      </w:r>
    </w:p>
    <w:p w:rsidR="00885CFD" w:rsidRPr="00885CFD" w:rsidRDefault="00885CFD" w:rsidP="00885CFD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u w:val="single"/>
          <w:lang w:eastAsia="cs-CZ"/>
        </w:rPr>
        <w:t>Podkožní implantáty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39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podkožní tyčinka  </w:t>
      </w:r>
    </w:p>
    <w:p w:rsidR="00885CFD" w:rsidRPr="00885CFD" w:rsidRDefault="00885CFD" w:rsidP="00885CFD">
      <w:pPr>
        <w:numPr>
          <w:ilvl w:val="0"/>
          <w:numId w:val="39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po dobu 3 let se uvolňuje v kontinuálně malý dávkách </w:t>
      </w:r>
    </w:p>
    <w:p w:rsidR="00885CFD" w:rsidRPr="00885CFD" w:rsidRDefault="00885CFD" w:rsidP="00885CFD">
      <w:pPr>
        <w:numPr>
          <w:ilvl w:val="0"/>
          <w:numId w:val="39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nevýhoda – nepravidelné krvácení a špinění, hlavně v prvním půl roce po aplikaci </w:t>
      </w:r>
      <w:r w:rsidRPr="00885CFD">
        <w:rPr>
          <w:rFonts w:ascii="Calibri" w:eastAsia="Times New Roman" w:hAnsi="Calibri" w:cs="Calibri"/>
          <w:color w:val="00000A"/>
          <w:lang w:eastAsia="cs-CZ"/>
        </w:rPr>
        <w:br/>
        <w:t> </w:t>
      </w:r>
    </w:p>
    <w:p w:rsidR="00885CFD" w:rsidRPr="00885CFD" w:rsidRDefault="00885CFD" w:rsidP="00885CF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Postkoitální antikoncepce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 mimořádných případech – u žen, které měly neočekávaný a nechráněn pohlavní styk, v případě selhání jiné metody nebo po znásilnění </w:t>
      </w:r>
    </w:p>
    <w:p w:rsidR="00885CFD" w:rsidRPr="00885CFD" w:rsidRDefault="00885CFD" w:rsidP="00885CFD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princip založen na zabránění nidace blastocysty  </w:t>
      </w:r>
    </w:p>
    <w:p w:rsidR="00885CFD" w:rsidRPr="00885CFD" w:rsidRDefault="00885CFD" w:rsidP="00885CFD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levonogestrel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, </w:t>
      </w:r>
      <w:proofErr w:type="spellStart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ulipristal</w:t>
      </w:r>
      <w:proofErr w:type="spellEnd"/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 acetát 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40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perorální podání do 72 hodin po pohlavním styku, poté stejná dávka za 12 hodin </w:t>
      </w:r>
    </w:p>
    <w:p w:rsidR="00885CFD" w:rsidRPr="00885CFD" w:rsidRDefault="00885CFD" w:rsidP="00885CFD">
      <w:pPr>
        <w:numPr>
          <w:ilvl w:val="0"/>
          <w:numId w:val="41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U nás volně prodejný preparát  </w:t>
      </w:r>
    </w:p>
    <w:p w:rsidR="00885CFD" w:rsidRPr="00885CFD" w:rsidRDefault="00885CFD" w:rsidP="00885CFD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b/>
          <w:bCs/>
          <w:color w:val="00000A"/>
          <w:lang w:eastAsia="cs-CZ"/>
        </w:rPr>
        <w:t>zavedení IUD</w:t>
      </w: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885CFD" w:rsidRPr="00885CFD" w:rsidRDefault="00885CFD" w:rsidP="00885CFD">
      <w:pPr>
        <w:numPr>
          <w:ilvl w:val="0"/>
          <w:numId w:val="41"/>
        </w:numPr>
        <w:spacing w:after="0" w:line="240" w:lineRule="auto"/>
        <w:ind w:left="1980" w:firstLine="0"/>
        <w:textAlignment w:val="baseline"/>
        <w:rPr>
          <w:rFonts w:ascii="Calibri" w:eastAsia="Times New Roman" w:hAnsi="Calibri" w:cs="Calibri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velmi účinná metoda, do pěti dnů po styku </w:t>
      </w:r>
    </w:p>
    <w:p w:rsidR="00885CFD" w:rsidRPr="00885CFD" w:rsidRDefault="00885CFD" w:rsidP="00885CFD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885CFD">
        <w:rPr>
          <w:rFonts w:ascii="Calibri" w:eastAsia="Times New Roman" w:hAnsi="Calibri" w:cs="Calibri"/>
          <w:color w:val="00000A"/>
          <w:lang w:eastAsia="cs-CZ"/>
        </w:rPr>
        <w:t> </w:t>
      </w:r>
    </w:p>
    <w:p w:rsidR="00787D09" w:rsidRPr="00885CFD" w:rsidRDefault="00787D09" w:rsidP="00885CFD"/>
    <w:sectPr w:rsidR="00787D09" w:rsidRPr="0088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715E"/>
    <w:multiLevelType w:val="multilevel"/>
    <w:tmpl w:val="D3F0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233B"/>
    <w:multiLevelType w:val="multilevel"/>
    <w:tmpl w:val="8ADA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F15F7"/>
    <w:multiLevelType w:val="multilevel"/>
    <w:tmpl w:val="97263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8970D1"/>
    <w:multiLevelType w:val="multilevel"/>
    <w:tmpl w:val="A7E0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55C18"/>
    <w:multiLevelType w:val="multilevel"/>
    <w:tmpl w:val="B43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F84E8A"/>
    <w:multiLevelType w:val="multilevel"/>
    <w:tmpl w:val="960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823EA"/>
    <w:multiLevelType w:val="multilevel"/>
    <w:tmpl w:val="FF6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513FB"/>
    <w:multiLevelType w:val="multilevel"/>
    <w:tmpl w:val="7D1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7138D8"/>
    <w:multiLevelType w:val="multilevel"/>
    <w:tmpl w:val="D77EA9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B936E8A"/>
    <w:multiLevelType w:val="multilevel"/>
    <w:tmpl w:val="CE12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BA30B9"/>
    <w:multiLevelType w:val="multilevel"/>
    <w:tmpl w:val="B664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E824EF"/>
    <w:multiLevelType w:val="multilevel"/>
    <w:tmpl w:val="1A8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295C38"/>
    <w:multiLevelType w:val="multilevel"/>
    <w:tmpl w:val="463E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F30729"/>
    <w:multiLevelType w:val="multilevel"/>
    <w:tmpl w:val="A6185B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64F22CE"/>
    <w:multiLevelType w:val="multilevel"/>
    <w:tmpl w:val="BE12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1E6260"/>
    <w:multiLevelType w:val="multilevel"/>
    <w:tmpl w:val="B310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BC3C1A"/>
    <w:multiLevelType w:val="multilevel"/>
    <w:tmpl w:val="D7EE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9449D0"/>
    <w:multiLevelType w:val="multilevel"/>
    <w:tmpl w:val="062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633030"/>
    <w:multiLevelType w:val="multilevel"/>
    <w:tmpl w:val="DF602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6F75E5"/>
    <w:multiLevelType w:val="multilevel"/>
    <w:tmpl w:val="30F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074BC8"/>
    <w:multiLevelType w:val="multilevel"/>
    <w:tmpl w:val="D47A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5D3D63"/>
    <w:multiLevelType w:val="multilevel"/>
    <w:tmpl w:val="8480C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6FB143D"/>
    <w:multiLevelType w:val="multilevel"/>
    <w:tmpl w:val="2CB6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903477"/>
    <w:multiLevelType w:val="multilevel"/>
    <w:tmpl w:val="CE4E07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9E45AF2"/>
    <w:multiLevelType w:val="multilevel"/>
    <w:tmpl w:val="A4B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84683D"/>
    <w:multiLevelType w:val="multilevel"/>
    <w:tmpl w:val="6B64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597BCD"/>
    <w:multiLevelType w:val="multilevel"/>
    <w:tmpl w:val="507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E376BC"/>
    <w:multiLevelType w:val="multilevel"/>
    <w:tmpl w:val="9C90E7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3404C41"/>
    <w:multiLevelType w:val="multilevel"/>
    <w:tmpl w:val="279C18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3905575"/>
    <w:multiLevelType w:val="multilevel"/>
    <w:tmpl w:val="515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420DF6"/>
    <w:multiLevelType w:val="multilevel"/>
    <w:tmpl w:val="8A3E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A269EE"/>
    <w:multiLevelType w:val="multilevel"/>
    <w:tmpl w:val="4438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BB1EBC"/>
    <w:multiLevelType w:val="multilevel"/>
    <w:tmpl w:val="829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4E1A78"/>
    <w:multiLevelType w:val="multilevel"/>
    <w:tmpl w:val="2E8E4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535B94"/>
    <w:multiLevelType w:val="multilevel"/>
    <w:tmpl w:val="249E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2D75A7"/>
    <w:multiLevelType w:val="multilevel"/>
    <w:tmpl w:val="C34A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640ADB"/>
    <w:multiLevelType w:val="multilevel"/>
    <w:tmpl w:val="307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AF2D0A"/>
    <w:multiLevelType w:val="multilevel"/>
    <w:tmpl w:val="4D3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174A2F"/>
    <w:multiLevelType w:val="multilevel"/>
    <w:tmpl w:val="5FE6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9E0851"/>
    <w:multiLevelType w:val="multilevel"/>
    <w:tmpl w:val="905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FD5BE1"/>
    <w:multiLevelType w:val="multilevel"/>
    <w:tmpl w:val="1B92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40"/>
  </w:num>
  <w:num w:numId="3">
    <w:abstractNumId w:val="23"/>
  </w:num>
  <w:num w:numId="4">
    <w:abstractNumId w:val="33"/>
  </w:num>
  <w:num w:numId="5">
    <w:abstractNumId w:val="31"/>
  </w:num>
  <w:num w:numId="6">
    <w:abstractNumId w:val="28"/>
  </w:num>
  <w:num w:numId="7">
    <w:abstractNumId w:val="18"/>
  </w:num>
  <w:num w:numId="8">
    <w:abstractNumId w:val="4"/>
  </w:num>
  <w:num w:numId="9">
    <w:abstractNumId w:val="27"/>
  </w:num>
  <w:num w:numId="10">
    <w:abstractNumId w:val="0"/>
  </w:num>
  <w:num w:numId="11">
    <w:abstractNumId w:val="2"/>
  </w:num>
  <w:num w:numId="12">
    <w:abstractNumId w:val="37"/>
  </w:num>
  <w:num w:numId="13">
    <w:abstractNumId w:val="13"/>
  </w:num>
  <w:num w:numId="14">
    <w:abstractNumId w:val="35"/>
  </w:num>
  <w:num w:numId="15">
    <w:abstractNumId w:val="8"/>
  </w:num>
  <w:num w:numId="16">
    <w:abstractNumId w:val="34"/>
  </w:num>
  <w:num w:numId="17">
    <w:abstractNumId w:val="6"/>
  </w:num>
  <w:num w:numId="18">
    <w:abstractNumId w:val="5"/>
  </w:num>
  <w:num w:numId="19">
    <w:abstractNumId w:val="9"/>
  </w:num>
  <w:num w:numId="20">
    <w:abstractNumId w:val="25"/>
  </w:num>
  <w:num w:numId="21">
    <w:abstractNumId w:val="20"/>
  </w:num>
  <w:num w:numId="22">
    <w:abstractNumId w:val="29"/>
  </w:num>
  <w:num w:numId="23">
    <w:abstractNumId w:val="1"/>
  </w:num>
  <w:num w:numId="24">
    <w:abstractNumId w:val="12"/>
  </w:num>
  <w:num w:numId="25">
    <w:abstractNumId w:val="21"/>
  </w:num>
  <w:num w:numId="26">
    <w:abstractNumId w:val="17"/>
  </w:num>
  <w:num w:numId="27">
    <w:abstractNumId w:val="32"/>
  </w:num>
  <w:num w:numId="28">
    <w:abstractNumId w:val="24"/>
  </w:num>
  <w:num w:numId="29">
    <w:abstractNumId w:val="15"/>
  </w:num>
  <w:num w:numId="30">
    <w:abstractNumId w:val="19"/>
  </w:num>
  <w:num w:numId="31">
    <w:abstractNumId w:val="30"/>
  </w:num>
  <w:num w:numId="32">
    <w:abstractNumId w:val="10"/>
  </w:num>
  <w:num w:numId="33">
    <w:abstractNumId w:val="3"/>
  </w:num>
  <w:num w:numId="34">
    <w:abstractNumId w:val="7"/>
  </w:num>
  <w:num w:numId="35">
    <w:abstractNumId w:val="16"/>
  </w:num>
  <w:num w:numId="36">
    <w:abstractNumId w:val="39"/>
  </w:num>
  <w:num w:numId="37">
    <w:abstractNumId w:val="26"/>
  </w:num>
  <w:num w:numId="38">
    <w:abstractNumId w:val="36"/>
  </w:num>
  <w:num w:numId="39">
    <w:abstractNumId w:val="38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FD"/>
    <w:rsid w:val="000D0BC6"/>
    <w:rsid w:val="00787D09"/>
    <w:rsid w:val="008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E46C"/>
  <w15:chartTrackingRefBased/>
  <w15:docId w15:val="{A236E0E9-1572-4222-8BDD-FD8E65E5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88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85CFD"/>
  </w:style>
  <w:style w:type="character" w:customStyle="1" w:styleId="eop">
    <w:name w:val="eop"/>
    <w:basedOn w:val="Standardnpsmoodstavce"/>
    <w:rsid w:val="00885CFD"/>
  </w:style>
  <w:style w:type="character" w:customStyle="1" w:styleId="findhit">
    <w:name w:val="findhit"/>
    <w:basedOn w:val="Standardnpsmoodstavce"/>
    <w:rsid w:val="00885CFD"/>
  </w:style>
  <w:style w:type="character" w:customStyle="1" w:styleId="spellingerror">
    <w:name w:val="spellingerror"/>
    <w:basedOn w:val="Standardnpsmoodstavce"/>
    <w:rsid w:val="00885CFD"/>
  </w:style>
  <w:style w:type="character" w:customStyle="1" w:styleId="scxw35242344">
    <w:name w:val="scxw35242344"/>
    <w:basedOn w:val="Standardnpsmoodstavce"/>
    <w:rsid w:val="0088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1273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 Igor</dc:creator>
  <cp:keywords/>
  <dc:description/>
  <cp:lastModifiedBy>Crha Igor</cp:lastModifiedBy>
  <cp:revision>2</cp:revision>
  <dcterms:created xsi:type="dcterms:W3CDTF">2020-12-19T09:07:00Z</dcterms:created>
  <dcterms:modified xsi:type="dcterms:W3CDTF">2020-12-19T09:10:00Z</dcterms:modified>
</cp:coreProperties>
</file>