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05" w:rsidRPr="00161205" w:rsidRDefault="00161205" w:rsidP="00161205">
      <w:pPr>
        <w:spacing w:after="0"/>
        <w:textAlignment w:val="baseline"/>
        <w:rPr>
          <w:rStyle w:val="normaltextrun"/>
          <w:rFonts w:ascii="Calibri" w:hAnsi="Calibri" w:cs="Calibri"/>
          <w:b/>
          <w:color w:val="00000A"/>
          <w:sz w:val="28"/>
          <w:szCs w:val="28"/>
        </w:rPr>
      </w:pPr>
      <w:r w:rsidRPr="00161205">
        <w:rPr>
          <w:rStyle w:val="normaltextrun"/>
          <w:rFonts w:ascii="Calibri" w:hAnsi="Calibri" w:cs="Calibri"/>
          <w:b/>
          <w:color w:val="00000A"/>
          <w:sz w:val="28"/>
          <w:szCs w:val="28"/>
        </w:rPr>
        <w:t>Klimakterium, menopauza</w:t>
      </w:r>
    </w:p>
    <w:p w:rsidR="00161205" w:rsidRPr="00161205" w:rsidRDefault="00161205" w:rsidP="0016120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61205" w:rsidRDefault="00161205" w:rsidP="0016120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období přechodu mezi plodným věkem ženy a začátkem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sénia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dle WHO – období začínající přibližně jeden rok před menopauzou a charakterizované již nastupujícími klinickými obtížemi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nejčastěji se vyskytuje mezi 45. a 60. rokem života ženy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Menopauza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poslední menses, po kterém následuje alespoň jeden rok amenorea, určeno retrospektivně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Premenopauza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období s dosud zachovaným menstruačním cyklem do 12 měsíců před menopauzou, kdy se již objevují příznaky akutního klimakterického syndromu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Perimenopauza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období rok před a rok po menopauze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Postmenopauza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část života po menopauze (začíná rok po poslední menses)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Senium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někdy se vyčleňuje z 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postmenopauzy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jako samostatný pojem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období života po 65. roku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charakteristické ústupem sekundárních pohlavních znaků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Předčasná menopauza –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označováno spíše jako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předčasné ovariální selhání (POF)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ve věku nižším než 40 let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indukovaná menopauza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 zástava menstruace chirurgickým odstraněním ovarií nebo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iatrogenním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ukončením jejich funkce chemoterapií či aktinoterapií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Fyziologie klimakteria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základní příčinou je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vyčerpání folikulů v ovariu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nedostatek ovariálních steroidů, zejména estrogenů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 klesajícím počtem folikulů klesá odpověď organismu na stimulaci gonadotropiny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proto pomocí zpětné vazby mezi ovariální estrogeny a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hypotalamo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-hypofyzární osou stoupá produkce gonadotropinů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nejdříve je patrný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pokles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inhibinu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(ten se ale standardně nevyšetřuje), další je na řadě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vzestup FHS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, který je později následovaný postupným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vzestupem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LH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perimenopauza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– ↑ FSH a normální LH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 dalším snižováním počtu ovariální folikulů dochází k 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poklesu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tvorby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estradiolu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a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progesteronu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(androgeny se nadále tvoří)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toto vede k prodlužování menstruačního cyklu až nakonec zcela ustane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dochází k 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 xml:space="preserve">dalšímu </w:t>
      </w:r>
      <w:proofErr w:type="spellStart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nárustu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 xml:space="preserve"> FSH (4-10 x)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a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LH (3-7 x)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postmenopauza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–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↑ FSH i LH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v 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postmenopauze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estrogeny nadále vznikají jen konverzí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androgenů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v periferní tukové tkáni, hlavním estrogenem klimakteria je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estron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Laboratorní známky klimakteria: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FSH &gt;40 IU/l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(platí i pro předčasné ovariální selhání)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color w:val="00000A"/>
          <w:sz w:val="22"/>
          <w:szCs w:val="22"/>
        </w:rPr>
        <w:t>17β-estradiol</w:t>
      </w:r>
      <w:proofErr w:type="gramEnd"/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&lt;0,1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nmol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/l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</w:pP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Anatomické změny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atrofie ovarií 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pravděpodobně geneticky programovaná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atrofie dělohy a endometria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(do 5 mm)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pochva 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ztráta elasticity, zkrácení, ztenčení sliznice, změna pH na neutrální až alkalické, suchost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atrofie vaziva a svalů pánevního dna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prs 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involuce žlázového tělesa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lastRenderedPageBreak/>
        <w:t>extragenitálně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změna tělesné hmotnosti, ↓elasticity pojivové tkáně, osteoporóza, redistribuce podkožního tuku, atrofie sliznice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uretry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, atrofie uretrálního sfinkteru, ↑ pigmentace ↓ elasticity kůže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Klinické projevy nedostatku estrogenů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Poruchy menstruačního cyklu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dysfunkční krvácení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 relativní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hyperestrinismus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vede k 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hyperproliferaci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endometria a ke krvácení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oligomenorea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cyklus delší než 35 dní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menoragie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 krvácení delší než 7 dní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hypermenorea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– více než 7 vložek/den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hypomenorea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– méně než 2 vložky/den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amenorea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– vynechání cyklu, konečná fáze (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diff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. dg. gravidita – zejména u předčasné menopauzy)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Akutní změny – Klimakterický syndrom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neohrožují ženu na životě, ale zhoršují kvalitu života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symptomy lze objektivizovat pomocí </w:t>
      </w:r>
      <w:proofErr w:type="spellStart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"https://www.levret.cz/publikace/casopisy/mb/2004-3/?pdf=140" \t "_blank"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normaltextrun"/>
          <w:rFonts w:ascii="Calibri" w:hAnsi="Calibri" w:cs="Calibri"/>
          <w:b/>
          <w:bCs/>
          <w:color w:val="0000FF"/>
          <w:sz w:val="22"/>
          <w:szCs w:val="22"/>
          <w:u w:val="single"/>
        </w:rPr>
        <w:t>Kuppermanova</w:t>
      </w:r>
      <w:proofErr w:type="spellEnd"/>
      <w:r>
        <w:rPr>
          <w:rStyle w:val="normaltextrun"/>
          <w:rFonts w:ascii="Calibri" w:hAnsi="Calibri" w:cs="Calibri"/>
          <w:b/>
          <w:bCs/>
          <w:color w:val="0000FF"/>
          <w:sz w:val="22"/>
          <w:szCs w:val="22"/>
          <w:u w:val="single"/>
        </w:rPr>
        <w:t xml:space="preserve"> indexu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nebo dotazníků: </w:t>
      </w:r>
      <w:hyperlink r:id="rId5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22"/>
            <w:szCs w:val="22"/>
            <w:u w:val="single"/>
          </w:rPr>
          <w:t>WHQ</w:t>
        </w:r>
      </w:hyperlink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, </w:t>
      </w:r>
      <w:hyperlink r:id="rId6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22"/>
            <w:szCs w:val="22"/>
            <w:u w:val="single"/>
          </w:rPr>
          <w:t>MENQOL</w:t>
        </w:r>
      </w:hyperlink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vazomotorické (vegetativní) symptomy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návaly horka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 vznikají spontánně nebo po vyvolávajících momentech (stres, alkohol, káva…), trvají průměrně 3-4 minuty, začínají pocitem horka a pálení a šíří se od hlavy kaudálně, příčinou je porucha termoregulace v hypotalamu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pocení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 často následuje návaly horka, někdy jako noční pocení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intenzita a frekvence obtíží postupně klesá s délkou estrogenního </w:t>
      </w:r>
      <w:proofErr w:type="gramStart"/>
      <w:r>
        <w:rPr>
          <w:rStyle w:val="normaltextrun"/>
          <w:rFonts w:ascii="Calibri" w:hAnsi="Calibri" w:cs="Calibri"/>
          <w:color w:val="00000A"/>
          <w:sz w:val="22"/>
          <w:szCs w:val="22"/>
        </w:rPr>
        <w:t>deficitu až</w:t>
      </w:r>
      <w:proofErr w:type="gramEnd"/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vymizí úplně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contextualspellingandgrammarerror"/>
          <w:rFonts w:ascii="Calibri" w:hAnsi="Calibri" w:cs="Calibri"/>
          <w:color w:val="00000A"/>
          <w:sz w:val="22"/>
          <w:szCs w:val="22"/>
        </w:rPr>
        <w:t>terapie - farmakologická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hormonální substituční terapie (HRT)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lze užít i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fytoestrogeny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– rostlinné látky se slabou estrogenní aktivitou, ve formě potravinových doplňků, jsou považovány za málo účinné, s nedostatečně definovanými účinky, včetně účinků nežádoucích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psychické symptomy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nespavost, změny nálad (deprese,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anxiozita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), snížení libida, poruchy soustředění a paměti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terapie: režimová opatření, psychoterapie, anxiolytika, antidepresiva; omezený vliv HRT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neurovegetativní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palpitace, stenokardie, bolesti hlavy, žaludeční neuróza, obstipace…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Střednědobé změny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změny genitálu 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viz výše – anatomické změny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změny močového měchýře a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uretry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estrogenové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receptory má i močový měchýř a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uretra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→ anatomické a funkční změny →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polakisurie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, nykturie, urgence, rozvoj inkontinence moči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atrofie sliznice, porucha závěsného a podpůrného aparátu, atrofie uretrálního sfinkteru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kůže a kožní adnexa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úbytek estrogenů → atrofie kůže, atrofie cév zásobujících kůži, ztráta vody v kůži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↓turgoru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změna poměru androgeny/estrogeny → zvýšené ochlupení v obličeji, redukce pubické a axilární oblasti, prořídnutí a ztenčení vlasů, vypadávaní vlasů, lámavost nehtů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GIT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suchost v ústech, chronická gingivitida, parodontóza, krvácení z atrofie sliznic, obstipace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lastRenderedPageBreak/>
        <w:t>Dlouhodobé změny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osteoporóza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ovlivňuje morbiditu a mortalitu žen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progresivní systémové metabolické onemocnění skeletu charakterizované sníženou mechanickou odolností, která jedince predisponuje ke zvýšenému riziku fraktury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definována jako úbytek kostní hmoty (BMD – bone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mineral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density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) pod 2,5 standardní odchylky od hodnot zdravých osob –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tzv. T-skóre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,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Z-skóre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hodnota adjustovaná na daný věk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normální hodnota je -1 SD, pokud mezi -1 a -2,5 jedná se o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osteopenii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maximum kostní hmoty je mezi 30-35. rokem věku ženy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deficit estrogenů po menopauze vede k nárůstu počtu osteoklastů a zvýšení jejich aktivity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výsledkem je zvýšení kostní resorpce vyvolané osteoklasty a pokles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denzity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kostního minerálu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nejrychlejší úbytek je asi 3-4 roky po menopauze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klinika: často žádné příznaky, můžou být bolesti kloubů, kostí, páteře, fraktury po minimálním traumatu, kompresní zlomeniny obratlů, zlomeniny krčku femuru, zlomeniny zápěstí…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diagnostika: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denzitometrie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: pomocí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dvouenergiové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rentgenové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absorbciometrie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(DXA) 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používá se velmi slabé rentgenové záření (2–12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mikrosevert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) o dvou energiích, které je pohlceno kostní tkání. Standardně měříme kostní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denzitu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v oblasti lumbální páteře a krčku stehenní kosti. Naměřená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denzita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se pak srovná s hodnotami zdravých osob – T-skóre (viz výše), Z-skóre (viz výše).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hyperlink r:id="rId7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22"/>
            <w:szCs w:val="22"/>
            <w:u w:val="single"/>
          </w:rPr>
          <w:t>FRAX</w:t>
        </w:r>
      </w:hyperlink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(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Fracture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Assessment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Tool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: zhodnocení desetiletého rizika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osteoporotické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zlomeniny. Používá několik rizikových faktorů: věk, pohlaví, BMI, anamnézu fraktury, kouření, konzumaci alkoholu a další. Původně byl vyvinut jako nástroj k vyhledávání rizikových pacientů, ale některé země jej používají jako doplněk či alternativu k denzitometrii (USA, GB)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prevence a léčba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primární prevence – dosažení maxima kostní hmoty podmíněného geneticky a jeho udržení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3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sekundární prevence – má zabránit akcelerovanému úbytku kostní hmoty při deficitu estrogenů po menopauze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dostatečný příjem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vápníku, vitaminu D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, přiměřená fyzická aktivita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HRT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 ideálně zahájit včas jako formu prevence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léky ↓kostní resorpci: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bisfosfonáty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,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kacitonin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,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selektivní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 xml:space="preserve">modulátory estrogen. </w:t>
      </w:r>
      <w:proofErr w:type="gramStart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receptorů</w:t>
      </w:r>
      <w:proofErr w:type="gram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kardiovaskulární systém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estrogen má ochranný vliv na choroby kardiovaskulárního systému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nedostatek estrogenu – zvýšení koncentrace TAG, celkového cholesterolu (zvýšení LDL a snížení HDL)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proaterogenní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změny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ateroskleróza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ICHS/ICHDK/CMP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riziko onemocnění kardiovaskulárního systému je 4x ↑ po menopauze než před 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metabolismu sacharidů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↑ inzulinová rezistence – rovněž riziko ICHS (podpora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aterogeneze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, ↑ riziko hypertenze)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sexualita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nepříznivě působení vazomotorických potíží a urogenitální atrofie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snížení androgenní aktivity po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ovarektomii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nebo při zvýšené plazmatické hladině globulinu vázajícího pohlavní hormony (SHBG) → snížení libida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terapie: možná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lokální estrogenní léčba,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tibolon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centrální nervový systém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lastRenderedPageBreak/>
        <w:t xml:space="preserve">receptory pro estrogeny, progesteron, androgeny jsou i v oblasti CNS → menopauza přispívá k vývoji některých </w:t>
      </w:r>
      <w:proofErr w:type="spellStart"/>
      <w:r>
        <w:rPr>
          <w:rStyle w:val="normaltextrun"/>
          <w:rFonts w:ascii="Calibri" w:hAnsi="Calibri" w:cs="Calibri"/>
          <w:color w:val="00000A"/>
          <w:sz w:val="22"/>
          <w:szCs w:val="22"/>
        </w:rPr>
        <w:t>neurodegenerativních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onemocnění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Alzheimer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(2-3 častěji u žen než u mužů)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Parkinson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mechanismy: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snížení průtoku mozkovými cévami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urychlení progrese aterosklerózy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zhoršení reparačních dějů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snížení tvorby synapsí, neurotransmiterů,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neurotropních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a růstových faktorů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HORMONÁLNÍ SUBSTITUČNÍ TERAPIE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používají se preparáty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estrogenní (ET)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estrogengestagenní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(EGT) kombinovaná terapie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tibolon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– účinek estrogenní,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gestagenní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, androgenní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Indikace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akutní klimakterický syndrom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 nejnižší účinná dávka, nástup za několik dní až týdnů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urogenitální symptomy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nízkodávkové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ET nebo vaginální estrogeny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předčasná menopauza –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zvýšené riziko osteoporózy a ICHS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osteoporóza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– HRT jako prevence i léčba, ideálně začít nejpozději do 5 let od menopauzy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90725" cy="1857375"/>
            <wp:effectExtent l="0" t="0" r="9525" b="9525"/>
            <wp:docPr id="2" name="Obrázek 2" descr="C:\Users\50416\AppData\Local\Microsoft\Windows\INetCache\Content.MSO\D29A84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416\AppData\Local\Microsoft\Windows\INetCache\Content.MSO\D29A84C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Absolutní kontraindikace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karcinom prsu, endometria (estrogen-dependentní nádory)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nemaligní změny prsu (atypická hyperplazie,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duktální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CIS)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neobjasněné vaginální (děložní) krvácení – riziko ca endometria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TEN a plicní embolie – probíhající nebo v anamnéze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alergie na přípravky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neléčená hypertenze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akutní onemocnění jater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akutní hluboká žilní trombóza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Riziko dlouhodobého užívání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užívání &gt;5 let – riziko karcinomu endometria (RR 2,3-9,5), lze snížit při užívání EPT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009775" cy="1057275"/>
            <wp:effectExtent l="0" t="0" r="9525" b="9525"/>
            <wp:docPr id="1" name="Obrázek 1" descr="C:\Users\50416\AppData\Local\Microsoft\Windows\INetCache\Content.MSO\361D76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0416\AppData\Local\Microsoft\Windows\INetCache\Content.MSO\361D76B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užívání &gt;5 let zvýšené riziko karcinomu prsu (RR 1,35)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užívání &gt;10 let – riziko karcinomu ovaria (RR 1,6)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zvýšené riziko TEN, CMP, ICHS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lastRenderedPageBreak/>
        <w:t>zvýšené riziko kolorektálního karcinomu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Preparáty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Estrogeny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lze podávat perorálně,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transdermálně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, perkutánně, intramuskulárně, vaginálně nasálně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veškeré nežádoucí účinky HRT jsou dány estrogeny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bezpečné podání je 5 lety, ideálně u žen bez dělohy, u žen s dělohou v kombinaci s </w:t>
      </w:r>
      <w:proofErr w:type="spellStart"/>
      <w:r>
        <w:rPr>
          <w:rStyle w:val="normaltextrun"/>
          <w:rFonts w:ascii="Calibri" w:hAnsi="Calibri" w:cs="Calibri"/>
          <w:color w:val="00000A"/>
          <w:sz w:val="22"/>
          <w:szCs w:val="22"/>
        </w:rPr>
        <w:t>gestageny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pokud podávané bez </w:t>
      </w:r>
      <w:proofErr w:type="spellStart"/>
      <w:r>
        <w:rPr>
          <w:rStyle w:val="normaltextrun"/>
          <w:rFonts w:ascii="Calibri" w:hAnsi="Calibri" w:cs="Calibri"/>
          <w:color w:val="00000A"/>
          <w:sz w:val="22"/>
          <w:szCs w:val="22"/>
        </w:rPr>
        <w:t>gestagenů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u žen s dělohou nutná kontrola UZ min. á 6 měsíců (ca endometria)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transdermální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aplikace je bezpečnější zejména při TEN, onemocnění jater, DM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fytoestrogeny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(nelze považovat za alternativu HRT, jen doplněk)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Gestageny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vhodné v době </w:t>
      </w:r>
      <w:r>
        <w:rPr>
          <w:rStyle w:val="spellingerror"/>
          <w:rFonts w:ascii="Calibri" w:hAnsi="Calibri" w:cs="Calibri"/>
          <w:color w:val="00000A"/>
          <w:sz w:val="22"/>
          <w:szCs w:val="22"/>
        </w:rPr>
        <w:t>premenopauzy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(relativní </w:t>
      </w:r>
      <w:r>
        <w:rPr>
          <w:rStyle w:val="spellingerror"/>
          <w:rFonts w:ascii="Calibri" w:hAnsi="Calibri" w:cs="Calibri"/>
          <w:color w:val="00000A"/>
          <w:sz w:val="22"/>
          <w:szCs w:val="22"/>
        </w:rPr>
        <w:t>hyperestrinismus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, </w:t>
      </w:r>
      <w:r>
        <w:rPr>
          <w:rStyle w:val="spellingerror"/>
          <w:rFonts w:ascii="Calibri" w:hAnsi="Calibri" w:cs="Calibri"/>
          <w:color w:val="00000A"/>
          <w:sz w:val="22"/>
          <w:szCs w:val="22"/>
        </w:rPr>
        <w:t>luteální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insuficience)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cyklické podávání asi 12 dní, začátek v druhé polovině cyklu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kontinuálně při akutním klimakterickém syndromu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Kontinuální kombinovaná terapie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podávání buď 28 dní ve stejné dávce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atrofie endometria </w:t>
      </w:r>
      <w:r>
        <w:rPr>
          <w:rStyle w:val="normaltextrun"/>
          <w:rFonts w:ascii="Wingdings" w:hAnsi="Wingdings" w:cs="Calibri"/>
          <w:color w:val="00000A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color w:val="00000A"/>
          <w:sz w:val="22"/>
          <w:szCs w:val="22"/>
        </w:rPr>
        <w:t>pseudomenopauza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6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nebo 28 dní s postupným poklesem dávky estrogenu a </w:t>
      </w:r>
      <w:proofErr w:type="spellStart"/>
      <w:r>
        <w:rPr>
          <w:rStyle w:val="normaltextrun"/>
          <w:rFonts w:ascii="Calibri" w:hAnsi="Calibri" w:cs="Calibri"/>
          <w:color w:val="00000A"/>
          <w:sz w:val="22"/>
          <w:szCs w:val="22"/>
        </w:rPr>
        <w:t>nárustem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A"/>
          <w:sz w:val="22"/>
          <w:szCs w:val="22"/>
        </w:rPr>
        <w:t>gestagenu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 xml:space="preserve"> od 2. půlky cyklu 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7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Tibolon</w:t>
      </w:r>
      <w:proofErr w:type="spellEnd"/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7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syntetický steroid, má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estrogenní účinek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ve většině tkání (v kostech, urogenitální tkáně) – redukce syndromu klimakteria,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gestagenní</w:t>
      </w:r>
      <w:proofErr w:type="spellEnd"/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(endometrium), </w:t>
      </w:r>
      <w:proofErr w:type="spellStart"/>
      <w:r>
        <w:rPr>
          <w:rStyle w:val="spellingerror"/>
          <w:rFonts w:ascii="Calibri" w:hAnsi="Calibri" w:cs="Calibri"/>
          <w:b/>
          <w:bCs/>
          <w:color w:val="00000A"/>
          <w:sz w:val="22"/>
          <w:szCs w:val="22"/>
        </w:rPr>
        <w:t>antiestrogenní</w:t>
      </w:r>
      <w:proofErr w:type="spellEnd"/>
      <w:r>
        <w:rPr>
          <w:rStyle w:val="normaltextrun"/>
          <w:rFonts w:ascii="Calibri" w:hAnsi="Calibri" w:cs="Calibri"/>
          <w:color w:val="00000A"/>
          <w:sz w:val="22"/>
          <w:szCs w:val="22"/>
        </w:rPr>
        <w:t> (prso), parciální 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androgenní</w:t>
      </w:r>
      <w:r>
        <w:rPr>
          <w:rStyle w:val="normaltextrun"/>
          <w:rFonts w:ascii="Calibri" w:hAnsi="Calibri" w:cs="Calibri"/>
          <w:color w:val="00000A"/>
          <w:sz w:val="22"/>
          <w:szCs w:val="22"/>
        </w:rPr>
        <w:t> (zlepšení sexuálních funkcí)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161205" w:rsidRDefault="00161205" w:rsidP="00161205">
      <w:pPr>
        <w:pStyle w:val="paragraph"/>
        <w:numPr>
          <w:ilvl w:val="0"/>
          <w:numId w:val="7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A"/>
          <w:sz w:val="22"/>
          <w:szCs w:val="22"/>
        </w:rPr>
        <w:t>stejné kontraindikace jako HRT</w:t>
      </w:r>
      <w:r>
        <w:rPr>
          <w:rStyle w:val="eop"/>
          <w:rFonts w:ascii="Calibri" w:hAnsi="Calibri" w:cs="Calibri"/>
          <w:color w:val="00000A"/>
          <w:sz w:val="22"/>
          <w:szCs w:val="22"/>
        </w:rPr>
        <w:t> </w:t>
      </w:r>
    </w:p>
    <w:p w:rsidR="00557EA9" w:rsidRDefault="00557EA9"/>
    <w:sectPr w:rsidR="0055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801"/>
    <w:multiLevelType w:val="multilevel"/>
    <w:tmpl w:val="3C76F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3D1"/>
    <w:multiLevelType w:val="multilevel"/>
    <w:tmpl w:val="B3D8E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DA5"/>
    <w:multiLevelType w:val="multilevel"/>
    <w:tmpl w:val="1EF4F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36B15"/>
    <w:multiLevelType w:val="multilevel"/>
    <w:tmpl w:val="CC383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D07019"/>
    <w:multiLevelType w:val="multilevel"/>
    <w:tmpl w:val="8BD4C0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F415377"/>
    <w:multiLevelType w:val="multilevel"/>
    <w:tmpl w:val="931C3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A380D"/>
    <w:multiLevelType w:val="multilevel"/>
    <w:tmpl w:val="242AC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A5393"/>
    <w:multiLevelType w:val="multilevel"/>
    <w:tmpl w:val="E886D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40358"/>
    <w:multiLevelType w:val="multilevel"/>
    <w:tmpl w:val="E9449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C446B"/>
    <w:multiLevelType w:val="multilevel"/>
    <w:tmpl w:val="17A0BF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E17360"/>
    <w:multiLevelType w:val="multilevel"/>
    <w:tmpl w:val="FAAAF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60A99"/>
    <w:multiLevelType w:val="multilevel"/>
    <w:tmpl w:val="9EA2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DE5313"/>
    <w:multiLevelType w:val="multilevel"/>
    <w:tmpl w:val="A60CB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EFB41E1"/>
    <w:multiLevelType w:val="multilevel"/>
    <w:tmpl w:val="17800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FEA0F15"/>
    <w:multiLevelType w:val="multilevel"/>
    <w:tmpl w:val="902E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848EE"/>
    <w:multiLevelType w:val="multilevel"/>
    <w:tmpl w:val="2018C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1EE5F28"/>
    <w:multiLevelType w:val="multilevel"/>
    <w:tmpl w:val="972AD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0A171E"/>
    <w:multiLevelType w:val="multilevel"/>
    <w:tmpl w:val="05D89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2913EBB"/>
    <w:multiLevelType w:val="multilevel"/>
    <w:tmpl w:val="BAC23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41D2369"/>
    <w:multiLevelType w:val="multilevel"/>
    <w:tmpl w:val="37C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C03F07"/>
    <w:multiLevelType w:val="multilevel"/>
    <w:tmpl w:val="57F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B8698A"/>
    <w:multiLevelType w:val="multilevel"/>
    <w:tmpl w:val="2CAE8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9D4826"/>
    <w:multiLevelType w:val="multilevel"/>
    <w:tmpl w:val="24B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C1594E"/>
    <w:multiLevelType w:val="multilevel"/>
    <w:tmpl w:val="ADC4E5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C5440C7"/>
    <w:multiLevelType w:val="multilevel"/>
    <w:tmpl w:val="ACEC4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F770E3"/>
    <w:multiLevelType w:val="multilevel"/>
    <w:tmpl w:val="FC10A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DF3EC3"/>
    <w:multiLevelType w:val="multilevel"/>
    <w:tmpl w:val="DD2C9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0EE448E"/>
    <w:multiLevelType w:val="multilevel"/>
    <w:tmpl w:val="655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2DE38D0"/>
    <w:multiLevelType w:val="multilevel"/>
    <w:tmpl w:val="915C1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33FC01FC"/>
    <w:multiLevelType w:val="multilevel"/>
    <w:tmpl w:val="AE5CA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64F2587"/>
    <w:multiLevelType w:val="multilevel"/>
    <w:tmpl w:val="DFDEF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DA5B3C"/>
    <w:multiLevelType w:val="multilevel"/>
    <w:tmpl w:val="AD9239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A045C9E"/>
    <w:multiLevelType w:val="multilevel"/>
    <w:tmpl w:val="D46A8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3A9931FE"/>
    <w:multiLevelType w:val="multilevel"/>
    <w:tmpl w:val="451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CCE688F"/>
    <w:multiLevelType w:val="multilevel"/>
    <w:tmpl w:val="E13A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0070F1F"/>
    <w:multiLevelType w:val="multilevel"/>
    <w:tmpl w:val="A524E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274679"/>
    <w:multiLevelType w:val="multilevel"/>
    <w:tmpl w:val="A9D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13E3C43"/>
    <w:multiLevelType w:val="multilevel"/>
    <w:tmpl w:val="3C5A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20E450C"/>
    <w:multiLevelType w:val="multilevel"/>
    <w:tmpl w:val="5228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26560EC"/>
    <w:multiLevelType w:val="multilevel"/>
    <w:tmpl w:val="05EEF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895A65"/>
    <w:multiLevelType w:val="multilevel"/>
    <w:tmpl w:val="5502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2C774D4"/>
    <w:multiLevelType w:val="multilevel"/>
    <w:tmpl w:val="5688F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54E63920"/>
    <w:multiLevelType w:val="multilevel"/>
    <w:tmpl w:val="81482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555C72F3"/>
    <w:multiLevelType w:val="multilevel"/>
    <w:tmpl w:val="5EA43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558E68DF"/>
    <w:multiLevelType w:val="multilevel"/>
    <w:tmpl w:val="2402E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56897C73"/>
    <w:multiLevelType w:val="multilevel"/>
    <w:tmpl w:val="3DC2B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57AA615E"/>
    <w:multiLevelType w:val="multilevel"/>
    <w:tmpl w:val="2D82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9F90093"/>
    <w:multiLevelType w:val="multilevel"/>
    <w:tmpl w:val="8AF8F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5DB66B6F"/>
    <w:multiLevelType w:val="multilevel"/>
    <w:tmpl w:val="A2B2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DE14155"/>
    <w:multiLevelType w:val="multilevel"/>
    <w:tmpl w:val="467C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EC56718"/>
    <w:multiLevelType w:val="multilevel"/>
    <w:tmpl w:val="971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0847B46"/>
    <w:multiLevelType w:val="multilevel"/>
    <w:tmpl w:val="0010D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60A15083"/>
    <w:multiLevelType w:val="multilevel"/>
    <w:tmpl w:val="F5266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632A13C7"/>
    <w:multiLevelType w:val="multilevel"/>
    <w:tmpl w:val="E7C4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36E4FD0"/>
    <w:multiLevelType w:val="multilevel"/>
    <w:tmpl w:val="484879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65204C21"/>
    <w:multiLevelType w:val="multilevel"/>
    <w:tmpl w:val="B4B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5344D6C"/>
    <w:multiLevelType w:val="multilevel"/>
    <w:tmpl w:val="F6468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F31441"/>
    <w:multiLevelType w:val="multilevel"/>
    <w:tmpl w:val="5DD42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571FEA"/>
    <w:multiLevelType w:val="multilevel"/>
    <w:tmpl w:val="2BE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85E2DDE"/>
    <w:multiLevelType w:val="multilevel"/>
    <w:tmpl w:val="CFD2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3C7BD8"/>
    <w:multiLevelType w:val="multilevel"/>
    <w:tmpl w:val="C3DE9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9984263"/>
    <w:multiLevelType w:val="multilevel"/>
    <w:tmpl w:val="1F3CB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B22E4F"/>
    <w:multiLevelType w:val="multilevel"/>
    <w:tmpl w:val="97C02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6FA009C8"/>
    <w:multiLevelType w:val="multilevel"/>
    <w:tmpl w:val="021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FF019FD"/>
    <w:multiLevelType w:val="multilevel"/>
    <w:tmpl w:val="47724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A51FCB"/>
    <w:multiLevelType w:val="multilevel"/>
    <w:tmpl w:val="CC06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7321CB6"/>
    <w:multiLevelType w:val="multilevel"/>
    <w:tmpl w:val="67EAF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73E44AE"/>
    <w:multiLevelType w:val="multilevel"/>
    <w:tmpl w:val="FD80B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782155F1"/>
    <w:multiLevelType w:val="multilevel"/>
    <w:tmpl w:val="82E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C5A6B99"/>
    <w:multiLevelType w:val="multilevel"/>
    <w:tmpl w:val="1018B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7FC616F3"/>
    <w:multiLevelType w:val="multilevel"/>
    <w:tmpl w:val="5914C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0"/>
  </w:num>
  <w:num w:numId="2">
    <w:abstractNumId w:val="53"/>
  </w:num>
  <w:num w:numId="3">
    <w:abstractNumId w:val="58"/>
  </w:num>
  <w:num w:numId="4">
    <w:abstractNumId w:val="49"/>
  </w:num>
  <w:num w:numId="5">
    <w:abstractNumId w:val="37"/>
  </w:num>
  <w:num w:numId="6">
    <w:abstractNumId w:val="19"/>
  </w:num>
  <w:num w:numId="7">
    <w:abstractNumId w:val="48"/>
  </w:num>
  <w:num w:numId="8">
    <w:abstractNumId w:val="50"/>
  </w:num>
  <w:num w:numId="9">
    <w:abstractNumId w:val="68"/>
  </w:num>
  <w:num w:numId="10">
    <w:abstractNumId w:val="36"/>
  </w:num>
  <w:num w:numId="11">
    <w:abstractNumId w:val="70"/>
  </w:num>
  <w:num w:numId="12">
    <w:abstractNumId w:val="33"/>
  </w:num>
  <w:num w:numId="13">
    <w:abstractNumId w:val="65"/>
  </w:num>
  <w:num w:numId="14">
    <w:abstractNumId w:val="14"/>
  </w:num>
  <w:num w:numId="15">
    <w:abstractNumId w:val="60"/>
  </w:num>
  <w:num w:numId="16">
    <w:abstractNumId w:val="62"/>
  </w:num>
  <w:num w:numId="17">
    <w:abstractNumId w:val="64"/>
  </w:num>
  <w:num w:numId="18">
    <w:abstractNumId w:val="29"/>
  </w:num>
  <w:num w:numId="19">
    <w:abstractNumId w:val="15"/>
  </w:num>
  <w:num w:numId="20">
    <w:abstractNumId w:val="56"/>
  </w:num>
  <w:num w:numId="21">
    <w:abstractNumId w:val="66"/>
  </w:num>
  <w:num w:numId="22">
    <w:abstractNumId w:val="30"/>
  </w:num>
  <w:num w:numId="23">
    <w:abstractNumId w:val="41"/>
  </w:num>
  <w:num w:numId="24">
    <w:abstractNumId w:val="6"/>
  </w:num>
  <w:num w:numId="25">
    <w:abstractNumId w:val="2"/>
  </w:num>
  <w:num w:numId="26">
    <w:abstractNumId w:val="12"/>
  </w:num>
  <w:num w:numId="27">
    <w:abstractNumId w:val="0"/>
  </w:num>
  <w:num w:numId="28">
    <w:abstractNumId w:val="17"/>
  </w:num>
  <w:num w:numId="29">
    <w:abstractNumId w:val="35"/>
  </w:num>
  <w:num w:numId="30">
    <w:abstractNumId w:val="31"/>
  </w:num>
  <w:num w:numId="31">
    <w:abstractNumId w:val="5"/>
  </w:num>
  <w:num w:numId="32">
    <w:abstractNumId w:val="7"/>
  </w:num>
  <w:num w:numId="33">
    <w:abstractNumId w:val="67"/>
  </w:num>
  <w:num w:numId="34">
    <w:abstractNumId w:val="59"/>
  </w:num>
  <w:num w:numId="35">
    <w:abstractNumId w:val="57"/>
  </w:num>
  <w:num w:numId="36">
    <w:abstractNumId w:val="25"/>
  </w:num>
  <w:num w:numId="37">
    <w:abstractNumId w:val="11"/>
  </w:num>
  <w:num w:numId="38">
    <w:abstractNumId w:val="1"/>
  </w:num>
  <w:num w:numId="39">
    <w:abstractNumId w:val="55"/>
  </w:num>
  <w:num w:numId="40">
    <w:abstractNumId w:val="18"/>
  </w:num>
  <w:num w:numId="41">
    <w:abstractNumId w:val="46"/>
  </w:num>
  <w:num w:numId="42">
    <w:abstractNumId w:val="34"/>
  </w:num>
  <w:num w:numId="43">
    <w:abstractNumId w:val="26"/>
  </w:num>
  <w:num w:numId="44">
    <w:abstractNumId w:val="16"/>
  </w:num>
  <w:num w:numId="45">
    <w:abstractNumId w:val="45"/>
  </w:num>
  <w:num w:numId="46">
    <w:abstractNumId w:val="8"/>
  </w:num>
  <w:num w:numId="47">
    <w:abstractNumId w:val="39"/>
  </w:num>
  <w:num w:numId="48">
    <w:abstractNumId w:val="24"/>
  </w:num>
  <w:num w:numId="49">
    <w:abstractNumId w:val="10"/>
  </w:num>
  <w:num w:numId="50">
    <w:abstractNumId w:val="43"/>
  </w:num>
  <w:num w:numId="51">
    <w:abstractNumId w:val="21"/>
  </w:num>
  <w:num w:numId="52">
    <w:abstractNumId w:val="61"/>
  </w:num>
  <w:num w:numId="53">
    <w:abstractNumId w:val="27"/>
  </w:num>
  <w:num w:numId="54">
    <w:abstractNumId w:val="28"/>
  </w:num>
  <w:num w:numId="55">
    <w:abstractNumId w:val="69"/>
  </w:num>
  <w:num w:numId="56">
    <w:abstractNumId w:val="54"/>
  </w:num>
  <w:num w:numId="57">
    <w:abstractNumId w:val="9"/>
  </w:num>
  <w:num w:numId="58">
    <w:abstractNumId w:val="23"/>
  </w:num>
  <w:num w:numId="59">
    <w:abstractNumId w:val="13"/>
  </w:num>
  <w:num w:numId="60">
    <w:abstractNumId w:val="52"/>
  </w:num>
  <w:num w:numId="61">
    <w:abstractNumId w:val="42"/>
  </w:num>
  <w:num w:numId="62">
    <w:abstractNumId w:val="63"/>
  </w:num>
  <w:num w:numId="63">
    <w:abstractNumId w:val="4"/>
  </w:num>
  <w:num w:numId="64">
    <w:abstractNumId w:val="3"/>
  </w:num>
  <w:num w:numId="65">
    <w:abstractNumId w:val="38"/>
  </w:num>
  <w:num w:numId="66">
    <w:abstractNumId w:val="44"/>
  </w:num>
  <w:num w:numId="67">
    <w:abstractNumId w:val="20"/>
  </w:num>
  <w:num w:numId="68">
    <w:abstractNumId w:val="51"/>
  </w:num>
  <w:num w:numId="69">
    <w:abstractNumId w:val="32"/>
  </w:num>
  <w:num w:numId="70">
    <w:abstractNumId w:val="22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05"/>
    <w:rsid w:val="00161205"/>
    <w:rsid w:val="005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AFB"/>
  <w15:chartTrackingRefBased/>
  <w15:docId w15:val="{4B5F6F4C-9CA7-4944-975F-255EC06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6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61205"/>
  </w:style>
  <w:style w:type="character" w:customStyle="1" w:styleId="spellingerror">
    <w:name w:val="spellingerror"/>
    <w:basedOn w:val="Standardnpsmoodstavce"/>
    <w:rsid w:val="00161205"/>
  </w:style>
  <w:style w:type="character" w:customStyle="1" w:styleId="eop">
    <w:name w:val="eop"/>
    <w:basedOn w:val="Standardnpsmoodstavce"/>
    <w:rsid w:val="00161205"/>
  </w:style>
  <w:style w:type="character" w:customStyle="1" w:styleId="contextualspellingandgrammarerror">
    <w:name w:val="contextualspellingandgrammarerror"/>
    <w:basedOn w:val="Standardnpsmoodstavce"/>
    <w:rsid w:val="0016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heffield.ac.uk/FRAX/tool.aspx?country=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lww.com/wolterskluwer_vitalstream_com/PermaLink/MENO/A/MENO_21_8_2013_10_30_BUSHMAKIN_MENO-D-13-00245_SDC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earchgate.net/publication/226793375_The_Women's_Health_Questionnaire_WHQ_The_development_standardization_and_application_of_a_measure_of_mid-aged_women's_emotional_and_physical_healt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1581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 Igor</dc:creator>
  <cp:keywords/>
  <dc:description/>
  <cp:lastModifiedBy>Crha Igor</cp:lastModifiedBy>
  <cp:revision>1</cp:revision>
  <dcterms:created xsi:type="dcterms:W3CDTF">2020-11-21T10:30:00Z</dcterms:created>
  <dcterms:modified xsi:type="dcterms:W3CDTF">2020-11-21T10:34:00Z</dcterms:modified>
</cp:coreProperties>
</file>