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B96" w:rsidRDefault="009C1E61">
      <w:pPr>
        <w:pStyle w:val="Nadpis1"/>
      </w:pPr>
      <w:bookmarkStart w:id="0" w:name="_Toc342466751"/>
      <w:bookmarkStart w:id="1" w:name="_Toc342466826"/>
      <w:r>
        <w:t xml:space="preserve">Téma </w:t>
      </w:r>
      <w:r w:rsidR="00521B96">
        <w:t>3 Přehled klinicky nejvýznamnějších bakterií</w:t>
      </w:r>
      <w:bookmarkEnd w:id="0"/>
      <w:bookmarkEnd w:id="1"/>
    </w:p>
    <w:p w:rsidR="00521B96" w:rsidRDefault="00521B96">
      <w:pPr>
        <w:pStyle w:val="Nadpis2"/>
      </w:pPr>
      <w:bookmarkStart w:id="2" w:name="_Toc342466752"/>
      <w:bookmarkStart w:id="3" w:name="_Toc342466827"/>
      <w:r>
        <w:t>3.0 Úvod</w:t>
      </w:r>
      <w:bookmarkEnd w:id="2"/>
      <w:bookmarkEnd w:id="3"/>
    </w:p>
    <w:p w:rsidR="00521B96" w:rsidRDefault="00521B96">
      <w:r>
        <w:t>Smyslem této a následující kapitoly je, abyste měli základní přehled systematického rozdělení bakterií (a virů), a abyste při probírání infekcí jednotlivých orgánových soustav měli alespoň základní představu o jejich zařazení a rozdělení. Základní znalosti budou vyžadovány i u zkoušky.</w:t>
      </w:r>
    </w:p>
    <w:p w:rsidR="00521B96" w:rsidRDefault="00521B96">
      <w:pPr>
        <w:pStyle w:val="Nadpis2"/>
      </w:pPr>
      <w:bookmarkStart w:id="4" w:name="_Toc342466753"/>
      <w:bookmarkStart w:id="5" w:name="_Toc342466828"/>
      <w:r>
        <w:t>3.1 Nejdůležitější grampozitivní koky</w:t>
      </w:r>
      <w:bookmarkEnd w:id="4"/>
      <w:bookmarkEnd w:id="5"/>
    </w:p>
    <w:p w:rsidR="00521B96" w:rsidRDefault="00521B96">
      <w:pPr>
        <w:pStyle w:val="Nadpis3"/>
      </w:pPr>
      <w:r>
        <w:t xml:space="preserve">3.1.1 Staphylococcus </w:t>
      </w:r>
    </w:p>
    <w:p w:rsidR="00521B96" w:rsidRDefault="00521B96">
      <w:r>
        <w:t>Grampozitivní koky uspořádané zpravidla do malých či větších shluků</w:t>
      </w:r>
      <w:r w:rsidR="0048592C">
        <w:t xml:space="preserve">. </w:t>
      </w:r>
    </w:p>
    <w:tbl>
      <w:tblPr>
        <w:tblStyle w:val="Mkatabulky"/>
        <w:tblW w:w="0" w:type="auto"/>
        <w:tblInd w:w="113" w:type="dxa"/>
        <w:tblLayout w:type="fixed"/>
        <w:tblLook w:val="04A0"/>
      </w:tblPr>
      <w:tblGrid>
        <w:gridCol w:w="4815"/>
        <w:gridCol w:w="4670"/>
      </w:tblGrid>
      <w:tr w:rsidR="008E5744" w:rsidTr="008E5744">
        <w:tc>
          <w:tcPr>
            <w:tcW w:w="4815" w:type="dxa"/>
          </w:tcPr>
          <w:p w:rsidR="008E5744" w:rsidRDefault="008E5744">
            <w:pPr>
              <w:ind w:left="0" w:firstLine="0"/>
            </w:pPr>
            <w:r>
              <w:rPr>
                <w:noProof/>
              </w:rPr>
              <w:drawing>
                <wp:inline distT="0" distB="0" distL="0" distR="0">
                  <wp:extent cx="2928866" cy="1819617"/>
                  <wp:effectExtent l="19050" t="0" r="4834" b="0"/>
                  <wp:docPr id="18" name="Obrázek 3" descr="B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9.jpg"/>
                          <pic:cNvPicPr/>
                        </pic:nvPicPr>
                        <pic:blipFill>
                          <a:blip r:embed="rId5"/>
                          <a:srcRect l="10647" t="7612" r="41264" b="47414"/>
                          <a:stretch>
                            <a:fillRect/>
                          </a:stretch>
                        </pic:blipFill>
                        <pic:spPr>
                          <a:xfrm>
                            <a:off x="0" y="0"/>
                            <a:ext cx="2929531" cy="1820030"/>
                          </a:xfrm>
                          <a:prstGeom prst="rect">
                            <a:avLst/>
                          </a:prstGeom>
                        </pic:spPr>
                      </pic:pic>
                    </a:graphicData>
                  </a:graphic>
                </wp:inline>
              </w:drawing>
            </w:r>
          </w:p>
        </w:tc>
        <w:tc>
          <w:tcPr>
            <w:tcW w:w="4670" w:type="dxa"/>
          </w:tcPr>
          <w:p w:rsidR="008E5744" w:rsidRDefault="008E5744">
            <w:pPr>
              <w:ind w:left="0" w:firstLine="0"/>
            </w:pPr>
            <w:r>
              <w:rPr>
                <w:noProof/>
              </w:rPr>
              <w:drawing>
                <wp:inline distT="0" distB="0" distL="0" distR="0">
                  <wp:extent cx="2826508" cy="1817603"/>
                  <wp:effectExtent l="19050" t="0" r="0" b="0"/>
                  <wp:docPr id="19" name="Obrázek 5" descr="B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43.jpg"/>
                          <pic:cNvPicPr/>
                        </pic:nvPicPr>
                        <pic:blipFill>
                          <a:blip r:embed="rId6"/>
                          <a:srcRect l="16543" t="23970" r="27161" b="21723"/>
                          <a:stretch>
                            <a:fillRect/>
                          </a:stretch>
                        </pic:blipFill>
                        <pic:spPr>
                          <a:xfrm>
                            <a:off x="0" y="0"/>
                            <a:ext cx="2826508" cy="1817603"/>
                          </a:xfrm>
                          <a:prstGeom prst="rect">
                            <a:avLst/>
                          </a:prstGeom>
                        </pic:spPr>
                      </pic:pic>
                    </a:graphicData>
                  </a:graphic>
                </wp:inline>
              </w:drawing>
            </w:r>
          </w:p>
        </w:tc>
      </w:tr>
      <w:tr w:rsidR="008E5744" w:rsidTr="008E5744">
        <w:tc>
          <w:tcPr>
            <w:tcW w:w="4815" w:type="dxa"/>
          </w:tcPr>
          <w:p w:rsidR="008E5744" w:rsidRDefault="008E5744">
            <w:pPr>
              <w:ind w:left="0" w:firstLine="0"/>
              <w:rPr>
                <w:noProof/>
              </w:rPr>
            </w:pPr>
            <w:r w:rsidRPr="008E5744">
              <w:rPr>
                <w:noProof/>
              </w:rPr>
              <w:drawing>
                <wp:inline distT="0" distB="0" distL="0" distR="0">
                  <wp:extent cx="2931245" cy="2032139"/>
                  <wp:effectExtent l="19050" t="0" r="2455" b="0"/>
                  <wp:docPr id="20" name="Obrázek 6" descr="B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8.jpg"/>
                          <pic:cNvPicPr/>
                        </pic:nvPicPr>
                        <pic:blipFill>
                          <a:blip r:embed="rId7"/>
                          <a:srcRect l="9721" t="8651" r="11921" b="9644"/>
                          <a:stretch>
                            <a:fillRect/>
                          </a:stretch>
                        </pic:blipFill>
                        <pic:spPr>
                          <a:xfrm>
                            <a:off x="0" y="0"/>
                            <a:ext cx="2933843" cy="2033940"/>
                          </a:xfrm>
                          <a:prstGeom prst="rect">
                            <a:avLst/>
                          </a:prstGeom>
                        </pic:spPr>
                      </pic:pic>
                    </a:graphicData>
                  </a:graphic>
                </wp:inline>
              </w:drawing>
            </w:r>
          </w:p>
        </w:tc>
        <w:tc>
          <w:tcPr>
            <w:tcW w:w="4670" w:type="dxa"/>
          </w:tcPr>
          <w:p w:rsidR="008E5744" w:rsidRDefault="008E5744">
            <w:pPr>
              <w:ind w:left="0" w:firstLine="0"/>
              <w:rPr>
                <w:noProof/>
              </w:rPr>
            </w:pPr>
            <w:r>
              <w:t xml:space="preserve">První dva obrázky ukazují mikroskopický vzhled stafylokoků – první je nátěr kmene (čisté kultury), druhý je obarvený vzorek, obsahující stafylokoky – jde o vzorek mléka od ženy se zánětem mléčné žlázy. Třetí obrázek ukazuje kolonie bakterie </w:t>
            </w:r>
            <w:r>
              <w:rPr>
                <w:i/>
              </w:rPr>
              <w:t xml:space="preserve">Staphylococcus aureus </w:t>
            </w:r>
            <w:r>
              <w:t>na krevním agaru.</w:t>
            </w:r>
          </w:p>
        </w:tc>
      </w:tr>
    </w:tbl>
    <w:p w:rsidR="00521B96" w:rsidRDefault="00521B96">
      <w:pPr>
        <w:numPr>
          <w:ilvl w:val="1"/>
          <w:numId w:val="38"/>
        </w:numPr>
        <w:tabs>
          <w:tab w:val="clear" w:pos="1647"/>
          <w:tab w:val="num" w:pos="720"/>
        </w:tabs>
        <w:ind w:left="720" w:hanging="360"/>
        <w:rPr>
          <w:rFonts w:cs="Century Gothic"/>
          <w:szCs w:val="22"/>
        </w:rPr>
      </w:pPr>
      <w:r>
        <w:rPr>
          <w:rFonts w:cs="Century Gothic"/>
          <w:b/>
          <w:bCs/>
          <w:i/>
          <w:iCs/>
          <w:szCs w:val="22"/>
        </w:rPr>
        <w:t>Staphylococcus aureus</w:t>
      </w:r>
      <w:r>
        <w:rPr>
          <w:rFonts w:cs="Century Gothic"/>
          <w:szCs w:val="22"/>
        </w:rPr>
        <w:t xml:space="preserve"> („zlatý stafylokok“) – výrazný patogen, způsobuje hnisavé záněty kůže, ale i abscesy ve tkáních, případně i další infekce (například záněty plic)</w:t>
      </w:r>
    </w:p>
    <w:p w:rsidR="00521B96" w:rsidRPr="00550EEC" w:rsidRDefault="00521B96">
      <w:pPr>
        <w:numPr>
          <w:ilvl w:val="1"/>
          <w:numId w:val="38"/>
        </w:numPr>
        <w:tabs>
          <w:tab w:val="clear" w:pos="1647"/>
          <w:tab w:val="num" w:pos="720"/>
        </w:tabs>
        <w:ind w:left="720" w:hanging="360"/>
        <w:rPr>
          <w:rFonts w:cs="Century Gothic"/>
          <w:szCs w:val="22"/>
        </w:rPr>
      </w:pPr>
      <w:r>
        <w:rPr>
          <w:rFonts w:cs="Century Gothic"/>
          <w:b/>
          <w:bCs/>
          <w:szCs w:val="22"/>
        </w:rPr>
        <w:t>koaguláza-negativní stafylokoky</w:t>
      </w:r>
      <w:r>
        <w:rPr>
          <w:rFonts w:cs="Century Gothic"/>
          <w:bCs/>
          <w:szCs w:val="22"/>
        </w:rPr>
        <w:t>, které nacházíme na kůži za fyziologických okolností, ale mohou způsobovat i močové infekce a infekce krevního řečiště.</w:t>
      </w:r>
    </w:p>
    <w:p w:rsidR="00550EEC" w:rsidRDefault="00550EEC" w:rsidP="00550EEC">
      <w:pPr>
        <w:rPr>
          <w:rFonts w:cs="Century Gothic"/>
          <w:bCs/>
          <w:szCs w:val="22"/>
        </w:rPr>
      </w:pPr>
      <w:r w:rsidRPr="00550EEC">
        <w:rPr>
          <w:rFonts w:cs="Century Gothic"/>
          <w:bCs/>
          <w:szCs w:val="22"/>
        </w:rPr>
        <w:t>Stafylokoky</w:t>
      </w:r>
      <w:r>
        <w:rPr>
          <w:rFonts w:cs="Century Gothic"/>
          <w:bCs/>
          <w:szCs w:val="22"/>
        </w:rPr>
        <w:t xml:space="preserve"> jsou typické pozitivitou tzv. katalázové reakce – viz </w:t>
      </w:r>
      <w:r w:rsidR="0048592C">
        <w:rPr>
          <w:rFonts w:cs="Century Gothic"/>
          <w:bCs/>
          <w:szCs w:val="22"/>
        </w:rPr>
        <w:t>první obrázek. Další obrázek ukazuje plasmakoagulázovou reakci (nahoře pozitivní, dole negativní), podle které vzniklo právě pojmenování „koagulázanegativní stafylokoky“.</w:t>
      </w:r>
    </w:p>
    <w:tbl>
      <w:tblPr>
        <w:tblStyle w:val="Mkatabulky"/>
        <w:tblW w:w="0" w:type="auto"/>
        <w:tblInd w:w="113" w:type="dxa"/>
        <w:tblLook w:val="04A0"/>
      </w:tblPr>
      <w:tblGrid>
        <w:gridCol w:w="4868"/>
        <w:gridCol w:w="4641"/>
      </w:tblGrid>
      <w:tr w:rsidR="0048592C" w:rsidTr="008E5744">
        <w:trPr>
          <w:trHeight w:val="2278"/>
        </w:trPr>
        <w:tc>
          <w:tcPr>
            <w:tcW w:w="4815" w:type="dxa"/>
          </w:tcPr>
          <w:p w:rsidR="0048592C" w:rsidRDefault="0048592C" w:rsidP="00550EEC">
            <w:pPr>
              <w:ind w:left="0" w:firstLine="0"/>
              <w:rPr>
                <w:rFonts w:cs="Century Gothic"/>
                <w:bCs/>
                <w:szCs w:val="22"/>
              </w:rPr>
            </w:pPr>
            <w:r w:rsidRPr="0048592C">
              <w:rPr>
                <w:rFonts w:cs="Century Gothic"/>
                <w:bCs/>
                <w:noProof/>
                <w:szCs w:val="22"/>
              </w:rPr>
              <w:lastRenderedPageBreak/>
              <w:drawing>
                <wp:inline distT="0" distB="0" distL="0" distR="0">
                  <wp:extent cx="2934862" cy="1207827"/>
                  <wp:effectExtent l="19050" t="0" r="0" b="0"/>
                  <wp:docPr id="8" name="Obrázek 0" descr="B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5.jpg"/>
                          <pic:cNvPicPr/>
                        </pic:nvPicPr>
                        <pic:blipFill>
                          <a:blip r:embed="rId8"/>
                          <a:srcRect l="25209" t="25605" r="18176" b="39447"/>
                          <a:stretch>
                            <a:fillRect/>
                          </a:stretch>
                        </pic:blipFill>
                        <pic:spPr>
                          <a:xfrm>
                            <a:off x="0" y="0"/>
                            <a:ext cx="2942348" cy="1210908"/>
                          </a:xfrm>
                          <a:prstGeom prst="rect">
                            <a:avLst/>
                          </a:prstGeom>
                        </pic:spPr>
                      </pic:pic>
                    </a:graphicData>
                  </a:graphic>
                </wp:inline>
              </w:drawing>
            </w:r>
          </w:p>
        </w:tc>
        <w:tc>
          <w:tcPr>
            <w:tcW w:w="4678" w:type="dxa"/>
          </w:tcPr>
          <w:p w:rsidR="0048592C" w:rsidRDefault="0048592C" w:rsidP="00550EEC">
            <w:pPr>
              <w:ind w:left="0" w:firstLine="0"/>
              <w:rPr>
                <w:rFonts w:cs="Century Gothic"/>
                <w:bCs/>
                <w:szCs w:val="22"/>
              </w:rPr>
            </w:pPr>
            <w:r>
              <w:rPr>
                <w:rFonts w:cs="Century Gothic"/>
                <w:bCs/>
                <w:noProof/>
                <w:szCs w:val="22"/>
              </w:rPr>
              <w:drawing>
                <wp:inline distT="0" distB="0" distL="0" distR="0">
                  <wp:extent cx="2634188" cy="1289714"/>
                  <wp:effectExtent l="19050" t="0" r="0" b="0"/>
                  <wp:docPr id="9" name="Obrázek 2" descr="B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0.jpg"/>
                          <pic:cNvPicPr/>
                        </pic:nvPicPr>
                        <pic:blipFill>
                          <a:blip r:embed="rId9"/>
                          <a:srcRect l="9746" t="24380" r="10427" b="17034"/>
                          <a:stretch>
                            <a:fillRect/>
                          </a:stretch>
                        </pic:blipFill>
                        <pic:spPr>
                          <a:xfrm>
                            <a:off x="0" y="0"/>
                            <a:ext cx="2635790" cy="1290498"/>
                          </a:xfrm>
                          <a:prstGeom prst="rect">
                            <a:avLst/>
                          </a:prstGeom>
                        </pic:spPr>
                      </pic:pic>
                    </a:graphicData>
                  </a:graphic>
                </wp:inline>
              </w:drawing>
            </w:r>
          </w:p>
        </w:tc>
      </w:tr>
    </w:tbl>
    <w:p w:rsidR="00521B96" w:rsidRDefault="00521B96">
      <w:pPr>
        <w:pStyle w:val="Nadpis3"/>
      </w:pPr>
      <w:r>
        <w:t xml:space="preserve">3.1.2 Streptococcus </w:t>
      </w:r>
    </w:p>
    <w:p w:rsidR="00521B96" w:rsidRDefault="00521B96">
      <w:r>
        <w:t>Grampozitivní koky uspořádané zpravidla do řetízků, ale někdy (pneumokok) i do dvojic</w:t>
      </w:r>
      <w:r w:rsidR="00AE509E">
        <w:t xml:space="preserve">. </w:t>
      </w:r>
      <w:r w:rsidR="008E5744">
        <w:t xml:space="preserve">Rozlišují se podle toho, zda na krevním agaru zcela rozkládají červené krvinky (hemolýza/beta-hemolýza), nebo „jen“ jejich červené krevní barvivo mění na zelené (viridace/alfa-hemolýza), případně na krevním agaru nedělají žádný efekt. </w:t>
      </w:r>
    </w:p>
    <w:tbl>
      <w:tblPr>
        <w:tblStyle w:val="Mkatabulky"/>
        <w:tblW w:w="0" w:type="auto"/>
        <w:tblInd w:w="113" w:type="dxa"/>
        <w:tblLook w:val="04A0"/>
      </w:tblPr>
      <w:tblGrid>
        <w:gridCol w:w="4918"/>
        <w:gridCol w:w="4591"/>
      </w:tblGrid>
      <w:tr w:rsidR="008E5744" w:rsidTr="008E5744">
        <w:tc>
          <w:tcPr>
            <w:tcW w:w="4815" w:type="dxa"/>
          </w:tcPr>
          <w:p w:rsidR="008E5744" w:rsidRDefault="008E5744">
            <w:pPr>
              <w:ind w:left="0" w:firstLine="0"/>
            </w:pPr>
            <w:r>
              <w:rPr>
                <w:noProof/>
              </w:rPr>
              <w:drawing>
                <wp:inline distT="0" distB="0" distL="0" distR="0">
                  <wp:extent cx="2956162" cy="2031102"/>
                  <wp:effectExtent l="19050" t="0" r="0" b="0"/>
                  <wp:docPr id="14" name="Obrázek 0" descr="B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1.jpg"/>
                          <pic:cNvPicPr/>
                        </pic:nvPicPr>
                        <pic:blipFill>
                          <a:blip r:embed="rId10"/>
                          <a:srcRect l="11359" t="10727" r="11032" b="9342"/>
                          <a:stretch>
                            <a:fillRect/>
                          </a:stretch>
                        </pic:blipFill>
                        <pic:spPr>
                          <a:xfrm>
                            <a:off x="0" y="0"/>
                            <a:ext cx="2956162" cy="2031102"/>
                          </a:xfrm>
                          <a:prstGeom prst="rect">
                            <a:avLst/>
                          </a:prstGeom>
                        </pic:spPr>
                      </pic:pic>
                    </a:graphicData>
                  </a:graphic>
                </wp:inline>
              </w:drawing>
            </w:r>
          </w:p>
        </w:tc>
        <w:tc>
          <w:tcPr>
            <w:tcW w:w="4678" w:type="dxa"/>
          </w:tcPr>
          <w:p w:rsidR="008E5744" w:rsidRDefault="008E5744">
            <w:pPr>
              <w:ind w:left="0" w:firstLine="0"/>
            </w:pPr>
            <w:r>
              <w:rPr>
                <w:noProof/>
              </w:rPr>
              <w:drawing>
                <wp:inline distT="0" distB="0" distL="0" distR="0">
                  <wp:extent cx="2787185" cy="2033517"/>
                  <wp:effectExtent l="19050" t="0" r="0" b="0"/>
                  <wp:docPr id="15" name="Obrázek 1" descr="B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2.jpg"/>
                          <pic:cNvPicPr/>
                        </pic:nvPicPr>
                        <pic:blipFill>
                          <a:blip r:embed="rId11"/>
                          <a:srcRect l="10069" t="12820" r="10177"/>
                          <a:stretch>
                            <a:fillRect/>
                          </a:stretch>
                        </pic:blipFill>
                        <pic:spPr>
                          <a:xfrm>
                            <a:off x="0" y="0"/>
                            <a:ext cx="2790369" cy="2035840"/>
                          </a:xfrm>
                          <a:prstGeom prst="rect">
                            <a:avLst/>
                          </a:prstGeom>
                        </pic:spPr>
                      </pic:pic>
                    </a:graphicData>
                  </a:graphic>
                </wp:inline>
              </w:drawing>
            </w:r>
          </w:p>
        </w:tc>
      </w:tr>
      <w:tr w:rsidR="008E5744" w:rsidTr="008E5744">
        <w:tc>
          <w:tcPr>
            <w:tcW w:w="4815" w:type="dxa"/>
          </w:tcPr>
          <w:p w:rsidR="008E5744" w:rsidRDefault="008E5744">
            <w:pPr>
              <w:ind w:left="0" w:firstLine="0"/>
              <w:rPr>
                <w:noProof/>
              </w:rPr>
            </w:pPr>
            <w:r w:rsidRPr="008E5744">
              <w:rPr>
                <w:noProof/>
              </w:rPr>
              <w:drawing>
                <wp:inline distT="0" distB="0" distL="0" distR="0">
                  <wp:extent cx="2997105" cy="1902163"/>
                  <wp:effectExtent l="19050" t="0" r="0" b="0"/>
                  <wp:docPr id="16" name="Obrázek 2" descr="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3.jpg"/>
                          <pic:cNvPicPr/>
                        </pic:nvPicPr>
                        <pic:blipFill>
                          <a:blip r:embed="rId12"/>
                          <a:srcRect l="9974" t="10381" r="19550" b="22491"/>
                          <a:stretch>
                            <a:fillRect/>
                          </a:stretch>
                        </pic:blipFill>
                        <pic:spPr>
                          <a:xfrm>
                            <a:off x="0" y="0"/>
                            <a:ext cx="3001661" cy="1905055"/>
                          </a:xfrm>
                          <a:prstGeom prst="rect">
                            <a:avLst/>
                          </a:prstGeom>
                        </pic:spPr>
                      </pic:pic>
                    </a:graphicData>
                  </a:graphic>
                </wp:inline>
              </w:drawing>
            </w:r>
          </w:p>
        </w:tc>
        <w:tc>
          <w:tcPr>
            <w:tcW w:w="4678" w:type="dxa"/>
          </w:tcPr>
          <w:p w:rsidR="008E5744" w:rsidRDefault="008E5744" w:rsidP="008E5744">
            <w:pPr>
              <w:ind w:left="0" w:firstLine="0"/>
              <w:rPr>
                <w:noProof/>
              </w:rPr>
            </w:pPr>
            <w:r>
              <w:t>První obrázek ukazuje streptokoky s hemolýzou, druhý streptokoky s viridací, třetí srovnání hemolýzy a viridace. (Černá barva na třetím obrázku je barva pozadí fotografie – agar se vlivem účinku hemolytického streptokoka stal zcela průhledným, takže je vidět černé pozadí).</w:t>
            </w:r>
          </w:p>
        </w:tc>
      </w:tr>
    </w:tbl>
    <w:p w:rsidR="002549D9" w:rsidRDefault="002549D9">
      <w:r>
        <w:t>Další rozdělení pak existuje v rámci jednotlivých skupin:</w:t>
      </w:r>
    </w:p>
    <w:p w:rsidR="00521B96" w:rsidRDefault="00521B96">
      <w:pPr>
        <w:numPr>
          <w:ilvl w:val="1"/>
          <w:numId w:val="38"/>
        </w:numPr>
        <w:tabs>
          <w:tab w:val="clear" w:pos="1647"/>
          <w:tab w:val="num" w:pos="720"/>
        </w:tabs>
        <w:ind w:left="720" w:hanging="360"/>
        <w:rPr>
          <w:rFonts w:cs="Century Gothic"/>
          <w:szCs w:val="22"/>
        </w:rPr>
      </w:pPr>
      <w:r>
        <w:rPr>
          <w:rFonts w:cs="Century Gothic"/>
          <w:b/>
          <w:bCs/>
          <w:szCs w:val="22"/>
        </w:rPr>
        <w:t>hemolytické</w:t>
      </w:r>
      <w:r>
        <w:rPr>
          <w:rFonts w:cs="Century Gothic"/>
          <w:szCs w:val="22"/>
        </w:rPr>
        <w:t xml:space="preserve"> (betahemolytické) streptokoky</w:t>
      </w:r>
    </w:p>
    <w:p w:rsidR="00521B96" w:rsidRDefault="00521B96">
      <w:pPr>
        <w:numPr>
          <w:ilvl w:val="1"/>
          <w:numId w:val="33"/>
        </w:numPr>
        <w:rPr>
          <w:rFonts w:cs="Century Gothic"/>
          <w:szCs w:val="22"/>
        </w:rPr>
      </w:pPr>
      <w:r>
        <w:rPr>
          <w:rFonts w:cs="Century Gothic"/>
          <w:b/>
          <w:i/>
          <w:iCs/>
          <w:szCs w:val="22"/>
        </w:rPr>
        <w:t>S. pyogenes</w:t>
      </w:r>
      <w:r>
        <w:rPr>
          <w:rFonts w:cs="Century Gothic"/>
          <w:szCs w:val="22"/>
        </w:rPr>
        <w:t xml:space="preserve"> neboli „streptokok skupiny A“ – způsobuje angínu, spálu, spálovou angínu, flegmóny ve tkáních, záněty fascií – fasciitidy („masožravý streptokok“)</w:t>
      </w:r>
    </w:p>
    <w:p w:rsidR="00521B96" w:rsidRDefault="00521B96">
      <w:pPr>
        <w:numPr>
          <w:ilvl w:val="1"/>
          <w:numId w:val="33"/>
        </w:numPr>
        <w:rPr>
          <w:rFonts w:cs="Century Gothic"/>
          <w:szCs w:val="22"/>
        </w:rPr>
      </w:pPr>
      <w:r>
        <w:rPr>
          <w:rFonts w:cs="Century Gothic"/>
          <w:b/>
          <w:i/>
          <w:iCs/>
          <w:szCs w:val="22"/>
        </w:rPr>
        <w:t>S. agalactiae</w:t>
      </w:r>
      <w:r>
        <w:rPr>
          <w:rFonts w:cs="Century Gothic"/>
          <w:szCs w:val="22"/>
        </w:rPr>
        <w:t xml:space="preserve"> neboli „streptokok skupiny B“ – způsobuje močové infekce, infekce pohlavních orgánů a také novorozence (od matky)</w:t>
      </w:r>
    </w:p>
    <w:tbl>
      <w:tblPr>
        <w:tblStyle w:val="Mkatabulky"/>
        <w:tblW w:w="0" w:type="auto"/>
        <w:tblInd w:w="113" w:type="dxa"/>
        <w:tblLook w:val="04A0"/>
      </w:tblPr>
      <w:tblGrid>
        <w:gridCol w:w="4836"/>
        <w:gridCol w:w="4673"/>
      </w:tblGrid>
      <w:tr w:rsidR="00CA1783" w:rsidTr="00CA1783">
        <w:tc>
          <w:tcPr>
            <w:tcW w:w="4773" w:type="dxa"/>
          </w:tcPr>
          <w:p w:rsidR="00CA1783" w:rsidRDefault="00CA1783" w:rsidP="00CA1783">
            <w:pPr>
              <w:ind w:left="0" w:firstLine="0"/>
              <w:rPr>
                <w:rFonts w:cs="Century Gothic"/>
                <w:szCs w:val="22"/>
              </w:rPr>
            </w:pPr>
            <w:r>
              <w:rPr>
                <w:rFonts w:cs="Century Gothic"/>
                <w:noProof/>
                <w:szCs w:val="22"/>
              </w:rPr>
              <w:lastRenderedPageBreak/>
              <w:drawing>
                <wp:inline distT="0" distB="0" distL="0" distR="0">
                  <wp:extent cx="2912311" cy="1480782"/>
                  <wp:effectExtent l="19050" t="0" r="2339" b="0"/>
                  <wp:docPr id="10" name="Obrázek 9" descr="B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5.jpg"/>
                          <pic:cNvPicPr/>
                        </pic:nvPicPr>
                        <pic:blipFill>
                          <a:blip r:embed="rId13"/>
                          <a:srcRect l="23471" t="33449" r="24518" b="26829"/>
                          <a:stretch>
                            <a:fillRect/>
                          </a:stretch>
                        </pic:blipFill>
                        <pic:spPr>
                          <a:xfrm>
                            <a:off x="0" y="0"/>
                            <a:ext cx="2912311" cy="1480782"/>
                          </a:xfrm>
                          <a:prstGeom prst="rect">
                            <a:avLst/>
                          </a:prstGeom>
                        </pic:spPr>
                      </pic:pic>
                    </a:graphicData>
                  </a:graphic>
                </wp:inline>
              </w:drawing>
            </w:r>
          </w:p>
        </w:tc>
        <w:tc>
          <w:tcPr>
            <w:tcW w:w="4773" w:type="dxa"/>
          </w:tcPr>
          <w:p w:rsidR="00CA1783" w:rsidRDefault="00CA1783" w:rsidP="00CA1783">
            <w:pPr>
              <w:ind w:left="0" w:firstLine="0"/>
              <w:rPr>
                <w:rFonts w:cs="Century Gothic"/>
                <w:szCs w:val="22"/>
              </w:rPr>
            </w:pPr>
            <w:r>
              <w:rPr>
                <w:rFonts w:cs="Century Gothic"/>
                <w:szCs w:val="22"/>
              </w:rPr>
              <w:t xml:space="preserve">Obrázek ukazuje test na průkaz </w:t>
            </w:r>
            <w:r w:rsidRPr="00CA1783">
              <w:rPr>
                <w:rFonts w:cs="Century Gothic"/>
                <w:i/>
                <w:szCs w:val="22"/>
              </w:rPr>
              <w:t xml:space="preserve">Streptococcus agalactiae </w:t>
            </w:r>
            <w:r>
              <w:rPr>
                <w:rFonts w:cs="Century Gothic"/>
                <w:szCs w:val="22"/>
              </w:rPr>
              <w:t xml:space="preserve">– úplná hemolýza na styku kmene testovaného streptokoka (vodorovná čára) a určitého speciálního kmene zlatého stafylokoka (svislá čára). Je-li testovaný kmen </w:t>
            </w:r>
            <w:r w:rsidRPr="00CA1783">
              <w:rPr>
                <w:rFonts w:cs="Century Gothic"/>
                <w:i/>
                <w:szCs w:val="22"/>
              </w:rPr>
              <w:t>S. agalactiae</w:t>
            </w:r>
            <w:r>
              <w:rPr>
                <w:rFonts w:cs="Century Gothic"/>
                <w:szCs w:val="22"/>
              </w:rPr>
              <w:t>, vznikne v místě kontaktu obou kmenů zesílená hemolýza ve tvaru trojúhelníka</w:t>
            </w:r>
          </w:p>
        </w:tc>
      </w:tr>
    </w:tbl>
    <w:p w:rsidR="00521B96" w:rsidRDefault="00521B96">
      <w:pPr>
        <w:numPr>
          <w:ilvl w:val="1"/>
          <w:numId w:val="33"/>
        </w:numPr>
        <w:rPr>
          <w:rFonts w:cs="Century Gothic"/>
          <w:szCs w:val="22"/>
        </w:rPr>
      </w:pPr>
      <w:r>
        <w:rPr>
          <w:rFonts w:cs="Century Gothic"/>
          <w:szCs w:val="22"/>
        </w:rPr>
        <w:t xml:space="preserve">takzvané </w:t>
      </w:r>
      <w:r>
        <w:rPr>
          <w:rFonts w:cs="Century Gothic"/>
          <w:b/>
          <w:szCs w:val="22"/>
        </w:rPr>
        <w:t>„non-A-non-B“ streptokoky</w:t>
      </w:r>
      <w:r>
        <w:rPr>
          <w:rFonts w:cs="Century Gothic"/>
          <w:szCs w:val="22"/>
        </w:rPr>
        <w:t xml:space="preserve"> – způsobují např. nespecifické záněty hrtanu</w:t>
      </w:r>
    </w:p>
    <w:p w:rsidR="00521B96" w:rsidRDefault="00521B96">
      <w:pPr>
        <w:numPr>
          <w:ilvl w:val="0"/>
          <w:numId w:val="39"/>
        </w:numPr>
        <w:tabs>
          <w:tab w:val="clear" w:pos="927"/>
          <w:tab w:val="num" w:pos="720"/>
        </w:tabs>
        <w:ind w:left="720" w:hanging="360"/>
        <w:rPr>
          <w:rFonts w:cs="Century Gothic"/>
          <w:szCs w:val="22"/>
        </w:rPr>
      </w:pPr>
      <w:r>
        <w:rPr>
          <w:rFonts w:cs="Century Gothic"/>
          <w:b/>
          <w:bCs/>
          <w:szCs w:val="22"/>
        </w:rPr>
        <w:t>viridující</w:t>
      </w:r>
      <w:r>
        <w:rPr>
          <w:rFonts w:cs="Century Gothic"/>
          <w:szCs w:val="22"/>
        </w:rPr>
        <w:t xml:space="preserve"> (alfahemolytické) streptokoky</w:t>
      </w:r>
    </w:p>
    <w:p w:rsidR="00521B96" w:rsidRDefault="00521B96">
      <w:pPr>
        <w:numPr>
          <w:ilvl w:val="1"/>
          <w:numId w:val="33"/>
        </w:numPr>
        <w:rPr>
          <w:rFonts w:cs="Century Gothic"/>
          <w:szCs w:val="22"/>
        </w:rPr>
      </w:pPr>
      <w:r>
        <w:rPr>
          <w:rFonts w:cs="Century Gothic"/>
          <w:b/>
          <w:i/>
          <w:iCs/>
          <w:szCs w:val="22"/>
        </w:rPr>
        <w:t xml:space="preserve">S. pneumoniae </w:t>
      </w:r>
      <w:r>
        <w:rPr>
          <w:rFonts w:cs="Century Gothic"/>
          <w:b/>
          <w:szCs w:val="22"/>
        </w:rPr>
        <w:t>= pneumokok</w:t>
      </w:r>
      <w:r>
        <w:rPr>
          <w:rFonts w:cs="Century Gothic"/>
          <w:szCs w:val="22"/>
        </w:rPr>
        <w:t xml:space="preserve"> – způsobuje záněty středního ucha, dutin (sinusitidy), záněty plic, mozkových blan, ohrožení jsou lidé, kteří přišli o slezinu</w:t>
      </w:r>
      <w:r w:rsidR="002549D9">
        <w:rPr>
          <w:rFonts w:cs="Century Gothic"/>
          <w:szCs w:val="22"/>
        </w:rPr>
        <w:t xml:space="preserve">. </w:t>
      </w:r>
    </w:p>
    <w:tbl>
      <w:tblPr>
        <w:tblStyle w:val="Mkatabulky"/>
        <w:tblW w:w="0" w:type="auto"/>
        <w:tblInd w:w="113" w:type="dxa"/>
        <w:tblLook w:val="04A0"/>
      </w:tblPr>
      <w:tblGrid>
        <w:gridCol w:w="4767"/>
        <w:gridCol w:w="4742"/>
      </w:tblGrid>
      <w:tr w:rsidR="002549D9" w:rsidTr="002549D9">
        <w:tc>
          <w:tcPr>
            <w:tcW w:w="4773" w:type="dxa"/>
          </w:tcPr>
          <w:p w:rsidR="002549D9" w:rsidRDefault="002549D9" w:rsidP="002549D9">
            <w:pPr>
              <w:ind w:left="0" w:firstLine="0"/>
              <w:rPr>
                <w:rFonts w:cs="Century Gothic"/>
                <w:szCs w:val="22"/>
              </w:rPr>
            </w:pPr>
            <w:r>
              <w:rPr>
                <w:rFonts w:cs="Century Gothic"/>
                <w:noProof/>
                <w:szCs w:val="22"/>
              </w:rPr>
              <w:drawing>
                <wp:inline distT="0" distB="0" distL="0" distR="0">
                  <wp:extent cx="2519434" cy="2254712"/>
                  <wp:effectExtent l="19050" t="0" r="0" b="0"/>
                  <wp:docPr id="5" name="Obrázek 4" descr="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4.jpg"/>
                          <pic:cNvPicPr/>
                        </pic:nvPicPr>
                        <pic:blipFill>
                          <a:blip r:embed="rId14"/>
                          <a:srcRect l="19945" t="11388" r="20544" b="8541"/>
                          <a:stretch>
                            <a:fillRect/>
                          </a:stretch>
                        </pic:blipFill>
                        <pic:spPr>
                          <a:xfrm>
                            <a:off x="0" y="0"/>
                            <a:ext cx="2521524" cy="2256582"/>
                          </a:xfrm>
                          <a:prstGeom prst="rect">
                            <a:avLst/>
                          </a:prstGeom>
                        </pic:spPr>
                      </pic:pic>
                    </a:graphicData>
                  </a:graphic>
                </wp:inline>
              </w:drawing>
            </w:r>
          </w:p>
        </w:tc>
        <w:tc>
          <w:tcPr>
            <w:tcW w:w="4773" w:type="dxa"/>
          </w:tcPr>
          <w:p w:rsidR="002549D9" w:rsidRDefault="002549D9" w:rsidP="002549D9">
            <w:pPr>
              <w:ind w:left="0" w:firstLine="0"/>
              <w:rPr>
                <w:rFonts w:cs="Century Gothic"/>
                <w:szCs w:val="22"/>
              </w:rPr>
            </w:pPr>
            <w:r>
              <w:rPr>
                <w:rFonts w:cs="Century Gothic"/>
                <w:szCs w:val="22"/>
              </w:rPr>
              <w:t>Obrázek ukazuje kmen pneumokoka. Kolonie mají hlenovitou konzistenci. To svědčí o tom, že daný kmen pneumokoka je opouzdřený. Pouzdro pomáhá pneumokokům lépe se bránit lidské imunitě. Neopouzdřené kmeny (které se poznají tak, že jejich kolonie nejsou hlenovité) jsou méně nebezpečné.</w:t>
            </w:r>
          </w:p>
        </w:tc>
      </w:tr>
    </w:tbl>
    <w:p w:rsidR="00521B96" w:rsidRDefault="00521B96">
      <w:pPr>
        <w:numPr>
          <w:ilvl w:val="1"/>
          <w:numId w:val="33"/>
        </w:numPr>
        <w:rPr>
          <w:rFonts w:cs="Century Gothic"/>
          <w:szCs w:val="22"/>
        </w:rPr>
      </w:pPr>
      <w:r>
        <w:rPr>
          <w:rFonts w:cs="Century Gothic"/>
          <w:b/>
          <w:szCs w:val="22"/>
        </w:rPr>
        <w:t>takzvané „ústní“ streptokoky</w:t>
      </w:r>
      <w:r>
        <w:rPr>
          <w:rFonts w:cs="Century Gothic"/>
          <w:szCs w:val="22"/>
        </w:rPr>
        <w:t xml:space="preserve"> – dnes se ještě dělí do velkého počtu podskupin. Všechny se mohou vyskytovat v ústní dutině, jejich úloha je tam ale sporná (kdy se podílejí například na zubním kazu, a kdy jsou neutrální či prospěšné)</w:t>
      </w:r>
      <w:r w:rsidR="00186F9F">
        <w:rPr>
          <w:rFonts w:cs="Century Gothic"/>
          <w:szCs w:val="22"/>
        </w:rPr>
        <w:t>. Více o této skupině je uvedeno v tématech 12 a 13.</w:t>
      </w:r>
    </w:p>
    <w:p w:rsidR="00521B96" w:rsidRDefault="00521B96">
      <w:pPr>
        <w:numPr>
          <w:ilvl w:val="0"/>
          <w:numId w:val="40"/>
        </w:numPr>
        <w:tabs>
          <w:tab w:val="clear" w:pos="927"/>
          <w:tab w:val="num" w:pos="720"/>
        </w:tabs>
        <w:ind w:left="720" w:hanging="360"/>
        <w:rPr>
          <w:rFonts w:cs="Century Gothic"/>
          <w:szCs w:val="22"/>
        </w:rPr>
      </w:pPr>
      <w:r>
        <w:rPr>
          <w:rFonts w:cs="Century Gothic"/>
          <w:szCs w:val="22"/>
        </w:rPr>
        <w:t xml:space="preserve">málo významné </w:t>
      </w:r>
      <w:r>
        <w:rPr>
          <w:rFonts w:cs="Century Gothic"/>
          <w:b/>
          <w:bCs/>
          <w:szCs w:val="22"/>
        </w:rPr>
        <w:t xml:space="preserve">streptokoky bez hemolýzy </w:t>
      </w:r>
      <w:r>
        <w:rPr>
          <w:rFonts w:cs="Century Gothic"/>
          <w:szCs w:val="22"/>
        </w:rPr>
        <w:t>(gamahemolytické)</w:t>
      </w:r>
    </w:p>
    <w:p w:rsidR="00521B96" w:rsidRDefault="00521B96">
      <w:pPr>
        <w:pStyle w:val="Nadpis3"/>
      </w:pPr>
      <w:r>
        <w:t>3.1.3 Enterococcus</w:t>
      </w:r>
    </w:p>
    <w:p w:rsidR="00521B96" w:rsidRDefault="00521B96">
      <w:pPr>
        <w:rPr>
          <w:rFonts w:cs="Century Gothic"/>
          <w:szCs w:val="22"/>
        </w:rPr>
      </w:pPr>
      <w:r>
        <w:t xml:space="preserve">Enterokoky byly dříve považovány za pouhou skupinu streptokoků. Tvoří krátké řetízky. Nejvýznamnější druhy jsou </w:t>
      </w:r>
      <w:r>
        <w:rPr>
          <w:rFonts w:cs="Century Gothic"/>
          <w:b/>
          <w:bCs/>
          <w:i/>
          <w:iCs/>
          <w:szCs w:val="22"/>
        </w:rPr>
        <w:t>Enterococcus faecalis</w:t>
      </w:r>
      <w:r>
        <w:rPr>
          <w:rFonts w:cs="Century Gothic"/>
          <w:szCs w:val="22"/>
        </w:rPr>
        <w:t xml:space="preserve"> a </w:t>
      </w:r>
      <w:r>
        <w:rPr>
          <w:rFonts w:cs="Century Gothic"/>
          <w:b/>
          <w:bCs/>
          <w:i/>
          <w:iCs/>
          <w:szCs w:val="22"/>
        </w:rPr>
        <w:t>E. faecium</w:t>
      </w:r>
      <w:r>
        <w:rPr>
          <w:rFonts w:cs="Century Gothic"/>
          <w:iCs/>
          <w:szCs w:val="22"/>
        </w:rPr>
        <w:t xml:space="preserve"> – oba dva jsou normálním nálezem ve střevě, ale způsobují močové infekce, někdy i sepse a další nákazy</w:t>
      </w:r>
    </w:p>
    <w:p w:rsidR="00521B96" w:rsidRDefault="00521B96">
      <w:pPr>
        <w:pStyle w:val="Petit"/>
      </w:pPr>
      <w:r>
        <w:t xml:space="preserve">Zajímavost: existuje „moravský“ enterokok </w:t>
      </w:r>
      <w:r>
        <w:rPr>
          <w:i/>
          <w:iCs/>
        </w:rPr>
        <w:t xml:space="preserve">E. moraviensis, </w:t>
      </w:r>
      <w:r>
        <w:t>objevený brněnskými badateli.</w:t>
      </w:r>
    </w:p>
    <w:p w:rsidR="00521B96" w:rsidRDefault="00521B96">
      <w:pPr>
        <w:pStyle w:val="Nadpis2"/>
      </w:pPr>
      <w:bookmarkStart w:id="6" w:name="_Toc342466754"/>
      <w:bookmarkStart w:id="7" w:name="_Toc342466829"/>
      <w:r>
        <w:t>3.2 Nejdůležitější grampozitivní tyčinky</w:t>
      </w:r>
      <w:bookmarkEnd w:id="6"/>
      <w:bookmarkEnd w:id="7"/>
    </w:p>
    <w:p w:rsidR="00521B96" w:rsidRDefault="00521B96">
      <w:pPr>
        <w:pStyle w:val="Nadpis3"/>
      </w:pPr>
      <w:r>
        <w:t>3.2.1 Listeria</w:t>
      </w:r>
    </w:p>
    <w:p w:rsidR="00521B96" w:rsidRDefault="00521B96">
      <w:r>
        <w:t xml:space="preserve">Nejdůležitější druh je </w:t>
      </w:r>
      <w:r>
        <w:rPr>
          <w:b/>
          <w:i/>
        </w:rPr>
        <w:t>Listeria monocytogenes</w:t>
      </w:r>
      <w:r>
        <w:t>, způsobuje většinou bezpříznakové nákazy, ale nebezpečná je pro těhotné ženy. Zdrojem jsou sýry, sýrové saláty apod.</w:t>
      </w:r>
    </w:p>
    <w:tbl>
      <w:tblPr>
        <w:tblStyle w:val="Mkatabulky"/>
        <w:tblW w:w="0" w:type="auto"/>
        <w:tblInd w:w="113" w:type="dxa"/>
        <w:tblLook w:val="04A0"/>
      </w:tblPr>
      <w:tblGrid>
        <w:gridCol w:w="6726"/>
        <w:gridCol w:w="2783"/>
      </w:tblGrid>
      <w:tr w:rsidR="00D76B42" w:rsidTr="00D76B42">
        <w:tc>
          <w:tcPr>
            <w:tcW w:w="6658" w:type="dxa"/>
          </w:tcPr>
          <w:p w:rsidR="00D76B42" w:rsidRDefault="00D76B42">
            <w:pPr>
              <w:ind w:left="0" w:firstLine="0"/>
              <w:rPr>
                <w:b/>
                <w:i/>
              </w:rPr>
            </w:pPr>
            <w:r>
              <w:rPr>
                <w:b/>
                <w:i/>
                <w:noProof/>
              </w:rPr>
              <w:lastRenderedPageBreak/>
              <w:drawing>
                <wp:inline distT="0" distB="0" distL="0" distR="0">
                  <wp:extent cx="4106166" cy="2163170"/>
                  <wp:effectExtent l="19050" t="0" r="8634" b="0"/>
                  <wp:docPr id="12" name="Obrázek 11" descr="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0.jpg"/>
                          <pic:cNvPicPr/>
                        </pic:nvPicPr>
                        <pic:blipFill>
                          <a:blip r:embed="rId15"/>
                          <a:srcRect l="8365" t="15250" r="5961" b="17000"/>
                          <a:stretch>
                            <a:fillRect/>
                          </a:stretch>
                        </pic:blipFill>
                        <pic:spPr>
                          <a:xfrm>
                            <a:off x="0" y="0"/>
                            <a:ext cx="4107830" cy="2164047"/>
                          </a:xfrm>
                          <a:prstGeom prst="rect">
                            <a:avLst/>
                          </a:prstGeom>
                        </pic:spPr>
                      </pic:pic>
                    </a:graphicData>
                  </a:graphic>
                </wp:inline>
              </w:drawing>
            </w:r>
          </w:p>
        </w:tc>
        <w:tc>
          <w:tcPr>
            <w:tcW w:w="2851" w:type="dxa"/>
          </w:tcPr>
          <w:p w:rsidR="00D76B42" w:rsidRPr="00D76B42" w:rsidRDefault="00D76B42">
            <w:pPr>
              <w:ind w:left="0" w:firstLine="0"/>
            </w:pPr>
            <w:r>
              <w:rPr>
                <w:i/>
              </w:rPr>
              <w:t xml:space="preserve">Listeria monocytogenes </w:t>
            </w:r>
            <w:r>
              <w:t xml:space="preserve">(vlevo) a příbuzný druh </w:t>
            </w:r>
            <w:r>
              <w:rPr>
                <w:i/>
              </w:rPr>
              <w:t>Listeria ivanovii</w:t>
            </w:r>
            <w:r>
              <w:t xml:space="preserve"> (vpravo, typická výraznější hemolýzou)</w:t>
            </w:r>
            <w:r w:rsidR="00C54253">
              <w:t xml:space="preserve"> na krevním agaru</w:t>
            </w:r>
          </w:p>
        </w:tc>
      </w:tr>
    </w:tbl>
    <w:p w:rsidR="00D76B42" w:rsidRDefault="00D76B42">
      <w:pPr>
        <w:rPr>
          <w:b/>
          <w:i/>
        </w:rPr>
      </w:pPr>
    </w:p>
    <w:p w:rsidR="00521B96" w:rsidRDefault="00521B96">
      <w:pPr>
        <w:pStyle w:val="Nadpis3"/>
        <w:rPr>
          <w:rFonts w:cs="Century Gothic"/>
          <w:szCs w:val="22"/>
        </w:rPr>
      </w:pPr>
      <w:r>
        <w:t>3.2.2 Corynebacterium</w:t>
      </w:r>
    </w:p>
    <w:p w:rsidR="00521B96" w:rsidRPr="00D76B42" w:rsidRDefault="00521B96">
      <w:pPr>
        <w:numPr>
          <w:ilvl w:val="0"/>
          <w:numId w:val="41"/>
        </w:numPr>
        <w:tabs>
          <w:tab w:val="clear" w:pos="927"/>
          <w:tab w:val="num" w:pos="720"/>
        </w:tabs>
        <w:ind w:left="720" w:hanging="360"/>
        <w:rPr>
          <w:rFonts w:cs="Century Gothic"/>
          <w:i/>
          <w:iCs/>
          <w:szCs w:val="22"/>
        </w:rPr>
      </w:pPr>
      <w:r>
        <w:rPr>
          <w:rFonts w:cs="Century Gothic"/>
          <w:b/>
          <w:i/>
          <w:iCs/>
          <w:szCs w:val="22"/>
        </w:rPr>
        <w:t>Corynebacterium diphtheriae</w:t>
      </w:r>
      <w:r>
        <w:rPr>
          <w:rFonts w:cs="Century Gothic"/>
          <w:szCs w:val="22"/>
        </w:rPr>
        <w:t xml:space="preserve"> – původce záškrtu</w:t>
      </w:r>
    </w:p>
    <w:tbl>
      <w:tblPr>
        <w:tblStyle w:val="Mkatabulky"/>
        <w:tblW w:w="0" w:type="auto"/>
        <w:tblInd w:w="113" w:type="dxa"/>
        <w:tblLook w:val="04A0"/>
      </w:tblPr>
      <w:tblGrid>
        <w:gridCol w:w="6853"/>
        <w:gridCol w:w="2656"/>
      </w:tblGrid>
      <w:tr w:rsidR="00D76B42" w:rsidTr="00D76B42">
        <w:tc>
          <w:tcPr>
            <w:tcW w:w="6799" w:type="dxa"/>
          </w:tcPr>
          <w:p w:rsidR="00D76B42" w:rsidRDefault="00D76B42" w:rsidP="00D76B42">
            <w:pPr>
              <w:ind w:left="0" w:firstLine="0"/>
              <w:rPr>
                <w:rFonts w:cs="Century Gothic"/>
                <w:i/>
                <w:iCs/>
                <w:szCs w:val="22"/>
              </w:rPr>
            </w:pPr>
            <w:r>
              <w:rPr>
                <w:rFonts w:cs="Century Gothic"/>
                <w:i/>
                <w:iCs/>
                <w:noProof/>
                <w:szCs w:val="22"/>
              </w:rPr>
              <w:drawing>
                <wp:inline distT="0" distB="0" distL="0" distR="0">
                  <wp:extent cx="4195429" cy="2088107"/>
                  <wp:effectExtent l="19050" t="0" r="0" b="0"/>
                  <wp:docPr id="11" name="Obrázek 10" descr="B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6.jpg"/>
                          <pic:cNvPicPr/>
                        </pic:nvPicPr>
                        <pic:blipFill>
                          <a:blip r:embed="rId16"/>
                          <a:srcRect l="4369" t="5500" r="7664" b="28947"/>
                          <a:stretch>
                            <a:fillRect/>
                          </a:stretch>
                        </pic:blipFill>
                        <pic:spPr>
                          <a:xfrm>
                            <a:off x="0" y="0"/>
                            <a:ext cx="4198818" cy="2089794"/>
                          </a:xfrm>
                          <a:prstGeom prst="rect">
                            <a:avLst/>
                          </a:prstGeom>
                        </pic:spPr>
                      </pic:pic>
                    </a:graphicData>
                  </a:graphic>
                </wp:inline>
              </w:drawing>
            </w:r>
          </w:p>
        </w:tc>
        <w:tc>
          <w:tcPr>
            <w:tcW w:w="2710" w:type="dxa"/>
          </w:tcPr>
          <w:p w:rsidR="00D76B42" w:rsidRPr="00D76B42" w:rsidRDefault="00D76B42" w:rsidP="00D76B42">
            <w:pPr>
              <w:ind w:left="0" w:firstLine="0"/>
              <w:rPr>
                <w:rFonts w:cs="Century Gothic"/>
                <w:iCs/>
                <w:szCs w:val="22"/>
              </w:rPr>
            </w:pPr>
            <w:r>
              <w:rPr>
                <w:rFonts w:cs="Century Gothic"/>
                <w:i/>
                <w:iCs/>
                <w:szCs w:val="22"/>
              </w:rPr>
              <w:t>Corynebacterium diphtheriae</w:t>
            </w:r>
            <w:r>
              <w:rPr>
                <w:rFonts w:cs="Century Gothic"/>
                <w:iCs/>
                <w:szCs w:val="22"/>
              </w:rPr>
              <w:t xml:space="preserve"> – nátěr z kmene, Gramovo barvení</w:t>
            </w:r>
          </w:p>
        </w:tc>
      </w:tr>
    </w:tbl>
    <w:p w:rsidR="00521B96" w:rsidRDefault="00521B96">
      <w:pPr>
        <w:numPr>
          <w:ilvl w:val="0"/>
          <w:numId w:val="41"/>
        </w:numPr>
        <w:tabs>
          <w:tab w:val="clear" w:pos="927"/>
          <w:tab w:val="num" w:pos="720"/>
        </w:tabs>
        <w:ind w:left="720" w:hanging="360"/>
        <w:rPr>
          <w:rFonts w:cs="Century Gothic"/>
          <w:szCs w:val="22"/>
        </w:rPr>
      </w:pPr>
      <w:r>
        <w:rPr>
          <w:rFonts w:cs="Century Gothic"/>
          <w:b/>
          <w:iCs/>
          <w:szCs w:val="22"/>
        </w:rPr>
        <w:t>kožní druhy</w:t>
      </w:r>
      <w:r>
        <w:rPr>
          <w:rFonts w:cs="Century Gothic"/>
          <w:iCs/>
          <w:szCs w:val="22"/>
        </w:rPr>
        <w:t xml:space="preserve"> korynebakterií</w:t>
      </w:r>
      <w:r>
        <w:rPr>
          <w:rFonts w:cs="Century Gothic"/>
          <w:szCs w:val="22"/>
        </w:rPr>
        <w:t xml:space="preserve"> – prakticky nepatogenní, vzácně ale způsobují sepse</w:t>
      </w:r>
    </w:p>
    <w:p w:rsidR="00521B96" w:rsidRDefault="00521B96">
      <w:pPr>
        <w:pStyle w:val="Nadpis3"/>
      </w:pPr>
      <w:r>
        <w:t xml:space="preserve">3.2.3 Bacillus </w:t>
      </w:r>
    </w:p>
    <w:p w:rsidR="00521B96" w:rsidRDefault="00521B96">
      <w:pPr>
        <w:ind w:left="0" w:firstLine="0"/>
        <w:rPr>
          <w:rFonts w:cs="Century Gothic"/>
          <w:szCs w:val="22"/>
        </w:rPr>
      </w:pPr>
      <w:r>
        <w:rPr>
          <w:rFonts w:cs="Century Gothic"/>
          <w:szCs w:val="22"/>
        </w:rPr>
        <w:t>Tato grampozitivní tyčinka je sporulující, tj. tvoří spory. Významný je</w:t>
      </w:r>
    </w:p>
    <w:p w:rsidR="00521B96" w:rsidRDefault="00521B96">
      <w:pPr>
        <w:numPr>
          <w:ilvl w:val="0"/>
          <w:numId w:val="42"/>
        </w:numPr>
        <w:tabs>
          <w:tab w:val="clear" w:pos="927"/>
          <w:tab w:val="num" w:pos="720"/>
        </w:tabs>
        <w:ind w:left="720" w:hanging="360"/>
        <w:rPr>
          <w:rFonts w:cs="Century Gothic"/>
          <w:iCs/>
          <w:szCs w:val="22"/>
        </w:rPr>
      </w:pPr>
      <w:r>
        <w:rPr>
          <w:rFonts w:cs="Century Gothic"/>
          <w:b/>
          <w:i/>
          <w:iCs/>
          <w:szCs w:val="22"/>
        </w:rPr>
        <w:t>Bacillus anthracis</w:t>
      </w:r>
      <w:r>
        <w:rPr>
          <w:rFonts w:cs="Century Gothic"/>
          <w:i/>
          <w:iCs/>
          <w:szCs w:val="22"/>
        </w:rPr>
        <w:t xml:space="preserve"> – </w:t>
      </w:r>
      <w:r>
        <w:rPr>
          <w:rFonts w:cs="Century Gothic"/>
          <w:iCs/>
          <w:szCs w:val="22"/>
        </w:rPr>
        <w:t>původce anthraxu (uhláku), možný nástroj bioterorismu</w:t>
      </w:r>
    </w:p>
    <w:tbl>
      <w:tblPr>
        <w:tblStyle w:val="Mkatabulky"/>
        <w:tblW w:w="0" w:type="auto"/>
        <w:tblInd w:w="113" w:type="dxa"/>
        <w:tblLook w:val="04A0"/>
      </w:tblPr>
      <w:tblGrid>
        <w:gridCol w:w="4816"/>
        <w:gridCol w:w="4693"/>
      </w:tblGrid>
      <w:tr w:rsidR="00EA6FFE" w:rsidTr="00EA6FFE">
        <w:tc>
          <w:tcPr>
            <w:tcW w:w="4773" w:type="dxa"/>
          </w:tcPr>
          <w:p w:rsidR="00EA6FFE" w:rsidRDefault="00EA6FFE" w:rsidP="00EA6FFE">
            <w:pPr>
              <w:ind w:left="0" w:firstLine="0"/>
              <w:rPr>
                <w:rFonts w:cs="Century Gothic"/>
                <w:iCs/>
                <w:szCs w:val="22"/>
              </w:rPr>
            </w:pPr>
            <w:r>
              <w:rPr>
                <w:rFonts w:cs="Century Gothic"/>
                <w:iCs/>
                <w:noProof/>
                <w:szCs w:val="22"/>
              </w:rPr>
              <w:drawing>
                <wp:inline distT="0" distB="0" distL="0" distR="0">
                  <wp:extent cx="2899736" cy="1828800"/>
                  <wp:effectExtent l="19050" t="0" r="0" b="0"/>
                  <wp:docPr id="21" name="Obrázek 20" descr="B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2.jpg"/>
                          <pic:cNvPicPr/>
                        </pic:nvPicPr>
                        <pic:blipFill>
                          <a:blip r:embed="rId17"/>
                          <a:srcRect l="9192" t="10211" r="8702" b="11972"/>
                          <a:stretch>
                            <a:fillRect/>
                          </a:stretch>
                        </pic:blipFill>
                        <pic:spPr>
                          <a:xfrm>
                            <a:off x="0" y="0"/>
                            <a:ext cx="2899736" cy="1828800"/>
                          </a:xfrm>
                          <a:prstGeom prst="rect">
                            <a:avLst/>
                          </a:prstGeom>
                        </pic:spPr>
                      </pic:pic>
                    </a:graphicData>
                  </a:graphic>
                </wp:inline>
              </w:drawing>
            </w:r>
          </w:p>
        </w:tc>
        <w:tc>
          <w:tcPr>
            <w:tcW w:w="4773" w:type="dxa"/>
          </w:tcPr>
          <w:p w:rsidR="00EA6FFE" w:rsidRDefault="00EA6FFE" w:rsidP="00EA6FFE">
            <w:pPr>
              <w:ind w:left="0" w:firstLine="0"/>
              <w:rPr>
                <w:rFonts w:cs="Century Gothic"/>
                <w:iCs/>
                <w:szCs w:val="22"/>
              </w:rPr>
            </w:pPr>
            <w:r>
              <w:rPr>
                <w:rFonts w:cs="Century Gothic"/>
                <w:iCs/>
                <w:noProof/>
                <w:szCs w:val="22"/>
              </w:rPr>
              <w:drawing>
                <wp:inline distT="0" distB="0" distL="0" distR="0">
                  <wp:extent cx="2762357" cy="1862920"/>
                  <wp:effectExtent l="19050" t="0" r="0" b="0"/>
                  <wp:docPr id="22" name="Obrázek 21" descr="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2.jpg"/>
                          <pic:cNvPicPr/>
                        </pic:nvPicPr>
                        <pic:blipFill>
                          <a:blip r:embed="rId18"/>
                          <a:srcRect l="7720" t="12590" r="13611" b="7864"/>
                          <a:stretch>
                            <a:fillRect/>
                          </a:stretch>
                        </pic:blipFill>
                        <pic:spPr>
                          <a:xfrm>
                            <a:off x="0" y="0"/>
                            <a:ext cx="2764081" cy="1864082"/>
                          </a:xfrm>
                          <a:prstGeom prst="rect">
                            <a:avLst/>
                          </a:prstGeom>
                        </pic:spPr>
                      </pic:pic>
                    </a:graphicData>
                  </a:graphic>
                </wp:inline>
              </w:drawing>
            </w:r>
          </w:p>
        </w:tc>
      </w:tr>
      <w:tr w:rsidR="00EA6FFE" w:rsidTr="00EA6FFE">
        <w:tc>
          <w:tcPr>
            <w:tcW w:w="4773" w:type="dxa"/>
          </w:tcPr>
          <w:p w:rsidR="00EA6FFE" w:rsidRDefault="00EA6FFE" w:rsidP="00EA6FFE">
            <w:pPr>
              <w:ind w:left="0" w:firstLine="0"/>
              <w:rPr>
                <w:rFonts w:cs="Century Gothic"/>
                <w:iCs/>
                <w:szCs w:val="22"/>
              </w:rPr>
            </w:pPr>
            <w:r>
              <w:rPr>
                <w:rFonts w:cs="Century Gothic"/>
                <w:iCs/>
                <w:noProof/>
                <w:szCs w:val="22"/>
              </w:rPr>
              <w:lastRenderedPageBreak/>
              <w:drawing>
                <wp:inline distT="0" distB="0" distL="0" distR="0">
                  <wp:extent cx="2901571" cy="1276065"/>
                  <wp:effectExtent l="19050" t="0" r="0" b="0"/>
                  <wp:docPr id="24" name="Obrázek 23" descr="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1.jpg"/>
                          <pic:cNvPicPr/>
                        </pic:nvPicPr>
                        <pic:blipFill>
                          <a:blip r:embed="rId19"/>
                          <a:srcRect l="18347" t="27924" r="20782" b="31917"/>
                          <a:stretch>
                            <a:fillRect/>
                          </a:stretch>
                        </pic:blipFill>
                        <pic:spPr>
                          <a:xfrm>
                            <a:off x="0" y="0"/>
                            <a:ext cx="2901571" cy="1276065"/>
                          </a:xfrm>
                          <a:prstGeom prst="rect">
                            <a:avLst/>
                          </a:prstGeom>
                        </pic:spPr>
                      </pic:pic>
                    </a:graphicData>
                  </a:graphic>
                </wp:inline>
              </w:drawing>
            </w:r>
          </w:p>
        </w:tc>
        <w:tc>
          <w:tcPr>
            <w:tcW w:w="4773" w:type="dxa"/>
          </w:tcPr>
          <w:p w:rsidR="00EA6FFE" w:rsidRDefault="00EA6FFE" w:rsidP="00EA6FFE">
            <w:pPr>
              <w:ind w:left="0" w:firstLine="0"/>
              <w:rPr>
                <w:rFonts w:cs="Century Gothic"/>
                <w:iCs/>
                <w:szCs w:val="22"/>
              </w:rPr>
            </w:pPr>
            <w:r>
              <w:rPr>
                <w:rFonts w:cs="Century Gothic"/>
                <w:iCs/>
                <w:szCs w:val="22"/>
              </w:rPr>
              <w:t xml:space="preserve">První dva obrázky ukazují mikroskopický vzhled </w:t>
            </w:r>
            <w:r w:rsidRPr="00EA6FFE">
              <w:rPr>
                <w:rFonts w:cs="Century Gothic"/>
                <w:i/>
                <w:iCs/>
                <w:szCs w:val="22"/>
              </w:rPr>
              <w:t>Bacillus anthracis</w:t>
            </w:r>
            <w:r>
              <w:rPr>
                <w:rFonts w:cs="Century Gothic"/>
                <w:iCs/>
                <w:szCs w:val="22"/>
              </w:rPr>
              <w:t xml:space="preserve">, třetí ukazuje kolonii ve tvaru tzv. </w:t>
            </w:r>
            <w:r w:rsidRPr="00EA6FFE">
              <w:rPr>
                <w:rFonts w:cs="Century Gothic"/>
                <w:i/>
                <w:iCs/>
                <w:szCs w:val="22"/>
              </w:rPr>
              <w:t>Caput medusae</w:t>
            </w:r>
            <w:r>
              <w:rPr>
                <w:rFonts w:cs="Century Gothic"/>
                <w:iCs/>
                <w:szCs w:val="22"/>
              </w:rPr>
              <w:t xml:space="preserve"> – hlavy Medúzy (mytické Medúze z hlavy vycházeli hadi)</w:t>
            </w:r>
          </w:p>
        </w:tc>
      </w:tr>
    </w:tbl>
    <w:p w:rsidR="00EA6FFE" w:rsidRDefault="00EA6FFE" w:rsidP="00EA6FFE">
      <w:pPr>
        <w:rPr>
          <w:rFonts w:cs="Century Gothic"/>
          <w:iCs/>
          <w:szCs w:val="22"/>
        </w:rPr>
      </w:pPr>
    </w:p>
    <w:p w:rsidR="00521B96" w:rsidRDefault="00521B96">
      <w:pPr>
        <w:numPr>
          <w:ilvl w:val="0"/>
          <w:numId w:val="42"/>
        </w:numPr>
        <w:tabs>
          <w:tab w:val="clear" w:pos="927"/>
          <w:tab w:val="num" w:pos="720"/>
        </w:tabs>
        <w:ind w:left="720" w:hanging="360"/>
        <w:rPr>
          <w:rFonts w:cs="Century Gothic"/>
          <w:iCs/>
          <w:szCs w:val="22"/>
        </w:rPr>
      </w:pPr>
      <w:r>
        <w:rPr>
          <w:rFonts w:cs="Century Gothic"/>
          <w:b/>
          <w:i/>
          <w:iCs/>
          <w:szCs w:val="22"/>
        </w:rPr>
        <w:t>Bacillus cereus</w:t>
      </w:r>
      <w:r>
        <w:rPr>
          <w:rFonts w:cs="Century Gothic"/>
          <w:iCs/>
          <w:szCs w:val="22"/>
        </w:rPr>
        <w:t xml:space="preserve"> – způsobuje enterotoxikózy hlavně z potravin z mouky</w:t>
      </w:r>
    </w:p>
    <w:p w:rsidR="00521B96" w:rsidRDefault="00521B96">
      <w:pPr>
        <w:numPr>
          <w:ilvl w:val="0"/>
          <w:numId w:val="42"/>
        </w:numPr>
        <w:tabs>
          <w:tab w:val="clear" w:pos="927"/>
          <w:tab w:val="num" w:pos="720"/>
        </w:tabs>
        <w:ind w:left="720" w:hanging="360"/>
        <w:rPr>
          <w:rFonts w:cs="Century Gothic"/>
          <w:iCs/>
          <w:szCs w:val="22"/>
        </w:rPr>
      </w:pPr>
      <w:r>
        <w:rPr>
          <w:rFonts w:cs="Century Gothic"/>
          <w:b/>
          <w:iCs/>
          <w:szCs w:val="22"/>
        </w:rPr>
        <w:t>Ostatní bacily</w:t>
      </w:r>
      <w:r>
        <w:rPr>
          <w:rFonts w:cs="Century Gothic"/>
          <w:iCs/>
          <w:szCs w:val="22"/>
        </w:rPr>
        <w:t xml:space="preserve"> se v klinickém materiálu zpravidla najdou jako kontaminace z okolí</w:t>
      </w:r>
    </w:p>
    <w:p w:rsidR="00521B96" w:rsidRDefault="00521B96">
      <w:pPr>
        <w:pStyle w:val="Nadpis3"/>
      </w:pPr>
      <w:r>
        <w:t>3.2.4 Nocardia</w:t>
      </w:r>
    </w:p>
    <w:p w:rsidR="00521B96" w:rsidRDefault="00521B96">
      <w:pPr>
        <w:pStyle w:val="Zkladntext"/>
        <w:rPr>
          <w:rFonts w:cs="Century Gothic"/>
        </w:rPr>
      </w:pPr>
      <w:r>
        <w:rPr>
          <w:rFonts w:cs="Century Gothic"/>
        </w:rPr>
        <w:t>Je to větvená tyčinka způsobující nokardiózu (podobné aktinomykóze, viz dále)</w:t>
      </w:r>
    </w:p>
    <w:tbl>
      <w:tblPr>
        <w:tblStyle w:val="Mkatabulky"/>
        <w:tblW w:w="0" w:type="auto"/>
        <w:tblLook w:val="04A0"/>
      </w:tblPr>
      <w:tblGrid>
        <w:gridCol w:w="3652"/>
        <w:gridCol w:w="2961"/>
        <w:gridCol w:w="3009"/>
      </w:tblGrid>
      <w:tr w:rsidR="00B56D6E" w:rsidTr="00B56D6E">
        <w:tc>
          <w:tcPr>
            <w:tcW w:w="3652" w:type="dxa"/>
          </w:tcPr>
          <w:p w:rsidR="00B56D6E" w:rsidRDefault="00B56D6E">
            <w:pPr>
              <w:pStyle w:val="Zkladntext"/>
              <w:rPr>
                <w:rFonts w:cs="Century Gothic"/>
              </w:rPr>
            </w:pPr>
            <w:r>
              <w:rPr>
                <w:rFonts w:cs="Century Gothic"/>
                <w:noProof/>
              </w:rPr>
              <w:drawing>
                <wp:inline distT="0" distB="0" distL="0" distR="0">
                  <wp:extent cx="2156387" cy="1201003"/>
                  <wp:effectExtent l="19050" t="0" r="0" b="0"/>
                  <wp:docPr id="26" name="Obrázek 24" descr="B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7.jpg"/>
                          <pic:cNvPicPr/>
                        </pic:nvPicPr>
                        <pic:blipFill>
                          <a:blip r:embed="rId20">
                            <a:lum bright="10000" contrast="30000"/>
                          </a:blip>
                          <a:srcRect l="17907" t="19149" r="25638" b="33670"/>
                          <a:stretch>
                            <a:fillRect/>
                          </a:stretch>
                        </pic:blipFill>
                        <pic:spPr>
                          <a:xfrm>
                            <a:off x="0" y="0"/>
                            <a:ext cx="2156729" cy="1201194"/>
                          </a:xfrm>
                          <a:prstGeom prst="rect">
                            <a:avLst/>
                          </a:prstGeom>
                        </pic:spPr>
                      </pic:pic>
                    </a:graphicData>
                  </a:graphic>
                </wp:inline>
              </w:drawing>
            </w:r>
          </w:p>
        </w:tc>
        <w:tc>
          <w:tcPr>
            <w:tcW w:w="2961" w:type="dxa"/>
          </w:tcPr>
          <w:p w:rsidR="00B56D6E" w:rsidRPr="00B56D6E" w:rsidRDefault="00B56D6E">
            <w:pPr>
              <w:pStyle w:val="Zkladntext"/>
              <w:rPr>
                <w:rFonts w:cs="Century Gothic"/>
              </w:rPr>
            </w:pPr>
            <w:r>
              <w:rPr>
                <w:rFonts w:cs="Century Gothic"/>
              </w:rPr>
              <w:t xml:space="preserve">Řez takzvaným hrudním granulomem, obsahující větvená vlákna bakterie </w:t>
            </w:r>
            <w:r>
              <w:rPr>
                <w:rFonts w:cs="Century Gothic"/>
                <w:i/>
              </w:rPr>
              <w:t>Nocardia asteroides</w:t>
            </w:r>
            <w:r>
              <w:rPr>
                <w:rFonts w:cs="Century Gothic"/>
              </w:rPr>
              <w:t xml:space="preserve">. Vpravo kolonie </w:t>
            </w:r>
            <w:r>
              <w:rPr>
                <w:rFonts w:cs="Century Gothic"/>
                <w:i/>
              </w:rPr>
              <w:t>Nocardia asteroides</w:t>
            </w:r>
            <w:r>
              <w:rPr>
                <w:rFonts w:cs="Century Gothic"/>
              </w:rPr>
              <w:t xml:space="preserve"> na krevním agaru po kultivaci 96 hodin.</w:t>
            </w:r>
          </w:p>
        </w:tc>
        <w:tc>
          <w:tcPr>
            <w:tcW w:w="3009" w:type="dxa"/>
          </w:tcPr>
          <w:p w:rsidR="00B56D6E" w:rsidRDefault="00B56D6E">
            <w:pPr>
              <w:pStyle w:val="Zkladntext"/>
              <w:rPr>
                <w:rFonts w:cs="Century Gothic"/>
              </w:rPr>
            </w:pPr>
            <w:r>
              <w:rPr>
                <w:rFonts w:cs="Century Gothic"/>
                <w:noProof/>
              </w:rPr>
              <w:drawing>
                <wp:inline distT="0" distB="0" distL="0" distR="0">
                  <wp:extent cx="1754367" cy="1201003"/>
                  <wp:effectExtent l="19050" t="0" r="0" b="0"/>
                  <wp:docPr id="27" name="Obrázek 26" descr="B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42.jpg"/>
                          <pic:cNvPicPr/>
                        </pic:nvPicPr>
                        <pic:blipFill>
                          <a:blip r:embed="rId21"/>
                          <a:srcRect l="4925" t="7262" r="10726" b="6145"/>
                          <a:stretch>
                            <a:fillRect/>
                          </a:stretch>
                        </pic:blipFill>
                        <pic:spPr>
                          <a:xfrm>
                            <a:off x="0" y="0"/>
                            <a:ext cx="1755981" cy="1202108"/>
                          </a:xfrm>
                          <a:prstGeom prst="rect">
                            <a:avLst/>
                          </a:prstGeom>
                        </pic:spPr>
                      </pic:pic>
                    </a:graphicData>
                  </a:graphic>
                </wp:inline>
              </w:drawing>
            </w:r>
          </w:p>
        </w:tc>
      </w:tr>
    </w:tbl>
    <w:p w:rsidR="00EA6FFE" w:rsidRDefault="00EA6FFE">
      <w:pPr>
        <w:pStyle w:val="Zkladntext"/>
        <w:rPr>
          <w:rFonts w:cs="Century Gothic"/>
        </w:rPr>
      </w:pPr>
    </w:p>
    <w:p w:rsidR="00521B96" w:rsidRDefault="00521B96">
      <w:pPr>
        <w:pStyle w:val="Nadpis2"/>
      </w:pPr>
      <w:bookmarkStart w:id="8" w:name="_Toc342466755"/>
      <w:bookmarkStart w:id="9" w:name="_Toc342466830"/>
      <w:r>
        <w:t>3.3 Nejdůležitější gramnegativní koky:</w:t>
      </w:r>
      <w:bookmarkEnd w:id="8"/>
      <w:bookmarkEnd w:id="9"/>
    </w:p>
    <w:p w:rsidR="00521B96" w:rsidRDefault="00521B96">
      <w:pPr>
        <w:pStyle w:val="Nadpis3"/>
      </w:pPr>
      <w:r>
        <w:t>3.3.1 Neisseria</w:t>
      </w:r>
    </w:p>
    <w:p w:rsidR="00521B96" w:rsidRDefault="00521B96">
      <w:pPr>
        <w:numPr>
          <w:ilvl w:val="0"/>
          <w:numId w:val="43"/>
        </w:numPr>
        <w:tabs>
          <w:tab w:val="clear" w:pos="927"/>
          <w:tab w:val="num" w:pos="720"/>
        </w:tabs>
        <w:ind w:left="720" w:hanging="360"/>
        <w:rPr>
          <w:rFonts w:cs="Century Gothic"/>
          <w:bCs/>
          <w:szCs w:val="22"/>
        </w:rPr>
      </w:pPr>
      <w:r>
        <w:rPr>
          <w:rFonts w:cs="Century Gothic"/>
          <w:b/>
          <w:bCs/>
          <w:i/>
          <w:szCs w:val="22"/>
        </w:rPr>
        <w:t>N. gonorrhoeae</w:t>
      </w:r>
      <w:r>
        <w:rPr>
          <w:rFonts w:cs="Century Gothic"/>
          <w:bCs/>
          <w:i/>
          <w:szCs w:val="22"/>
        </w:rPr>
        <w:t xml:space="preserve"> </w:t>
      </w:r>
      <w:r>
        <w:rPr>
          <w:rFonts w:cs="Century Gothic"/>
          <w:bCs/>
          <w:szCs w:val="22"/>
        </w:rPr>
        <w:t>– „gonokok“ – původce kapavky</w:t>
      </w:r>
    </w:p>
    <w:tbl>
      <w:tblPr>
        <w:tblStyle w:val="Mkatabulky"/>
        <w:tblW w:w="0" w:type="auto"/>
        <w:tblLook w:val="04A0"/>
      </w:tblPr>
      <w:tblGrid>
        <w:gridCol w:w="4608"/>
        <w:gridCol w:w="2011"/>
        <w:gridCol w:w="3003"/>
      </w:tblGrid>
      <w:tr w:rsidR="005C70F8" w:rsidTr="005C70F8">
        <w:tc>
          <w:tcPr>
            <w:tcW w:w="3182" w:type="dxa"/>
          </w:tcPr>
          <w:p w:rsidR="005C70F8" w:rsidRDefault="005C70F8" w:rsidP="005C70F8">
            <w:pPr>
              <w:ind w:left="0" w:firstLine="0"/>
              <w:rPr>
                <w:rFonts w:cs="Century Gothic"/>
                <w:bCs/>
                <w:szCs w:val="22"/>
              </w:rPr>
            </w:pPr>
            <w:r>
              <w:rPr>
                <w:rFonts w:cs="Century Gothic"/>
                <w:bCs/>
                <w:noProof/>
                <w:szCs w:val="22"/>
              </w:rPr>
              <w:drawing>
                <wp:inline distT="0" distB="0" distL="0" distR="0">
                  <wp:extent cx="2769441" cy="1139588"/>
                  <wp:effectExtent l="19050" t="0" r="0" b="3412"/>
                  <wp:docPr id="28" name="Obrázek 27" descr="B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53.jpg"/>
                          <pic:cNvPicPr/>
                        </pic:nvPicPr>
                        <pic:blipFill>
                          <a:blip r:embed="rId22">
                            <a:lum bright="20000" contrast="10000"/>
                          </a:blip>
                          <a:srcRect l="14246" t="22905" r="13333" b="32402"/>
                          <a:stretch>
                            <a:fillRect/>
                          </a:stretch>
                        </pic:blipFill>
                        <pic:spPr>
                          <a:xfrm flipH="1" flipV="1">
                            <a:off x="0" y="0"/>
                            <a:ext cx="2774988" cy="1141871"/>
                          </a:xfrm>
                          <a:prstGeom prst="rect">
                            <a:avLst/>
                          </a:prstGeom>
                        </pic:spPr>
                      </pic:pic>
                    </a:graphicData>
                  </a:graphic>
                </wp:inline>
              </w:drawing>
            </w:r>
          </w:p>
        </w:tc>
        <w:tc>
          <w:tcPr>
            <w:tcW w:w="3182" w:type="dxa"/>
          </w:tcPr>
          <w:p w:rsidR="005C70F8" w:rsidRDefault="005C70F8" w:rsidP="005C70F8">
            <w:pPr>
              <w:ind w:left="0" w:firstLine="0"/>
              <w:rPr>
                <w:rFonts w:cs="Century Gothic"/>
                <w:bCs/>
                <w:szCs w:val="22"/>
              </w:rPr>
            </w:pPr>
            <w:r>
              <w:rPr>
                <w:rFonts w:cs="Century Gothic"/>
                <w:bCs/>
                <w:szCs w:val="22"/>
              </w:rPr>
              <w:t>Akutní kapavka – nátěr barvený dle Grama a klinický nález</w:t>
            </w:r>
          </w:p>
        </w:tc>
        <w:tc>
          <w:tcPr>
            <w:tcW w:w="3182" w:type="dxa"/>
          </w:tcPr>
          <w:p w:rsidR="005C70F8" w:rsidRDefault="005C70F8" w:rsidP="005C70F8">
            <w:pPr>
              <w:ind w:left="0" w:firstLine="0"/>
              <w:rPr>
                <w:rFonts w:cs="Century Gothic"/>
                <w:bCs/>
                <w:szCs w:val="22"/>
              </w:rPr>
            </w:pPr>
            <w:r>
              <w:rPr>
                <w:rFonts w:cs="Century Gothic"/>
                <w:bCs/>
                <w:noProof/>
                <w:szCs w:val="22"/>
              </w:rPr>
              <w:drawing>
                <wp:inline distT="0" distB="0" distL="0" distR="0">
                  <wp:extent cx="1659625" cy="1127375"/>
                  <wp:effectExtent l="19050" t="0" r="0" b="0"/>
                  <wp:docPr id="29" name="Obrázek 28" descr="B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54.jpg"/>
                          <pic:cNvPicPr/>
                        </pic:nvPicPr>
                        <pic:blipFill>
                          <a:blip r:embed="rId23"/>
                          <a:srcRect l="8280" t="13408" r="12588" b="6060"/>
                          <a:stretch>
                            <a:fillRect/>
                          </a:stretch>
                        </pic:blipFill>
                        <pic:spPr>
                          <a:xfrm>
                            <a:off x="0" y="0"/>
                            <a:ext cx="1661376" cy="1128565"/>
                          </a:xfrm>
                          <a:prstGeom prst="rect">
                            <a:avLst/>
                          </a:prstGeom>
                        </pic:spPr>
                      </pic:pic>
                    </a:graphicData>
                  </a:graphic>
                </wp:inline>
              </w:drawing>
            </w:r>
          </w:p>
        </w:tc>
      </w:tr>
    </w:tbl>
    <w:p w:rsidR="00521B96" w:rsidRDefault="00521B96">
      <w:pPr>
        <w:numPr>
          <w:ilvl w:val="0"/>
          <w:numId w:val="43"/>
        </w:numPr>
        <w:tabs>
          <w:tab w:val="clear" w:pos="927"/>
          <w:tab w:val="num" w:pos="720"/>
        </w:tabs>
        <w:ind w:left="720" w:hanging="360"/>
        <w:rPr>
          <w:rFonts w:cs="Century Gothic"/>
          <w:bCs/>
          <w:szCs w:val="22"/>
        </w:rPr>
      </w:pPr>
      <w:r>
        <w:rPr>
          <w:rFonts w:cs="Century Gothic"/>
          <w:b/>
          <w:bCs/>
          <w:i/>
          <w:szCs w:val="22"/>
        </w:rPr>
        <w:t>N. meningitidis</w:t>
      </w:r>
      <w:r>
        <w:rPr>
          <w:rFonts w:cs="Century Gothic"/>
          <w:bCs/>
          <w:i/>
          <w:szCs w:val="22"/>
        </w:rPr>
        <w:t xml:space="preserve"> </w:t>
      </w:r>
      <w:r>
        <w:rPr>
          <w:rFonts w:cs="Century Gothic"/>
          <w:bCs/>
          <w:szCs w:val="22"/>
        </w:rPr>
        <w:t>– „meningokok“ – i zdraví ho mohou mít v krku, ale způsobuje zápaly mozkových blan s velice rychlým průběhem, často končící smrtí po několika hodinách. Gonokok i meningokok jsou uspořádány ve dvojicích.</w:t>
      </w:r>
    </w:p>
    <w:p w:rsidR="00521B96" w:rsidRDefault="00521B96" w:rsidP="00186F9F">
      <w:pPr>
        <w:numPr>
          <w:ilvl w:val="0"/>
          <w:numId w:val="43"/>
        </w:numPr>
        <w:tabs>
          <w:tab w:val="clear" w:pos="927"/>
          <w:tab w:val="num" w:pos="720"/>
        </w:tabs>
        <w:ind w:left="720" w:hanging="360"/>
        <w:rPr>
          <w:rFonts w:cs="Century Gothic"/>
          <w:bCs/>
          <w:szCs w:val="22"/>
        </w:rPr>
      </w:pPr>
      <w:r>
        <w:rPr>
          <w:rFonts w:cs="Century Gothic"/>
          <w:bCs/>
          <w:szCs w:val="22"/>
        </w:rPr>
        <w:t xml:space="preserve">Takzvané </w:t>
      </w:r>
      <w:r>
        <w:rPr>
          <w:rFonts w:cs="Century Gothic"/>
          <w:b/>
          <w:bCs/>
          <w:szCs w:val="22"/>
        </w:rPr>
        <w:t xml:space="preserve">„ústní“ neisserie </w:t>
      </w:r>
      <w:r>
        <w:rPr>
          <w:rFonts w:cs="Century Gothic"/>
          <w:bCs/>
          <w:szCs w:val="22"/>
        </w:rPr>
        <w:t xml:space="preserve">– </w:t>
      </w:r>
      <w:r w:rsidR="00186F9F">
        <w:rPr>
          <w:rFonts w:cs="Century Gothic"/>
          <w:bCs/>
          <w:szCs w:val="22"/>
        </w:rPr>
        <w:t xml:space="preserve">navzdory názvu jsou spíše než v ústní dutině </w:t>
      </w:r>
      <w:r>
        <w:rPr>
          <w:rFonts w:cs="Century Gothic"/>
          <w:bCs/>
          <w:szCs w:val="22"/>
        </w:rPr>
        <w:t>normálně přítomny v krku (</w:t>
      </w:r>
      <w:r w:rsidR="00186F9F">
        <w:rPr>
          <w:rFonts w:cs="Century Gothic"/>
          <w:bCs/>
          <w:szCs w:val="22"/>
        </w:rPr>
        <w:t>v hltanu). Patogenní působení (mimo tato místa) je vzácné.</w:t>
      </w:r>
    </w:p>
    <w:tbl>
      <w:tblPr>
        <w:tblStyle w:val="Mkatabulky"/>
        <w:tblW w:w="0" w:type="auto"/>
        <w:tblInd w:w="113" w:type="dxa"/>
        <w:tblLook w:val="04A0"/>
      </w:tblPr>
      <w:tblGrid>
        <w:gridCol w:w="7299"/>
        <w:gridCol w:w="2210"/>
      </w:tblGrid>
      <w:tr w:rsidR="005C70F8" w:rsidTr="005C70F8">
        <w:tc>
          <w:tcPr>
            <w:tcW w:w="7225" w:type="dxa"/>
          </w:tcPr>
          <w:p w:rsidR="005C70F8" w:rsidRDefault="005C70F8" w:rsidP="005C70F8">
            <w:pPr>
              <w:ind w:left="0" w:firstLine="0"/>
              <w:rPr>
                <w:rFonts w:cs="Century Gothic"/>
                <w:bCs/>
                <w:szCs w:val="22"/>
              </w:rPr>
            </w:pPr>
            <w:r>
              <w:rPr>
                <w:rFonts w:cs="Century Gothic"/>
                <w:bCs/>
                <w:noProof/>
                <w:szCs w:val="22"/>
              </w:rPr>
              <w:drawing>
                <wp:inline distT="0" distB="0" distL="0" distR="0">
                  <wp:extent cx="4478248" cy="1235123"/>
                  <wp:effectExtent l="19050" t="0" r="0" b="0"/>
                  <wp:docPr id="30" name="Obrázek 29" descr="B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5.jpg"/>
                          <pic:cNvPicPr/>
                        </pic:nvPicPr>
                        <pic:blipFill>
                          <a:blip r:embed="rId24"/>
                          <a:srcRect l="9026" t="28492" r="16686" b="40782"/>
                          <a:stretch>
                            <a:fillRect/>
                          </a:stretch>
                        </pic:blipFill>
                        <pic:spPr>
                          <a:xfrm>
                            <a:off x="0" y="0"/>
                            <a:ext cx="4482934" cy="1236416"/>
                          </a:xfrm>
                          <a:prstGeom prst="rect">
                            <a:avLst/>
                          </a:prstGeom>
                        </pic:spPr>
                      </pic:pic>
                    </a:graphicData>
                  </a:graphic>
                </wp:inline>
              </w:drawing>
            </w:r>
          </w:p>
        </w:tc>
        <w:tc>
          <w:tcPr>
            <w:tcW w:w="2284" w:type="dxa"/>
          </w:tcPr>
          <w:p w:rsidR="005C70F8" w:rsidRDefault="005C70F8" w:rsidP="005C70F8">
            <w:pPr>
              <w:ind w:left="0" w:firstLine="0"/>
              <w:rPr>
                <w:rFonts w:cs="Century Gothic"/>
                <w:bCs/>
                <w:szCs w:val="22"/>
              </w:rPr>
            </w:pPr>
            <w:r>
              <w:rPr>
                <w:rFonts w:cs="Century Gothic"/>
                <w:bCs/>
                <w:szCs w:val="22"/>
              </w:rPr>
              <w:t xml:space="preserve">Nátěr </w:t>
            </w:r>
            <w:r>
              <w:rPr>
                <w:rFonts w:cs="Century Gothic"/>
                <w:bCs/>
                <w:i/>
                <w:szCs w:val="22"/>
              </w:rPr>
              <w:t>Neisseria</w:t>
            </w:r>
            <w:r>
              <w:rPr>
                <w:rFonts w:cs="Century Gothic"/>
                <w:bCs/>
                <w:szCs w:val="22"/>
              </w:rPr>
              <w:t xml:space="preserve"> sp.</w:t>
            </w:r>
          </w:p>
        </w:tc>
      </w:tr>
    </w:tbl>
    <w:p w:rsidR="005C70F8" w:rsidRDefault="005C70F8" w:rsidP="005C70F8">
      <w:pPr>
        <w:rPr>
          <w:rFonts w:cs="Century Gothic"/>
          <w:bCs/>
          <w:szCs w:val="22"/>
        </w:rPr>
      </w:pPr>
    </w:p>
    <w:p w:rsidR="00521B96" w:rsidRDefault="00521B96">
      <w:pPr>
        <w:pStyle w:val="Nadpis3"/>
      </w:pPr>
      <w:r>
        <w:t>3.3.2 Moraxella – podrody Branhamella a Moraxella</w:t>
      </w:r>
    </w:p>
    <w:p w:rsidR="00521B96" w:rsidRDefault="00521B96">
      <w:pPr>
        <w:numPr>
          <w:ilvl w:val="0"/>
          <w:numId w:val="43"/>
        </w:numPr>
        <w:tabs>
          <w:tab w:val="clear" w:pos="927"/>
          <w:tab w:val="num" w:pos="720"/>
        </w:tabs>
        <w:ind w:left="720" w:hanging="360"/>
      </w:pPr>
      <w:r>
        <w:rPr>
          <w:rFonts w:cs="Century Gothic"/>
          <w:b/>
          <w:bCs/>
          <w:i/>
          <w:szCs w:val="22"/>
        </w:rPr>
        <w:t>Moraxella (Branhamella) catarrhalis</w:t>
      </w:r>
      <w:r>
        <w:rPr>
          <w:rFonts w:cs="Century Gothic"/>
          <w:bCs/>
          <w:i/>
          <w:szCs w:val="22"/>
        </w:rPr>
        <w:t xml:space="preserve"> </w:t>
      </w:r>
      <w:r>
        <w:rPr>
          <w:rFonts w:cs="Century Gothic"/>
          <w:bCs/>
          <w:szCs w:val="22"/>
        </w:rPr>
        <w:t>– infekce HCD (ale i bezpříznakově v krku)</w:t>
      </w:r>
    </w:p>
    <w:p w:rsidR="00521B96" w:rsidRDefault="00521B96">
      <w:pPr>
        <w:numPr>
          <w:ilvl w:val="0"/>
          <w:numId w:val="43"/>
        </w:numPr>
        <w:tabs>
          <w:tab w:val="clear" w:pos="927"/>
          <w:tab w:val="num" w:pos="720"/>
        </w:tabs>
        <w:ind w:left="720" w:hanging="360"/>
      </w:pPr>
      <w:r>
        <w:rPr>
          <w:rFonts w:cs="Century Gothic"/>
          <w:b/>
          <w:bCs/>
          <w:i/>
          <w:szCs w:val="22"/>
        </w:rPr>
        <w:lastRenderedPageBreak/>
        <w:t xml:space="preserve">Moraxella (Moraxella) lacunata </w:t>
      </w:r>
      <w:r>
        <w:rPr>
          <w:rFonts w:cs="Century Gothic"/>
          <w:b/>
          <w:bCs/>
          <w:iCs/>
          <w:szCs w:val="22"/>
        </w:rPr>
        <w:t>a podobné</w:t>
      </w:r>
      <w:r>
        <w:t xml:space="preserve"> – oční infekce</w:t>
      </w:r>
    </w:p>
    <w:p w:rsidR="00521B96" w:rsidRDefault="00521B96">
      <w:pPr>
        <w:pStyle w:val="Nadpis2"/>
      </w:pPr>
      <w:bookmarkStart w:id="10" w:name="_Toc342466756"/>
      <w:bookmarkStart w:id="11" w:name="_Toc342466831"/>
      <w:r>
        <w:t>3.4 Nejdůležitější gramnegativní tyčinky</w:t>
      </w:r>
      <w:bookmarkEnd w:id="10"/>
      <w:bookmarkEnd w:id="11"/>
    </w:p>
    <w:p w:rsidR="00521B96" w:rsidRDefault="00521B96">
      <w:pPr>
        <w:pStyle w:val="Nadpis3"/>
      </w:pPr>
      <w:r>
        <w:t>3.4.1 Enterobakterie</w:t>
      </w:r>
    </w:p>
    <w:p w:rsidR="0063746C" w:rsidRDefault="00521B96">
      <w:r>
        <w:t>Jde o bakterie, které mají vztah ke střevu člověka a jiných obratlovců. Patří mezi nejvýznamnější klinicky významné bakterie, zároveň jsou ale významné i pro jiné oblasti mikrobiologie než je ta klinická.</w:t>
      </w:r>
    </w:p>
    <w:tbl>
      <w:tblPr>
        <w:tblStyle w:val="Mkatabulky"/>
        <w:tblW w:w="0" w:type="auto"/>
        <w:tblInd w:w="113" w:type="dxa"/>
        <w:tblLook w:val="04A0"/>
      </w:tblPr>
      <w:tblGrid>
        <w:gridCol w:w="5891"/>
        <w:gridCol w:w="3618"/>
      </w:tblGrid>
      <w:tr w:rsidR="0063746C" w:rsidTr="0063746C">
        <w:tc>
          <w:tcPr>
            <w:tcW w:w="5807" w:type="dxa"/>
          </w:tcPr>
          <w:p w:rsidR="0063746C" w:rsidRDefault="0063746C">
            <w:pPr>
              <w:ind w:left="0" w:firstLine="0"/>
            </w:pPr>
            <w:r>
              <w:rPr>
                <w:noProof/>
              </w:rPr>
              <w:drawing>
                <wp:inline distT="0" distB="0" distL="0" distR="0">
                  <wp:extent cx="3583959" cy="1790106"/>
                  <wp:effectExtent l="19050" t="0" r="0" b="0"/>
                  <wp:docPr id="32" name="Obrázek 31" descr="B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3.jpg"/>
                          <pic:cNvPicPr/>
                        </pic:nvPicPr>
                        <pic:blipFill>
                          <a:blip r:embed="rId25"/>
                          <a:srcRect l="21751" t="24028" r="26303" b="37086"/>
                          <a:stretch>
                            <a:fillRect/>
                          </a:stretch>
                        </pic:blipFill>
                        <pic:spPr>
                          <a:xfrm>
                            <a:off x="0" y="0"/>
                            <a:ext cx="3595287" cy="1795764"/>
                          </a:xfrm>
                          <a:prstGeom prst="rect">
                            <a:avLst/>
                          </a:prstGeom>
                        </pic:spPr>
                      </pic:pic>
                    </a:graphicData>
                  </a:graphic>
                </wp:inline>
              </w:drawing>
            </w:r>
          </w:p>
        </w:tc>
        <w:tc>
          <w:tcPr>
            <w:tcW w:w="3702" w:type="dxa"/>
          </w:tcPr>
          <w:p w:rsidR="0063746C" w:rsidRDefault="0063746C">
            <w:pPr>
              <w:ind w:left="0" w:firstLine="0"/>
            </w:pPr>
            <w:r w:rsidRPr="0063746C">
              <w:rPr>
                <w:i/>
              </w:rPr>
              <w:t>Escherichia coli</w:t>
            </w:r>
            <w:r>
              <w:t xml:space="preserve"> v nátěru z tkáně – podobný vzhled mají i jiné bakterie z čeledi </w:t>
            </w:r>
            <w:r w:rsidRPr="0063746C">
              <w:rPr>
                <w:i/>
              </w:rPr>
              <w:t>Enterobacteriaceae</w:t>
            </w:r>
            <w:r>
              <w:rPr>
                <w:i/>
              </w:rPr>
              <w:t>.</w:t>
            </w:r>
          </w:p>
        </w:tc>
      </w:tr>
    </w:tbl>
    <w:p w:rsidR="00521B96" w:rsidRDefault="00521B96">
      <w:r>
        <w:t xml:space="preserve">Lze je rozdělit například podle patogenity </w:t>
      </w:r>
      <w:r>
        <w:rPr>
          <w:rFonts w:cs="Century Gothic"/>
          <w:szCs w:val="22"/>
        </w:rPr>
        <w:t>(viz kapitola 1.4.2):</w:t>
      </w:r>
    </w:p>
    <w:p w:rsidR="00521B96" w:rsidRDefault="00521B96">
      <w:pPr>
        <w:numPr>
          <w:ilvl w:val="0"/>
          <w:numId w:val="44"/>
        </w:numPr>
        <w:tabs>
          <w:tab w:val="clear" w:pos="927"/>
          <w:tab w:val="num" w:pos="720"/>
        </w:tabs>
        <w:ind w:left="720" w:hanging="360"/>
        <w:rPr>
          <w:rFonts w:cs="Century Gothic"/>
          <w:szCs w:val="22"/>
        </w:rPr>
      </w:pPr>
      <w:r>
        <w:rPr>
          <w:rFonts w:cs="Century Gothic"/>
          <w:b/>
          <w:szCs w:val="22"/>
        </w:rPr>
        <w:t>Obligátně patogenní enterobakterie</w:t>
      </w:r>
      <w:r>
        <w:rPr>
          <w:rFonts w:cs="Century Gothic"/>
          <w:szCs w:val="22"/>
        </w:rPr>
        <w:t xml:space="preserve"> (způsobující nemoci běžně)</w:t>
      </w:r>
    </w:p>
    <w:p w:rsidR="00521B96" w:rsidRDefault="00521B96">
      <w:pPr>
        <w:numPr>
          <w:ilvl w:val="1"/>
          <w:numId w:val="34"/>
        </w:numPr>
        <w:rPr>
          <w:rFonts w:cs="Century Gothic"/>
          <w:iCs/>
          <w:szCs w:val="22"/>
        </w:rPr>
      </w:pPr>
      <w:r>
        <w:rPr>
          <w:rFonts w:cs="Century Gothic"/>
          <w:b/>
          <w:i/>
          <w:iCs/>
          <w:szCs w:val="22"/>
        </w:rPr>
        <w:t>Salmonella</w:t>
      </w:r>
      <w:r>
        <w:rPr>
          <w:rFonts w:cs="Century Gothic"/>
          <w:b/>
          <w:bCs/>
          <w:iCs/>
          <w:szCs w:val="22"/>
        </w:rPr>
        <w:t xml:space="preserve"> – antropopatogenní (lidské) typy </w:t>
      </w:r>
      <w:r>
        <w:rPr>
          <w:rFonts w:cs="Century Gothic"/>
          <w:iCs/>
          <w:szCs w:val="22"/>
        </w:rPr>
        <w:t>způsobují tyfus a paratyfy (sepse)</w:t>
      </w:r>
    </w:p>
    <w:p w:rsidR="00521B96" w:rsidRDefault="00521B96">
      <w:pPr>
        <w:numPr>
          <w:ilvl w:val="1"/>
          <w:numId w:val="34"/>
        </w:numPr>
        <w:rPr>
          <w:rFonts w:cs="Century Gothic"/>
          <w:iCs/>
          <w:szCs w:val="22"/>
        </w:rPr>
      </w:pPr>
      <w:r>
        <w:rPr>
          <w:rFonts w:cs="Century Gothic"/>
          <w:b/>
          <w:i/>
          <w:iCs/>
          <w:szCs w:val="22"/>
        </w:rPr>
        <w:t>Salmonella</w:t>
      </w:r>
      <w:r>
        <w:rPr>
          <w:rFonts w:cs="Century Gothic"/>
          <w:b/>
          <w:bCs/>
          <w:i/>
          <w:iCs/>
          <w:szCs w:val="22"/>
        </w:rPr>
        <w:t xml:space="preserve"> </w:t>
      </w:r>
      <w:r>
        <w:rPr>
          <w:rFonts w:cs="Century Gothic"/>
          <w:b/>
          <w:bCs/>
          <w:iCs/>
          <w:szCs w:val="22"/>
        </w:rPr>
        <w:t xml:space="preserve">– zoopatogenní (zvířecí) </w:t>
      </w:r>
      <w:r>
        <w:rPr>
          <w:rFonts w:cs="Century Gothic"/>
          <w:iCs/>
          <w:szCs w:val="22"/>
        </w:rPr>
        <w:t>způsobují průjmové nemoci – salmonelózy</w:t>
      </w:r>
    </w:p>
    <w:tbl>
      <w:tblPr>
        <w:tblStyle w:val="Mkatabulky"/>
        <w:tblW w:w="0" w:type="auto"/>
        <w:tblInd w:w="113" w:type="dxa"/>
        <w:tblLook w:val="04A0"/>
      </w:tblPr>
      <w:tblGrid>
        <w:gridCol w:w="2439"/>
        <w:gridCol w:w="3877"/>
        <w:gridCol w:w="3193"/>
      </w:tblGrid>
      <w:tr w:rsidR="00EF0C26" w:rsidTr="00EF0C26">
        <w:tc>
          <w:tcPr>
            <w:tcW w:w="2439" w:type="dxa"/>
          </w:tcPr>
          <w:p w:rsidR="00EF0C26" w:rsidRDefault="00EF0C26" w:rsidP="005C70F8">
            <w:pPr>
              <w:ind w:left="0" w:firstLine="0"/>
              <w:rPr>
                <w:rFonts w:cs="Century Gothic"/>
                <w:iCs/>
                <w:szCs w:val="22"/>
              </w:rPr>
            </w:pPr>
            <w:r>
              <w:rPr>
                <w:rFonts w:cs="Century Gothic"/>
                <w:iCs/>
                <w:noProof/>
                <w:szCs w:val="22"/>
              </w:rPr>
              <w:drawing>
                <wp:inline distT="0" distB="0" distL="0" distR="0">
                  <wp:extent cx="1391950" cy="1890215"/>
                  <wp:effectExtent l="19050" t="0" r="0" b="0"/>
                  <wp:docPr id="39" name="Obrázek 30" descr="B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6.jpg"/>
                          <pic:cNvPicPr/>
                        </pic:nvPicPr>
                        <pic:blipFill>
                          <a:blip r:embed="rId26">
                            <a:lum bright="20000" contrast="10000"/>
                          </a:blip>
                          <a:srcRect l="10517" t="10615" r="65088" b="39665"/>
                          <a:stretch>
                            <a:fillRect/>
                          </a:stretch>
                        </pic:blipFill>
                        <pic:spPr>
                          <a:xfrm>
                            <a:off x="0" y="0"/>
                            <a:ext cx="1394863" cy="1894171"/>
                          </a:xfrm>
                          <a:prstGeom prst="rect">
                            <a:avLst/>
                          </a:prstGeom>
                        </pic:spPr>
                      </pic:pic>
                    </a:graphicData>
                  </a:graphic>
                </wp:inline>
              </w:drawing>
            </w:r>
          </w:p>
        </w:tc>
        <w:tc>
          <w:tcPr>
            <w:tcW w:w="3935" w:type="dxa"/>
          </w:tcPr>
          <w:p w:rsidR="00EF0C26" w:rsidRDefault="00EF0C26" w:rsidP="00EF0C26">
            <w:pPr>
              <w:ind w:left="0" w:firstLine="0"/>
              <w:rPr>
                <w:rFonts w:cs="Century Gothic"/>
                <w:iCs/>
                <w:szCs w:val="22"/>
              </w:rPr>
            </w:pPr>
            <w:r>
              <w:rPr>
                <w:rFonts w:cs="Century Gothic"/>
                <w:iCs/>
                <w:szCs w:val="22"/>
              </w:rPr>
              <w:t xml:space="preserve">Salmonely a protey jsou typické tím, že metabolisují sirné sloučeniny. Na některých půdách, obsahující železo, vidíme černý sulfid železnatý. První obrázek ukazuja bezbarvé kolonie s černým středem u </w:t>
            </w:r>
            <w:proofErr w:type="gramStart"/>
            <w:r w:rsidRPr="00F00053">
              <w:rPr>
                <w:rFonts w:cs="Century Gothic"/>
                <w:i/>
                <w:iCs/>
                <w:szCs w:val="22"/>
              </w:rPr>
              <w:t>Salmonella</w:t>
            </w:r>
            <w:proofErr w:type="gramEnd"/>
            <w:r w:rsidRPr="00F00053">
              <w:rPr>
                <w:rFonts w:cs="Century Gothic"/>
                <w:i/>
                <w:iCs/>
                <w:szCs w:val="22"/>
              </w:rPr>
              <w:t xml:space="preserve"> enterica</w:t>
            </w:r>
            <w:r>
              <w:rPr>
                <w:rFonts w:cs="Century Gothic"/>
                <w:iCs/>
                <w:szCs w:val="22"/>
              </w:rPr>
              <w:t xml:space="preserve"> serovar Dublin na půdě XLD. Druhý obrázek porovnává vzhled salmonely (vpravo), protea (vlevo) a síru nemetabolizující klebsiely (nahoře)</w:t>
            </w:r>
            <w:r w:rsidR="0037172A">
              <w:rPr>
                <w:rFonts w:cs="Century Gothic"/>
                <w:iCs/>
                <w:szCs w:val="22"/>
              </w:rPr>
              <w:t>, rovněž na půdě XLD</w:t>
            </w:r>
            <w:r>
              <w:rPr>
                <w:rFonts w:cs="Century Gothic"/>
                <w:iCs/>
                <w:szCs w:val="22"/>
              </w:rPr>
              <w:t>.</w:t>
            </w:r>
          </w:p>
        </w:tc>
        <w:tc>
          <w:tcPr>
            <w:tcW w:w="3135" w:type="dxa"/>
          </w:tcPr>
          <w:p w:rsidR="00EF0C26" w:rsidRDefault="00EF0C26" w:rsidP="005C70F8">
            <w:pPr>
              <w:ind w:left="0" w:firstLine="0"/>
              <w:rPr>
                <w:rFonts w:cs="Century Gothic"/>
                <w:iCs/>
                <w:szCs w:val="22"/>
              </w:rPr>
            </w:pPr>
            <w:r>
              <w:rPr>
                <w:rFonts w:cs="Century Gothic"/>
                <w:iCs/>
                <w:noProof/>
                <w:szCs w:val="22"/>
              </w:rPr>
              <w:drawing>
                <wp:inline distT="0" distB="0" distL="0" distR="0">
                  <wp:extent cx="1871165" cy="1878830"/>
                  <wp:effectExtent l="19050" t="0" r="0" b="0"/>
                  <wp:docPr id="40" name="Obrázek 39" descr="B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3.jpg"/>
                          <pic:cNvPicPr/>
                        </pic:nvPicPr>
                        <pic:blipFill>
                          <a:blip r:embed="rId27"/>
                          <a:srcRect l="23567" t="11746" r="23388" b="8271"/>
                          <a:stretch>
                            <a:fillRect/>
                          </a:stretch>
                        </pic:blipFill>
                        <pic:spPr>
                          <a:xfrm>
                            <a:off x="0" y="0"/>
                            <a:ext cx="1873905" cy="1881581"/>
                          </a:xfrm>
                          <a:prstGeom prst="rect">
                            <a:avLst/>
                          </a:prstGeom>
                        </pic:spPr>
                      </pic:pic>
                    </a:graphicData>
                  </a:graphic>
                </wp:inline>
              </w:drawing>
            </w:r>
          </w:p>
        </w:tc>
      </w:tr>
    </w:tbl>
    <w:p w:rsidR="00521B96" w:rsidRDefault="00521B96">
      <w:pPr>
        <w:numPr>
          <w:ilvl w:val="1"/>
          <w:numId w:val="34"/>
        </w:numPr>
        <w:rPr>
          <w:rFonts w:cs="Century Gothic"/>
          <w:iCs/>
          <w:szCs w:val="22"/>
        </w:rPr>
      </w:pPr>
      <w:r>
        <w:rPr>
          <w:rFonts w:cs="Century Gothic"/>
          <w:b/>
          <w:i/>
          <w:iCs/>
          <w:szCs w:val="22"/>
        </w:rPr>
        <w:t>Shigella</w:t>
      </w:r>
      <w:r>
        <w:rPr>
          <w:rFonts w:cs="Century Gothic"/>
          <w:i/>
          <w:iCs/>
          <w:szCs w:val="22"/>
        </w:rPr>
        <w:t xml:space="preserve"> –</w:t>
      </w:r>
      <w:r>
        <w:rPr>
          <w:rFonts w:cs="Century Gothic"/>
          <w:iCs/>
          <w:szCs w:val="22"/>
        </w:rPr>
        <w:t xml:space="preserve"> způsobuje jinou průjmovou nemoc, tzv. bacilární úplavici</w:t>
      </w:r>
    </w:p>
    <w:p w:rsidR="00521B96" w:rsidRDefault="00521B96">
      <w:pPr>
        <w:numPr>
          <w:ilvl w:val="1"/>
          <w:numId w:val="34"/>
        </w:numPr>
        <w:rPr>
          <w:rFonts w:cs="Century Gothic"/>
          <w:iCs/>
          <w:szCs w:val="22"/>
        </w:rPr>
      </w:pPr>
      <w:r>
        <w:rPr>
          <w:rFonts w:cs="Century Gothic"/>
          <w:b/>
          <w:i/>
          <w:iCs/>
          <w:szCs w:val="22"/>
        </w:rPr>
        <w:t>Yersinia pestis</w:t>
      </w:r>
      <w:r>
        <w:rPr>
          <w:rFonts w:cs="Century Gothic"/>
          <w:iCs/>
          <w:szCs w:val="22"/>
        </w:rPr>
        <w:t xml:space="preserve"> – původce moru</w:t>
      </w:r>
    </w:p>
    <w:p w:rsidR="00521B96" w:rsidRDefault="00521B96">
      <w:pPr>
        <w:numPr>
          <w:ilvl w:val="1"/>
          <w:numId w:val="34"/>
        </w:numPr>
        <w:rPr>
          <w:rFonts w:cs="Century Gothic"/>
          <w:szCs w:val="22"/>
        </w:rPr>
      </w:pPr>
      <w:r>
        <w:rPr>
          <w:rFonts w:cs="Century Gothic"/>
          <w:b/>
          <w:i/>
          <w:iCs/>
          <w:szCs w:val="22"/>
        </w:rPr>
        <w:t xml:space="preserve">Yersinia enterocolitica, Y. </w:t>
      </w:r>
      <w:proofErr w:type="gramStart"/>
      <w:r>
        <w:rPr>
          <w:rFonts w:cs="Century Gothic"/>
          <w:b/>
          <w:i/>
          <w:iCs/>
          <w:szCs w:val="22"/>
        </w:rPr>
        <w:t>pseudotuberculosis</w:t>
      </w:r>
      <w:proofErr w:type="gramEnd"/>
      <w:r>
        <w:rPr>
          <w:rFonts w:cs="Century Gothic"/>
          <w:iCs/>
          <w:szCs w:val="22"/>
        </w:rPr>
        <w:t xml:space="preserve"> – původci průjmových nemocí</w:t>
      </w:r>
    </w:p>
    <w:p w:rsidR="00521B96" w:rsidRDefault="00521B96">
      <w:pPr>
        <w:numPr>
          <w:ilvl w:val="0"/>
          <w:numId w:val="45"/>
        </w:numPr>
        <w:tabs>
          <w:tab w:val="clear" w:pos="927"/>
          <w:tab w:val="num" w:pos="720"/>
        </w:tabs>
        <w:ind w:left="720" w:hanging="360"/>
        <w:rPr>
          <w:rFonts w:cs="Century Gothic"/>
          <w:b/>
          <w:szCs w:val="22"/>
        </w:rPr>
      </w:pPr>
      <w:r>
        <w:rPr>
          <w:rFonts w:cs="Century Gothic"/>
          <w:b/>
          <w:szCs w:val="22"/>
        </w:rPr>
        <w:t xml:space="preserve">Oportunně patogenní enterobakterie </w:t>
      </w:r>
      <w:r>
        <w:rPr>
          <w:rFonts w:cs="Century Gothic"/>
          <w:bCs/>
          <w:szCs w:val="22"/>
        </w:rPr>
        <w:t>(za normálních okolností se vyskytují ve střevě zdravých osob, jako náhodný nález je nacházíme i v ústní dutině)</w:t>
      </w:r>
    </w:p>
    <w:p w:rsidR="00521B96" w:rsidRDefault="00521B96">
      <w:pPr>
        <w:numPr>
          <w:ilvl w:val="1"/>
          <w:numId w:val="34"/>
        </w:numPr>
        <w:rPr>
          <w:rFonts w:cs="Century Gothic"/>
          <w:iCs/>
          <w:szCs w:val="22"/>
        </w:rPr>
      </w:pPr>
      <w:r>
        <w:rPr>
          <w:rFonts w:cs="Century Gothic"/>
          <w:b/>
          <w:i/>
          <w:iCs/>
          <w:szCs w:val="22"/>
        </w:rPr>
        <w:t>Escherichia coli</w:t>
      </w:r>
      <w:r>
        <w:rPr>
          <w:rFonts w:cs="Century Gothic"/>
          <w:iCs/>
          <w:szCs w:val="22"/>
        </w:rPr>
        <w:t xml:space="preserve"> – nejběžnější, přítomná ve střevě, ale patogen v močových cestách i jinde, některé serovary nebezpečné i ve střevě</w:t>
      </w:r>
    </w:p>
    <w:p w:rsidR="00521B96" w:rsidRDefault="00521B96">
      <w:pPr>
        <w:numPr>
          <w:ilvl w:val="1"/>
          <w:numId w:val="34"/>
        </w:numPr>
        <w:rPr>
          <w:rFonts w:cs="Century Gothic"/>
          <w:iCs/>
          <w:szCs w:val="22"/>
        </w:rPr>
      </w:pPr>
      <w:r>
        <w:rPr>
          <w:rFonts w:cs="Century Gothic"/>
          <w:b/>
          <w:i/>
          <w:iCs/>
          <w:szCs w:val="22"/>
        </w:rPr>
        <w:t>Klebsiella, Enterobacter, Citrobacter, Proteus, Providencia, Morganella, Serratia</w:t>
      </w:r>
      <w:r>
        <w:rPr>
          <w:rFonts w:cs="Century Gothic"/>
          <w:i/>
          <w:iCs/>
          <w:szCs w:val="22"/>
        </w:rPr>
        <w:t xml:space="preserve"> –</w:t>
      </w:r>
      <w:r>
        <w:rPr>
          <w:rFonts w:cs="Century Gothic"/>
          <w:iCs/>
          <w:szCs w:val="22"/>
        </w:rPr>
        <w:t xml:space="preserve"> podobná charakteristika jako </w:t>
      </w:r>
      <w:r>
        <w:rPr>
          <w:rFonts w:cs="Century Gothic"/>
          <w:i/>
          <w:szCs w:val="22"/>
        </w:rPr>
        <w:t xml:space="preserve">E. </w:t>
      </w:r>
      <w:proofErr w:type="gramStart"/>
      <w:r>
        <w:rPr>
          <w:rFonts w:cs="Century Gothic"/>
          <w:i/>
          <w:szCs w:val="22"/>
        </w:rPr>
        <w:t>coli</w:t>
      </w:r>
      <w:proofErr w:type="gramEnd"/>
      <w:r>
        <w:rPr>
          <w:rFonts w:cs="Century Gothic"/>
          <w:iCs/>
          <w:szCs w:val="22"/>
        </w:rPr>
        <w:t>, některé (</w:t>
      </w:r>
      <w:r>
        <w:rPr>
          <w:rFonts w:cs="Century Gothic"/>
          <w:i/>
          <w:szCs w:val="22"/>
        </w:rPr>
        <w:t>Klebsiella, Serratia</w:t>
      </w:r>
      <w:r>
        <w:rPr>
          <w:rFonts w:cs="Century Gothic"/>
          <w:iCs/>
          <w:szCs w:val="22"/>
        </w:rPr>
        <w:t>) často způsobují nozokomiální (nemocniční) infekce</w:t>
      </w:r>
    </w:p>
    <w:tbl>
      <w:tblPr>
        <w:tblStyle w:val="Mkatabulky"/>
        <w:tblW w:w="0" w:type="auto"/>
        <w:tblInd w:w="113" w:type="dxa"/>
        <w:tblLook w:val="04A0"/>
      </w:tblPr>
      <w:tblGrid>
        <w:gridCol w:w="5740"/>
        <w:gridCol w:w="3769"/>
      </w:tblGrid>
      <w:tr w:rsidR="0063746C" w:rsidTr="0063746C">
        <w:tc>
          <w:tcPr>
            <w:tcW w:w="5665" w:type="dxa"/>
          </w:tcPr>
          <w:p w:rsidR="0063746C" w:rsidRDefault="0063746C" w:rsidP="0063746C">
            <w:pPr>
              <w:ind w:left="0" w:firstLine="0"/>
              <w:rPr>
                <w:rFonts w:cs="Century Gothic"/>
                <w:iCs/>
                <w:szCs w:val="22"/>
              </w:rPr>
            </w:pPr>
            <w:r>
              <w:rPr>
                <w:rFonts w:cs="Century Gothic"/>
                <w:iCs/>
                <w:noProof/>
                <w:szCs w:val="22"/>
              </w:rPr>
              <w:lastRenderedPageBreak/>
              <w:drawing>
                <wp:inline distT="0" distB="0" distL="0" distR="0">
                  <wp:extent cx="3488425" cy="1598572"/>
                  <wp:effectExtent l="19050" t="0" r="0" b="0"/>
                  <wp:docPr id="33" name="Obrázek 32" descr="B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5.jpg"/>
                          <pic:cNvPicPr/>
                        </pic:nvPicPr>
                        <pic:blipFill>
                          <a:blip r:embed="rId28"/>
                          <a:srcRect l="21330" t="35226" r="24147" b="27312"/>
                          <a:stretch>
                            <a:fillRect/>
                          </a:stretch>
                        </pic:blipFill>
                        <pic:spPr>
                          <a:xfrm>
                            <a:off x="0" y="0"/>
                            <a:ext cx="3488425" cy="1598572"/>
                          </a:xfrm>
                          <a:prstGeom prst="rect">
                            <a:avLst/>
                          </a:prstGeom>
                        </pic:spPr>
                      </pic:pic>
                    </a:graphicData>
                  </a:graphic>
                </wp:inline>
              </w:drawing>
            </w:r>
          </w:p>
        </w:tc>
        <w:tc>
          <w:tcPr>
            <w:tcW w:w="3844" w:type="dxa"/>
          </w:tcPr>
          <w:p w:rsidR="0063746C" w:rsidRPr="0063746C" w:rsidRDefault="0063746C" w:rsidP="0063746C">
            <w:pPr>
              <w:ind w:left="0" w:firstLine="0"/>
              <w:rPr>
                <w:rFonts w:cs="Century Gothic"/>
                <w:iCs/>
                <w:szCs w:val="22"/>
              </w:rPr>
            </w:pPr>
            <w:r>
              <w:rPr>
                <w:rFonts w:cs="Century Gothic"/>
                <w:iCs/>
                <w:szCs w:val="22"/>
              </w:rPr>
              <w:t xml:space="preserve">Bakterie rodu </w:t>
            </w:r>
            <w:r>
              <w:rPr>
                <w:rFonts w:cs="Century Gothic"/>
                <w:i/>
                <w:iCs/>
                <w:szCs w:val="22"/>
              </w:rPr>
              <w:t>Proteus</w:t>
            </w:r>
            <w:r>
              <w:rPr>
                <w:rFonts w:cs="Century Gothic"/>
                <w:iCs/>
                <w:szCs w:val="22"/>
              </w:rPr>
              <w:t xml:space="preserve"> se vyznačují plazivým růstem na krevím i některých jiných agarech. Bakterie byla naočkována doprostřed Petriho misky a odtud se ve vlnách plazí směrem k okraji. Bílé a červené tečky jsou kontaminující kolonie jiných enterobakterií</w:t>
            </w:r>
          </w:p>
        </w:tc>
      </w:tr>
    </w:tbl>
    <w:p w:rsidR="00521B96" w:rsidRDefault="00521B96">
      <w:pPr>
        <w:numPr>
          <w:ilvl w:val="0"/>
          <w:numId w:val="46"/>
        </w:numPr>
        <w:tabs>
          <w:tab w:val="clear" w:pos="927"/>
          <w:tab w:val="num" w:pos="720"/>
        </w:tabs>
        <w:ind w:left="720" w:hanging="360"/>
        <w:rPr>
          <w:rFonts w:cs="Century Gothic"/>
          <w:szCs w:val="22"/>
        </w:rPr>
      </w:pPr>
      <w:r>
        <w:rPr>
          <w:rFonts w:cs="Century Gothic"/>
          <w:b/>
          <w:iCs/>
          <w:szCs w:val="22"/>
        </w:rPr>
        <w:t>Nepatogenní enterobakterie</w:t>
      </w:r>
      <w:r>
        <w:rPr>
          <w:rFonts w:cs="Century Gothic"/>
          <w:iCs/>
          <w:szCs w:val="22"/>
        </w:rPr>
        <w:t xml:space="preserve"> existují, ale nemají význam pro člověka</w:t>
      </w:r>
    </w:p>
    <w:p w:rsidR="00521B96" w:rsidRDefault="00521B96">
      <w:pPr>
        <w:pStyle w:val="Nadpis3"/>
      </w:pPr>
      <w:r>
        <w:t>3.4.2 Gramnegativní nefermentující tyčinky</w:t>
      </w:r>
    </w:p>
    <w:p w:rsidR="00521B96" w:rsidRDefault="00521B96">
      <w:pPr>
        <w:numPr>
          <w:ilvl w:val="0"/>
          <w:numId w:val="47"/>
        </w:numPr>
        <w:tabs>
          <w:tab w:val="clear" w:pos="927"/>
          <w:tab w:val="num" w:pos="720"/>
        </w:tabs>
        <w:ind w:left="720" w:hanging="360"/>
        <w:rPr>
          <w:rFonts w:cs="Century Gothic"/>
          <w:iCs/>
          <w:szCs w:val="22"/>
        </w:rPr>
      </w:pPr>
      <w:r>
        <w:rPr>
          <w:rFonts w:cs="Century Gothic"/>
          <w:b/>
          <w:i/>
          <w:iCs/>
          <w:szCs w:val="22"/>
        </w:rPr>
        <w:t>Pseudomonas aeruginosa</w:t>
      </w:r>
      <w:r>
        <w:rPr>
          <w:rFonts w:cs="Century Gothic"/>
          <w:iCs/>
          <w:szCs w:val="22"/>
        </w:rPr>
        <w:t xml:space="preserve"> – způsobuje popáleninové infekce, nozokomiální infekce, zápaly plic u dětí s cystickou fibrózou, ale nález může být i kontaminace z</w:t>
      </w:r>
      <w:r w:rsidR="00791C88">
        <w:rPr>
          <w:rFonts w:cs="Century Gothic"/>
          <w:iCs/>
          <w:szCs w:val="22"/>
        </w:rPr>
        <w:t> </w:t>
      </w:r>
      <w:r>
        <w:rPr>
          <w:rFonts w:cs="Century Gothic"/>
          <w:iCs/>
          <w:szCs w:val="22"/>
        </w:rPr>
        <w:t>prostředí</w:t>
      </w:r>
    </w:p>
    <w:tbl>
      <w:tblPr>
        <w:tblStyle w:val="Mkatabulky"/>
        <w:tblW w:w="0" w:type="auto"/>
        <w:tblInd w:w="113" w:type="dxa"/>
        <w:tblLook w:val="04A0"/>
      </w:tblPr>
      <w:tblGrid>
        <w:gridCol w:w="2122"/>
        <w:gridCol w:w="4100"/>
        <w:gridCol w:w="3287"/>
      </w:tblGrid>
      <w:tr w:rsidR="0037172A" w:rsidTr="001A4B21">
        <w:tc>
          <w:tcPr>
            <w:tcW w:w="2122" w:type="dxa"/>
          </w:tcPr>
          <w:p w:rsidR="0037172A" w:rsidRDefault="0037172A" w:rsidP="00791C88">
            <w:pPr>
              <w:ind w:left="0" w:firstLine="0"/>
              <w:rPr>
                <w:rFonts w:cs="Century Gothic"/>
                <w:iCs/>
                <w:szCs w:val="22"/>
              </w:rPr>
            </w:pPr>
            <w:r>
              <w:rPr>
                <w:rFonts w:cs="Century Gothic"/>
                <w:iCs/>
                <w:noProof/>
                <w:szCs w:val="22"/>
              </w:rPr>
              <w:drawing>
                <wp:inline distT="0" distB="0" distL="0" distR="0">
                  <wp:extent cx="1181953" cy="1325606"/>
                  <wp:effectExtent l="19050" t="0" r="0" b="0"/>
                  <wp:docPr id="41" name="Obrázek 35" descr="B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7.jpg"/>
                          <pic:cNvPicPr/>
                        </pic:nvPicPr>
                        <pic:blipFill>
                          <a:blip r:embed="rId29"/>
                          <a:srcRect l="25657" t="7821" r="48629" b="48889"/>
                          <a:stretch>
                            <a:fillRect/>
                          </a:stretch>
                        </pic:blipFill>
                        <pic:spPr>
                          <a:xfrm>
                            <a:off x="0" y="0"/>
                            <a:ext cx="1186140" cy="1330302"/>
                          </a:xfrm>
                          <a:prstGeom prst="rect">
                            <a:avLst/>
                          </a:prstGeom>
                        </pic:spPr>
                      </pic:pic>
                    </a:graphicData>
                  </a:graphic>
                </wp:inline>
              </w:drawing>
            </w:r>
          </w:p>
        </w:tc>
        <w:tc>
          <w:tcPr>
            <w:tcW w:w="4100" w:type="dxa"/>
          </w:tcPr>
          <w:p w:rsidR="0037172A" w:rsidRPr="00791C88" w:rsidRDefault="0037172A" w:rsidP="0037172A">
            <w:pPr>
              <w:ind w:left="0" w:firstLine="0"/>
              <w:rPr>
                <w:rFonts w:cs="Century Gothic"/>
                <w:iCs/>
                <w:szCs w:val="22"/>
              </w:rPr>
            </w:pPr>
            <w:r>
              <w:rPr>
                <w:rFonts w:cs="Century Gothic"/>
                <w:iCs/>
                <w:szCs w:val="22"/>
              </w:rPr>
              <w:t xml:space="preserve">Kolonie </w:t>
            </w:r>
            <w:r>
              <w:rPr>
                <w:rFonts w:cs="Century Gothic"/>
                <w:i/>
                <w:iCs/>
                <w:szCs w:val="22"/>
              </w:rPr>
              <w:t>Pseudomonas aeruginosa</w:t>
            </w:r>
            <w:r>
              <w:rPr>
                <w:rFonts w:cs="Century Gothic"/>
                <w:iCs/>
                <w:szCs w:val="22"/>
              </w:rPr>
              <w:t xml:space="preserve"> jsou typicky zeleně zbarvené, některé kmeny ale mohou být pigmentovány i hnědě či modře. Produkci modrého pigmentu lze povzbudit i použitím speciální kultivační půdy jako v případě na obrázku. Druhý obrázek </w:t>
            </w:r>
            <w:proofErr w:type="gramStart"/>
            <w:r>
              <w:rPr>
                <w:rFonts w:cs="Century Gothic"/>
                <w:iCs/>
                <w:szCs w:val="22"/>
              </w:rPr>
              <w:t>ukazuje  Kolonie</w:t>
            </w:r>
            <w:proofErr w:type="gramEnd"/>
            <w:r>
              <w:rPr>
                <w:rFonts w:cs="Century Gothic"/>
                <w:iCs/>
                <w:szCs w:val="22"/>
              </w:rPr>
              <w:t xml:space="preserve"> </w:t>
            </w:r>
            <w:r>
              <w:rPr>
                <w:rFonts w:cs="Century Gothic"/>
                <w:i/>
                <w:iCs/>
                <w:szCs w:val="22"/>
              </w:rPr>
              <w:t>Pseudomonas aeruginosa</w:t>
            </w:r>
            <w:r>
              <w:rPr>
                <w:rFonts w:cs="Century Gothic"/>
                <w:iCs/>
                <w:szCs w:val="22"/>
              </w:rPr>
              <w:t xml:space="preserve"> na krevním agaru – pigment není vidět.</w:t>
            </w:r>
          </w:p>
        </w:tc>
        <w:tc>
          <w:tcPr>
            <w:tcW w:w="3287" w:type="dxa"/>
          </w:tcPr>
          <w:p w:rsidR="0037172A" w:rsidRDefault="0037172A" w:rsidP="0037172A">
            <w:pPr>
              <w:ind w:left="0" w:firstLine="0"/>
              <w:rPr>
                <w:rFonts w:cs="Century Gothic"/>
                <w:iCs/>
                <w:szCs w:val="22"/>
              </w:rPr>
            </w:pPr>
            <w:r>
              <w:rPr>
                <w:rFonts w:cs="Century Gothic"/>
                <w:iCs/>
                <w:noProof/>
                <w:szCs w:val="22"/>
              </w:rPr>
              <w:drawing>
                <wp:inline distT="0" distB="0" distL="0" distR="0">
                  <wp:extent cx="1930794" cy="1351128"/>
                  <wp:effectExtent l="19050" t="0" r="0" b="0"/>
                  <wp:docPr id="42" name="Obrázek 41" descr="B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48.jpg"/>
                          <pic:cNvPicPr/>
                        </pic:nvPicPr>
                        <pic:blipFill>
                          <a:blip r:embed="rId30"/>
                          <a:srcRect l="9399" t="8949" r="13333" b="9955"/>
                          <a:stretch>
                            <a:fillRect/>
                          </a:stretch>
                        </pic:blipFill>
                        <pic:spPr>
                          <a:xfrm>
                            <a:off x="0" y="0"/>
                            <a:ext cx="1930794" cy="1351128"/>
                          </a:xfrm>
                          <a:prstGeom prst="rect">
                            <a:avLst/>
                          </a:prstGeom>
                        </pic:spPr>
                      </pic:pic>
                    </a:graphicData>
                  </a:graphic>
                </wp:inline>
              </w:drawing>
            </w:r>
          </w:p>
        </w:tc>
      </w:tr>
    </w:tbl>
    <w:p w:rsidR="00521B96" w:rsidRDefault="00521B96">
      <w:pPr>
        <w:numPr>
          <w:ilvl w:val="0"/>
          <w:numId w:val="47"/>
        </w:numPr>
        <w:tabs>
          <w:tab w:val="clear" w:pos="927"/>
          <w:tab w:val="num" w:pos="720"/>
        </w:tabs>
        <w:ind w:left="720" w:hanging="360"/>
        <w:rPr>
          <w:rFonts w:cs="Century Gothic"/>
          <w:iCs/>
          <w:szCs w:val="22"/>
        </w:rPr>
      </w:pPr>
      <w:r>
        <w:rPr>
          <w:rFonts w:cs="Century Gothic"/>
          <w:b/>
          <w:i/>
          <w:iCs/>
          <w:szCs w:val="22"/>
        </w:rPr>
        <w:t>Acinetobacter, Burkholderia, Stenotrophomonas</w:t>
      </w:r>
      <w:r>
        <w:rPr>
          <w:rFonts w:cs="Century Gothic"/>
          <w:iCs/>
          <w:szCs w:val="22"/>
        </w:rPr>
        <w:t xml:space="preserve"> – podobná charakteristika jako u </w:t>
      </w:r>
      <w:r>
        <w:rPr>
          <w:rFonts w:cs="Century Gothic"/>
          <w:i/>
          <w:szCs w:val="22"/>
        </w:rPr>
        <w:t>Pseudomonas aeruginosa</w:t>
      </w:r>
    </w:p>
    <w:p w:rsidR="00521B96" w:rsidRDefault="00521B96">
      <w:pPr>
        <w:pStyle w:val="Petit"/>
        <w:ind w:left="0" w:firstLine="0"/>
      </w:pPr>
      <w:r>
        <w:t xml:space="preserve">Poznámka: </w:t>
      </w:r>
      <w:r>
        <w:rPr>
          <w:i/>
          <w:iCs/>
        </w:rPr>
        <w:t>Acinetobacter</w:t>
      </w:r>
      <w:r>
        <w:t xml:space="preserve"> je spíš kokotyčinka až kok, ne tyčinka, ale z praktických důvodů bývá řazen sem.</w:t>
      </w:r>
    </w:p>
    <w:tbl>
      <w:tblPr>
        <w:tblStyle w:val="Mkatabulky"/>
        <w:tblW w:w="0" w:type="auto"/>
        <w:tblLook w:val="04A0"/>
      </w:tblPr>
      <w:tblGrid>
        <w:gridCol w:w="6431"/>
        <w:gridCol w:w="3191"/>
      </w:tblGrid>
      <w:tr w:rsidR="00791C88" w:rsidTr="001A4B21">
        <w:tc>
          <w:tcPr>
            <w:tcW w:w="6345" w:type="dxa"/>
          </w:tcPr>
          <w:p w:rsidR="00791C88" w:rsidRPr="00791C88" w:rsidRDefault="00791C88">
            <w:pPr>
              <w:pStyle w:val="Petit"/>
              <w:ind w:left="0" w:firstLine="0"/>
              <w:rPr>
                <w:rFonts w:cs="Century Gothic"/>
                <w:iCs/>
                <w:sz w:val="20"/>
                <w:szCs w:val="22"/>
              </w:rPr>
            </w:pPr>
            <w:r>
              <w:rPr>
                <w:rFonts w:cs="Century Gothic"/>
                <w:iCs/>
                <w:noProof/>
                <w:sz w:val="20"/>
                <w:szCs w:val="22"/>
              </w:rPr>
              <w:drawing>
                <wp:inline distT="0" distB="0" distL="0" distR="0">
                  <wp:extent cx="3927071" cy="1671851"/>
                  <wp:effectExtent l="19050" t="0" r="0" b="0"/>
                  <wp:docPr id="37" name="Obrázek 36" descr="B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4.jpg"/>
                          <pic:cNvPicPr/>
                        </pic:nvPicPr>
                        <pic:blipFill>
                          <a:blip r:embed="rId31"/>
                          <a:srcRect l="17601" t="8397" r="25702" b="55296"/>
                          <a:stretch>
                            <a:fillRect/>
                          </a:stretch>
                        </pic:blipFill>
                        <pic:spPr>
                          <a:xfrm>
                            <a:off x="0" y="0"/>
                            <a:ext cx="3927071" cy="1671851"/>
                          </a:xfrm>
                          <a:prstGeom prst="rect">
                            <a:avLst/>
                          </a:prstGeom>
                        </pic:spPr>
                      </pic:pic>
                    </a:graphicData>
                  </a:graphic>
                </wp:inline>
              </w:drawing>
            </w:r>
          </w:p>
        </w:tc>
        <w:tc>
          <w:tcPr>
            <w:tcW w:w="3277" w:type="dxa"/>
          </w:tcPr>
          <w:p w:rsidR="00791C88" w:rsidRPr="00791C88" w:rsidRDefault="00791C88">
            <w:pPr>
              <w:pStyle w:val="Petit"/>
              <w:ind w:left="0" w:firstLine="0"/>
              <w:rPr>
                <w:rFonts w:cs="Century Gothic"/>
                <w:iCs/>
                <w:sz w:val="20"/>
                <w:szCs w:val="22"/>
              </w:rPr>
            </w:pPr>
            <w:r w:rsidRPr="00791C88">
              <w:rPr>
                <w:rFonts w:cs="Century Gothic"/>
                <w:iCs/>
                <w:sz w:val="20"/>
                <w:szCs w:val="22"/>
              </w:rPr>
              <w:t>Jednou z</w:t>
            </w:r>
            <w:r>
              <w:rPr>
                <w:rFonts w:cs="Century Gothic"/>
                <w:iCs/>
                <w:sz w:val="20"/>
                <w:szCs w:val="22"/>
              </w:rPr>
              <w:t> </w:t>
            </w:r>
            <w:r w:rsidRPr="00791C88">
              <w:rPr>
                <w:rFonts w:cs="Century Gothic"/>
                <w:iCs/>
                <w:sz w:val="20"/>
                <w:szCs w:val="22"/>
              </w:rPr>
              <w:t>mnoha</w:t>
            </w:r>
            <w:r>
              <w:rPr>
                <w:rFonts w:cs="Century Gothic"/>
                <w:iCs/>
                <w:sz w:val="20"/>
                <w:szCs w:val="22"/>
              </w:rPr>
              <w:t xml:space="preserve"> dalších bakterií této skupiny je </w:t>
            </w:r>
            <w:r w:rsidRPr="00791C88">
              <w:rPr>
                <w:rFonts w:cs="Century Gothic"/>
                <w:i/>
                <w:iCs/>
                <w:sz w:val="20"/>
                <w:szCs w:val="22"/>
              </w:rPr>
              <w:t>Flavobacterium</w:t>
            </w:r>
            <w:r>
              <w:rPr>
                <w:rFonts w:cs="Century Gothic"/>
                <w:iCs/>
                <w:sz w:val="20"/>
                <w:szCs w:val="22"/>
              </w:rPr>
              <w:t xml:space="preserve"> sp. Jeho název je odvozen od produkce žlutého pigmentu (zde na krevním agaru)</w:t>
            </w:r>
          </w:p>
        </w:tc>
      </w:tr>
    </w:tbl>
    <w:p w:rsidR="00521B96" w:rsidRDefault="00521B96">
      <w:pPr>
        <w:pStyle w:val="Nadpis3"/>
      </w:pPr>
      <w:r>
        <w:t>3.4.3 Ostatní gramnegativní tyčinky:</w:t>
      </w:r>
    </w:p>
    <w:p w:rsidR="00521B96" w:rsidRDefault="00521B96">
      <w:pPr>
        <w:numPr>
          <w:ilvl w:val="0"/>
          <w:numId w:val="48"/>
        </w:numPr>
        <w:tabs>
          <w:tab w:val="clear" w:pos="927"/>
          <w:tab w:val="num" w:pos="720"/>
        </w:tabs>
        <w:ind w:left="720" w:hanging="360"/>
        <w:rPr>
          <w:rFonts w:cs="Century Gothic"/>
          <w:iCs/>
          <w:szCs w:val="22"/>
        </w:rPr>
      </w:pPr>
      <w:r>
        <w:rPr>
          <w:rFonts w:cs="Century Gothic"/>
          <w:b/>
          <w:i/>
          <w:iCs/>
          <w:szCs w:val="22"/>
        </w:rPr>
        <w:t>Haemophilus</w:t>
      </w:r>
      <w:r>
        <w:rPr>
          <w:rFonts w:cs="Century Gothic"/>
          <w:i/>
          <w:iCs/>
          <w:szCs w:val="22"/>
        </w:rPr>
        <w:t xml:space="preserve"> (H. influenzae, H. parainfluenzae)</w:t>
      </w:r>
      <w:r>
        <w:rPr>
          <w:rFonts w:cs="Century Gothic"/>
          <w:iCs/>
          <w:szCs w:val="22"/>
        </w:rPr>
        <w:t xml:space="preserve"> – přítomen v dýchacích cestách i u zdravých, může ale působit infekce dýchacích cest. </w:t>
      </w:r>
      <w:r>
        <w:rPr>
          <w:rFonts w:cs="Century Gothic"/>
          <w:i/>
          <w:szCs w:val="22"/>
        </w:rPr>
        <w:t>Haemophilus influenzae</w:t>
      </w:r>
      <w:r>
        <w:rPr>
          <w:rFonts w:cs="Century Gothic"/>
          <w:iCs/>
          <w:szCs w:val="22"/>
        </w:rPr>
        <w:t xml:space="preserve"> serovar b způsobuje vzácně zánět příklopky hrtanové a může způsobovat záněty mozkových blan, hlavně u batolat; v poslední době toho všeho ubylo, díky očkování. </w:t>
      </w:r>
      <w:r>
        <w:rPr>
          <w:rFonts w:cs="Century Gothic"/>
          <w:i/>
          <w:iCs/>
          <w:szCs w:val="22"/>
        </w:rPr>
        <w:t xml:space="preserve">Haemophilus parainfluenzae </w:t>
      </w:r>
      <w:r>
        <w:rPr>
          <w:rFonts w:cs="Century Gothic"/>
          <w:iCs/>
          <w:szCs w:val="22"/>
        </w:rPr>
        <w:t>je velmi běžná bakterie v hrtanu i v ústní dutině. Považuje se za součást běžné mikroflóry, i když při přemnožení se snad i podílí na infekcích</w:t>
      </w:r>
    </w:p>
    <w:p w:rsidR="00EF0C26" w:rsidRPr="00EF0C26" w:rsidRDefault="00EF0C26" w:rsidP="00EF0C26">
      <w:pPr>
        <w:numPr>
          <w:ilvl w:val="0"/>
          <w:numId w:val="48"/>
        </w:numPr>
        <w:tabs>
          <w:tab w:val="clear" w:pos="927"/>
          <w:tab w:val="num" w:pos="720"/>
        </w:tabs>
        <w:ind w:left="720" w:hanging="360"/>
        <w:rPr>
          <w:rFonts w:cs="Century Gothic"/>
          <w:szCs w:val="22"/>
        </w:rPr>
      </w:pPr>
      <w:r>
        <w:rPr>
          <w:rFonts w:cs="Century Gothic"/>
          <w:b/>
          <w:i/>
          <w:iCs/>
          <w:szCs w:val="22"/>
        </w:rPr>
        <w:t>Pasteurella</w:t>
      </w:r>
      <w:r>
        <w:rPr>
          <w:rFonts w:cs="Century Gothic"/>
          <w:szCs w:val="22"/>
        </w:rPr>
        <w:t xml:space="preserve"> – nachází se v psích tlamách a infikuje rány po pokousání psem</w:t>
      </w:r>
    </w:p>
    <w:tbl>
      <w:tblPr>
        <w:tblStyle w:val="Mkatabulky"/>
        <w:tblW w:w="0" w:type="auto"/>
        <w:tblInd w:w="113" w:type="dxa"/>
        <w:tblLook w:val="04A0"/>
      </w:tblPr>
      <w:tblGrid>
        <w:gridCol w:w="5524"/>
        <w:gridCol w:w="3985"/>
      </w:tblGrid>
      <w:tr w:rsidR="00EF0C26" w:rsidTr="00EF0C26">
        <w:tc>
          <w:tcPr>
            <w:tcW w:w="5524" w:type="dxa"/>
          </w:tcPr>
          <w:p w:rsidR="00EF0C26" w:rsidRDefault="00EF0C26" w:rsidP="00EF0C26">
            <w:pPr>
              <w:ind w:left="0" w:firstLine="0"/>
              <w:rPr>
                <w:rFonts w:cs="Century Gothic"/>
                <w:iCs/>
                <w:szCs w:val="22"/>
              </w:rPr>
            </w:pPr>
            <w:r>
              <w:rPr>
                <w:rFonts w:cs="Century Gothic"/>
                <w:iCs/>
                <w:noProof/>
                <w:szCs w:val="22"/>
              </w:rPr>
              <w:drawing>
                <wp:inline distT="0" distB="0" distL="0" distR="0">
                  <wp:extent cx="3331475" cy="855289"/>
                  <wp:effectExtent l="19050" t="0" r="2275" b="0"/>
                  <wp:docPr id="38" name="Obrázek 37" descr="B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0.jpg"/>
                          <pic:cNvPicPr/>
                        </pic:nvPicPr>
                        <pic:blipFill>
                          <a:blip r:embed="rId32"/>
                          <a:srcRect l="8575" t="15117" r="21146" b="57740"/>
                          <a:stretch>
                            <a:fillRect/>
                          </a:stretch>
                        </pic:blipFill>
                        <pic:spPr>
                          <a:xfrm>
                            <a:off x="0" y="0"/>
                            <a:ext cx="3331479" cy="855290"/>
                          </a:xfrm>
                          <a:prstGeom prst="rect">
                            <a:avLst/>
                          </a:prstGeom>
                        </pic:spPr>
                      </pic:pic>
                    </a:graphicData>
                  </a:graphic>
                </wp:inline>
              </w:drawing>
            </w:r>
          </w:p>
        </w:tc>
        <w:tc>
          <w:tcPr>
            <w:tcW w:w="3985" w:type="dxa"/>
          </w:tcPr>
          <w:p w:rsidR="00EF0C26" w:rsidRPr="00EF0C26" w:rsidRDefault="00EF0C26" w:rsidP="00EF0C26">
            <w:pPr>
              <w:ind w:left="0" w:firstLine="0"/>
              <w:rPr>
                <w:rFonts w:cs="Century Gothic"/>
                <w:i/>
                <w:iCs/>
                <w:szCs w:val="22"/>
              </w:rPr>
            </w:pPr>
            <w:r>
              <w:rPr>
                <w:rFonts w:cs="Century Gothic"/>
                <w:iCs/>
                <w:szCs w:val="22"/>
              </w:rPr>
              <w:t xml:space="preserve">Drobné gramnegativní tyčinky </w:t>
            </w:r>
            <w:r>
              <w:rPr>
                <w:rFonts w:cs="Century Gothic"/>
                <w:i/>
                <w:iCs/>
                <w:szCs w:val="22"/>
              </w:rPr>
              <w:t>Pasteurella multocida</w:t>
            </w:r>
          </w:p>
        </w:tc>
      </w:tr>
    </w:tbl>
    <w:p w:rsidR="00521B96" w:rsidRDefault="00521B96">
      <w:pPr>
        <w:numPr>
          <w:ilvl w:val="0"/>
          <w:numId w:val="48"/>
        </w:numPr>
        <w:tabs>
          <w:tab w:val="clear" w:pos="927"/>
          <w:tab w:val="num" w:pos="720"/>
        </w:tabs>
        <w:ind w:left="720" w:hanging="360"/>
        <w:rPr>
          <w:rFonts w:cs="Century Gothic"/>
          <w:iCs/>
          <w:szCs w:val="22"/>
        </w:rPr>
      </w:pPr>
      <w:r>
        <w:rPr>
          <w:rFonts w:cs="Century Gothic"/>
          <w:b/>
          <w:i/>
          <w:iCs/>
          <w:szCs w:val="22"/>
        </w:rPr>
        <w:lastRenderedPageBreak/>
        <w:t>Campylobacter</w:t>
      </w:r>
      <w:r>
        <w:rPr>
          <w:rFonts w:cs="Century Gothic"/>
          <w:i/>
          <w:iCs/>
          <w:szCs w:val="22"/>
        </w:rPr>
        <w:t xml:space="preserve"> –</w:t>
      </w:r>
      <w:r>
        <w:rPr>
          <w:rFonts w:cs="Century Gothic"/>
          <w:iCs/>
          <w:szCs w:val="22"/>
        </w:rPr>
        <w:t xml:space="preserve"> původce průjmových onemocnění (podobné jako salmonelóza, ale zdrojem je spíš kuřecí maso než vajíčka)</w:t>
      </w:r>
    </w:p>
    <w:p w:rsidR="00521B96" w:rsidRDefault="00521B96">
      <w:pPr>
        <w:numPr>
          <w:ilvl w:val="0"/>
          <w:numId w:val="48"/>
        </w:numPr>
        <w:tabs>
          <w:tab w:val="clear" w:pos="927"/>
          <w:tab w:val="num" w:pos="720"/>
        </w:tabs>
        <w:ind w:left="720" w:hanging="360"/>
        <w:rPr>
          <w:rFonts w:cs="Century Gothic"/>
          <w:i/>
          <w:iCs/>
          <w:szCs w:val="22"/>
        </w:rPr>
      </w:pPr>
      <w:r>
        <w:rPr>
          <w:rFonts w:cs="Century Gothic"/>
          <w:b/>
          <w:i/>
          <w:iCs/>
          <w:szCs w:val="22"/>
        </w:rPr>
        <w:t>Helicobacter</w:t>
      </w:r>
      <w:r>
        <w:rPr>
          <w:rFonts w:cs="Century Gothic"/>
          <w:iCs/>
          <w:szCs w:val="22"/>
        </w:rPr>
        <w:t xml:space="preserve"> – podílí se na vzniku žaludečních vředů</w:t>
      </w:r>
    </w:p>
    <w:p w:rsidR="00521B96" w:rsidRDefault="00521B96">
      <w:pPr>
        <w:numPr>
          <w:ilvl w:val="0"/>
          <w:numId w:val="48"/>
        </w:numPr>
        <w:tabs>
          <w:tab w:val="clear" w:pos="927"/>
          <w:tab w:val="num" w:pos="720"/>
        </w:tabs>
        <w:ind w:left="720" w:hanging="360"/>
        <w:rPr>
          <w:rFonts w:cs="Century Gothic"/>
          <w:szCs w:val="22"/>
        </w:rPr>
      </w:pPr>
      <w:r>
        <w:rPr>
          <w:rFonts w:cs="Century Gothic"/>
          <w:b/>
          <w:i/>
          <w:iCs/>
          <w:szCs w:val="22"/>
        </w:rPr>
        <w:t>Vibrio</w:t>
      </w:r>
      <w:r>
        <w:rPr>
          <w:rFonts w:cs="Century Gothic"/>
          <w:i/>
          <w:iCs/>
          <w:szCs w:val="22"/>
        </w:rPr>
        <w:t xml:space="preserve"> – </w:t>
      </w:r>
      <w:r>
        <w:rPr>
          <w:rFonts w:cs="Century Gothic"/>
          <w:szCs w:val="22"/>
        </w:rPr>
        <w:t xml:space="preserve">nejvýznamnější je </w:t>
      </w:r>
      <w:r>
        <w:rPr>
          <w:rFonts w:cs="Century Gothic"/>
          <w:i/>
          <w:iCs/>
          <w:szCs w:val="22"/>
        </w:rPr>
        <w:t>Vibrio cholerae</w:t>
      </w:r>
      <w:r>
        <w:rPr>
          <w:rFonts w:cs="Century Gothic"/>
          <w:szCs w:val="22"/>
        </w:rPr>
        <w:t xml:space="preserve">, původce těžkého průjmu – cholery, dnes spíše mimo Evropu; další druhy vibrií a příbuzných </w:t>
      </w:r>
      <w:r w:rsidRPr="00791C88">
        <w:rPr>
          <w:rFonts w:cs="Century Gothic"/>
          <w:b/>
          <w:szCs w:val="22"/>
        </w:rPr>
        <w:t xml:space="preserve">aeromonád </w:t>
      </w:r>
      <w:r>
        <w:rPr>
          <w:rFonts w:cs="Century Gothic"/>
          <w:szCs w:val="22"/>
        </w:rPr>
        <w:t>způsobují také průjmy, nebo také infekce ran např. při kuchání ryb</w:t>
      </w:r>
    </w:p>
    <w:tbl>
      <w:tblPr>
        <w:tblStyle w:val="Mkatabulky"/>
        <w:tblW w:w="0" w:type="auto"/>
        <w:tblInd w:w="360" w:type="dxa"/>
        <w:tblLook w:val="04A0"/>
      </w:tblPr>
      <w:tblGrid>
        <w:gridCol w:w="2867"/>
        <w:gridCol w:w="1984"/>
        <w:gridCol w:w="4411"/>
      </w:tblGrid>
      <w:tr w:rsidR="00791C88" w:rsidTr="00791C88">
        <w:tc>
          <w:tcPr>
            <w:tcW w:w="2867" w:type="dxa"/>
          </w:tcPr>
          <w:p w:rsidR="00791C88" w:rsidRDefault="00791C88" w:rsidP="00791C88">
            <w:pPr>
              <w:ind w:left="0" w:firstLine="0"/>
              <w:rPr>
                <w:rFonts w:cs="Century Gothic"/>
                <w:szCs w:val="22"/>
              </w:rPr>
            </w:pPr>
            <w:r>
              <w:rPr>
                <w:rFonts w:cs="Century Gothic"/>
                <w:noProof/>
                <w:szCs w:val="22"/>
              </w:rPr>
              <w:drawing>
                <wp:inline distT="0" distB="0" distL="0" distR="0">
                  <wp:extent cx="1659625" cy="1402255"/>
                  <wp:effectExtent l="19050" t="0" r="0" b="0"/>
                  <wp:docPr id="34" name="Obrázek 33" descr="B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8.jpg"/>
                          <pic:cNvPicPr/>
                        </pic:nvPicPr>
                        <pic:blipFill>
                          <a:blip r:embed="rId33"/>
                          <a:srcRect l="21330" t="16205" r="25265" b="16150"/>
                          <a:stretch>
                            <a:fillRect/>
                          </a:stretch>
                        </pic:blipFill>
                        <pic:spPr>
                          <a:xfrm>
                            <a:off x="0" y="0"/>
                            <a:ext cx="1662294" cy="1404510"/>
                          </a:xfrm>
                          <a:prstGeom prst="rect">
                            <a:avLst/>
                          </a:prstGeom>
                        </pic:spPr>
                      </pic:pic>
                    </a:graphicData>
                  </a:graphic>
                </wp:inline>
              </w:drawing>
            </w:r>
          </w:p>
        </w:tc>
        <w:tc>
          <w:tcPr>
            <w:tcW w:w="1984" w:type="dxa"/>
          </w:tcPr>
          <w:p w:rsidR="00791C88" w:rsidRPr="00791C88" w:rsidRDefault="00791C88" w:rsidP="00791C88">
            <w:pPr>
              <w:ind w:left="0" w:firstLine="0"/>
              <w:rPr>
                <w:rFonts w:cs="Century Gothic"/>
                <w:szCs w:val="22"/>
              </w:rPr>
            </w:pPr>
            <w:r>
              <w:rPr>
                <w:rFonts w:cs="Century Gothic"/>
                <w:szCs w:val="22"/>
              </w:rPr>
              <w:t xml:space="preserve">Vlevo kolonie </w:t>
            </w:r>
            <w:r>
              <w:rPr>
                <w:rFonts w:cs="Century Gothic"/>
                <w:i/>
                <w:szCs w:val="22"/>
              </w:rPr>
              <w:t xml:space="preserve">Aeromonas hydrophila </w:t>
            </w:r>
            <w:r w:rsidRPr="00791C88">
              <w:rPr>
                <w:rFonts w:cs="Century Gothic"/>
                <w:szCs w:val="22"/>
              </w:rPr>
              <w:t>na krevním agaru, vpravo</w:t>
            </w:r>
            <w:r>
              <w:rPr>
                <w:rFonts w:cs="Century Gothic"/>
                <w:szCs w:val="22"/>
              </w:rPr>
              <w:t xml:space="preserve"> zahnuté tyčinky</w:t>
            </w:r>
            <w:r>
              <w:rPr>
                <w:rFonts w:cs="Century Gothic"/>
                <w:i/>
                <w:szCs w:val="22"/>
              </w:rPr>
              <w:t xml:space="preserve"> Vibrio metschnikovii </w:t>
            </w:r>
            <w:r>
              <w:rPr>
                <w:rFonts w:cs="Century Gothic"/>
                <w:szCs w:val="22"/>
              </w:rPr>
              <w:t>v Gramově barvení</w:t>
            </w:r>
          </w:p>
        </w:tc>
        <w:tc>
          <w:tcPr>
            <w:tcW w:w="4411" w:type="dxa"/>
          </w:tcPr>
          <w:p w:rsidR="00791C88" w:rsidRDefault="00791C88" w:rsidP="00791C88">
            <w:pPr>
              <w:ind w:left="0" w:firstLine="0"/>
              <w:rPr>
                <w:rFonts w:cs="Century Gothic"/>
                <w:szCs w:val="22"/>
              </w:rPr>
            </w:pPr>
            <w:r>
              <w:rPr>
                <w:rFonts w:cs="Century Gothic"/>
                <w:noProof/>
                <w:szCs w:val="22"/>
              </w:rPr>
              <w:drawing>
                <wp:inline distT="0" distB="0" distL="0" distR="0">
                  <wp:extent cx="2553553" cy="1399031"/>
                  <wp:effectExtent l="19050" t="0" r="0" b="0"/>
                  <wp:docPr id="35" name="Obrázek 34" descr="B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9.jpg"/>
                          <pic:cNvPicPr/>
                        </pic:nvPicPr>
                        <pic:blipFill>
                          <a:blip r:embed="rId34">
                            <a:lum bright="-10000" contrast="30000"/>
                          </a:blip>
                          <a:srcRect l="25804" t="16760" r="25249" b="43016"/>
                          <a:stretch>
                            <a:fillRect/>
                          </a:stretch>
                        </pic:blipFill>
                        <pic:spPr>
                          <a:xfrm>
                            <a:off x="0" y="0"/>
                            <a:ext cx="2558567" cy="1401778"/>
                          </a:xfrm>
                          <a:prstGeom prst="rect">
                            <a:avLst/>
                          </a:prstGeom>
                        </pic:spPr>
                      </pic:pic>
                    </a:graphicData>
                  </a:graphic>
                </wp:inline>
              </w:drawing>
            </w:r>
          </w:p>
        </w:tc>
      </w:tr>
    </w:tbl>
    <w:p w:rsidR="00791C88" w:rsidRDefault="00791C88" w:rsidP="00791C88">
      <w:pPr>
        <w:ind w:left="360" w:firstLine="0"/>
        <w:rPr>
          <w:rFonts w:cs="Century Gothic"/>
          <w:szCs w:val="22"/>
        </w:rPr>
      </w:pPr>
    </w:p>
    <w:p w:rsidR="00521B96" w:rsidRDefault="00521B96">
      <w:pPr>
        <w:numPr>
          <w:ilvl w:val="0"/>
          <w:numId w:val="48"/>
        </w:numPr>
        <w:tabs>
          <w:tab w:val="clear" w:pos="927"/>
          <w:tab w:val="num" w:pos="720"/>
        </w:tabs>
        <w:ind w:left="720" w:hanging="360"/>
        <w:rPr>
          <w:rFonts w:cs="Century Gothic"/>
          <w:iCs/>
          <w:szCs w:val="22"/>
        </w:rPr>
      </w:pPr>
      <w:r>
        <w:rPr>
          <w:rFonts w:cs="Century Gothic"/>
          <w:b/>
          <w:i/>
          <w:iCs/>
          <w:szCs w:val="22"/>
        </w:rPr>
        <w:t>Legionella</w:t>
      </w:r>
      <w:r>
        <w:rPr>
          <w:rFonts w:cs="Century Gothic"/>
          <w:iCs/>
          <w:szCs w:val="22"/>
        </w:rPr>
        <w:t xml:space="preserve"> – původce legionářské nemoci (dýchací infekce seniorů, z vody a klimatizace)</w:t>
      </w:r>
    </w:p>
    <w:p w:rsidR="00521B96" w:rsidRDefault="00521B96">
      <w:pPr>
        <w:numPr>
          <w:ilvl w:val="0"/>
          <w:numId w:val="49"/>
        </w:numPr>
        <w:tabs>
          <w:tab w:val="clear" w:pos="927"/>
        </w:tabs>
        <w:ind w:left="720" w:hanging="360"/>
        <w:rPr>
          <w:rFonts w:cs="Century Gothic"/>
          <w:szCs w:val="22"/>
        </w:rPr>
      </w:pPr>
      <w:r>
        <w:rPr>
          <w:rFonts w:cs="Century Gothic"/>
          <w:b/>
          <w:i/>
          <w:iCs/>
          <w:szCs w:val="22"/>
        </w:rPr>
        <w:t>Bordetella</w:t>
      </w:r>
      <w:r>
        <w:rPr>
          <w:rFonts w:cs="Century Gothic"/>
          <w:iCs/>
          <w:szCs w:val="22"/>
        </w:rPr>
        <w:t xml:space="preserve"> – význam má především</w:t>
      </w:r>
      <w:r>
        <w:rPr>
          <w:rFonts w:cs="Century Gothic"/>
          <w:szCs w:val="22"/>
        </w:rPr>
        <w:t xml:space="preserve"> </w:t>
      </w:r>
      <w:r>
        <w:rPr>
          <w:rFonts w:cs="Century Gothic"/>
          <w:i/>
          <w:iCs/>
          <w:szCs w:val="22"/>
        </w:rPr>
        <w:t>Bordetella pertussis</w:t>
      </w:r>
      <w:r>
        <w:rPr>
          <w:rFonts w:cs="Century Gothic"/>
          <w:iCs/>
          <w:szCs w:val="22"/>
        </w:rPr>
        <w:t xml:space="preserve"> a </w:t>
      </w:r>
      <w:r>
        <w:rPr>
          <w:rFonts w:cs="Century Gothic"/>
          <w:i/>
          <w:iCs/>
          <w:szCs w:val="22"/>
        </w:rPr>
        <w:t xml:space="preserve">Bordetella parapertussis, </w:t>
      </w:r>
      <w:r>
        <w:rPr>
          <w:rFonts w:cs="Century Gothic"/>
          <w:szCs w:val="22"/>
        </w:rPr>
        <w:t>původci dávivého kašle</w:t>
      </w:r>
    </w:p>
    <w:p w:rsidR="00521B96" w:rsidRDefault="00521B96">
      <w:pPr>
        <w:numPr>
          <w:ilvl w:val="0"/>
          <w:numId w:val="49"/>
        </w:numPr>
        <w:tabs>
          <w:tab w:val="clear" w:pos="927"/>
        </w:tabs>
        <w:ind w:left="720" w:hanging="360"/>
        <w:rPr>
          <w:rFonts w:cs="Century Gothic"/>
          <w:szCs w:val="22"/>
        </w:rPr>
      </w:pPr>
      <w:r>
        <w:rPr>
          <w:rFonts w:cs="Century Gothic"/>
          <w:b/>
          <w:i/>
          <w:iCs/>
          <w:szCs w:val="22"/>
        </w:rPr>
        <w:t>Francisella</w:t>
      </w:r>
      <w:r>
        <w:rPr>
          <w:rFonts w:cs="Century Gothic"/>
          <w:szCs w:val="22"/>
        </w:rPr>
        <w:t xml:space="preserve"> – především </w:t>
      </w:r>
      <w:r>
        <w:rPr>
          <w:rFonts w:cs="Century Gothic"/>
          <w:i/>
          <w:iCs/>
          <w:szCs w:val="22"/>
        </w:rPr>
        <w:t>Francisella tularensis</w:t>
      </w:r>
      <w:r>
        <w:rPr>
          <w:rFonts w:cs="Century Gothic"/>
          <w:szCs w:val="22"/>
        </w:rPr>
        <w:t>, původce tularémie neboli zaječího moru</w:t>
      </w:r>
    </w:p>
    <w:p w:rsidR="00521B96" w:rsidRDefault="00521B96">
      <w:pPr>
        <w:pStyle w:val="Nadpis2"/>
      </w:pPr>
      <w:bookmarkStart w:id="12" w:name="_Toc342466757"/>
      <w:bookmarkStart w:id="13" w:name="_Toc342466832"/>
      <w:r>
        <w:t>3.5 Nejdůležitější anaeroby:</w:t>
      </w:r>
      <w:bookmarkEnd w:id="12"/>
      <w:bookmarkEnd w:id="13"/>
    </w:p>
    <w:p w:rsidR="00521B96" w:rsidRDefault="00521B96">
      <w:pPr>
        <w:pStyle w:val="Nadpis3"/>
      </w:pPr>
      <w:r>
        <w:t>3.5.1 Clostridium</w:t>
      </w:r>
    </w:p>
    <w:p w:rsidR="00521B96" w:rsidRDefault="00521B96">
      <w:pPr>
        <w:ind w:left="360" w:firstLine="0"/>
        <w:rPr>
          <w:rFonts w:cs="Century Gothic"/>
          <w:szCs w:val="22"/>
        </w:rPr>
      </w:pPr>
      <w:r>
        <w:rPr>
          <w:rFonts w:cs="Century Gothic"/>
          <w:szCs w:val="22"/>
        </w:rPr>
        <w:t>Jsou to grampozitivní sporulující tyčinky. Ve stádiu spory vydrží i v prostředí s kyslíkem.</w:t>
      </w:r>
    </w:p>
    <w:p w:rsidR="00521B96" w:rsidRDefault="00521B96">
      <w:pPr>
        <w:numPr>
          <w:ilvl w:val="0"/>
          <w:numId w:val="50"/>
        </w:numPr>
        <w:tabs>
          <w:tab w:val="clear" w:pos="927"/>
          <w:tab w:val="num" w:pos="720"/>
        </w:tabs>
        <w:ind w:left="720" w:hanging="360"/>
        <w:rPr>
          <w:rFonts w:cs="Century Gothic"/>
          <w:i/>
          <w:iCs/>
          <w:szCs w:val="22"/>
        </w:rPr>
      </w:pPr>
      <w:r>
        <w:rPr>
          <w:rFonts w:cs="Century Gothic"/>
          <w:b/>
          <w:i/>
          <w:iCs/>
          <w:szCs w:val="22"/>
        </w:rPr>
        <w:t>C. tetani</w:t>
      </w:r>
      <w:r>
        <w:rPr>
          <w:rFonts w:cs="Century Gothic"/>
          <w:i/>
          <w:iCs/>
          <w:szCs w:val="22"/>
        </w:rPr>
        <w:t xml:space="preserve"> </w:t>
      </w:r>
      <w:r>
        <w:rPr>
          <w:rFonts w:cs="Century Gothic"/>
          <w:iCs/>
          <w:szCs w:val="22"/>
        </w:rPr>
        <w:t>– původce tetanu (produkuje tetanické toxiny)</w:t>
      </w:r>
    </w:p>
    <w:p w:rsidR="00521B96" w:rsidRDefault="00521B96">
      <w:pPr>
        <w:numPr>
          <w:ilvl w:val="0"/>
          <w:numId w:val="50"/>
        </w:numPr>
        <w:tabs>
          <w:tab w:val="clear" w:pos="927"/>
          <w:tab w:val="num" w:pos="720"/>
        </w:tabs>
        <w:ind w:left="720" w:hanging="360"/>
        <w:rPr>
          <w:rFonts w:cs="Century Gothic"/>
          <w:iCs/>
          <w:szCs w:val="22"/>
        </w:rPr>
      </w:pPr>
      <w:r>
        <w:rPr>
          <w:rFonts w:cs="Century Gothic"/>
          <w:b/>
          <w:i/>
          <w:iCs/>
          <w:szCs w:val="22"/>
        </w:rPr>
        <w:t>C. botulinum</w:t>
      </w:r>
      <w:r>
        <w:rPr>
          <w:rFonts w:cs="Century Gothic"/>
          <w:iCs/>
          <w:szCs w:val="22"/>
        </w:rPr>
        <w:t xml:space="preserve"> – původce botulismu (produkuje botulotoxin – „klobásový jed“)</w:t>
      </w:r>
    </w:p>
    <w:p w:rsidR="00521B96" w:rsidRDefault="00521B96">
      <w:pPr>
        <w:numPr>
          <w:ilvl w:val="0"/>
          <w:numId w:val="50"/>
        </w:numPr>
        <w:tabs>
          <w:tab w:val="clear" w:pos="927"/>
          <w:tab w:val="num" w:pos="720"/>
        </w:tabs>
        <w:ind w:left="720" w:hanging="360"/>
        <w:rPr>
          <w:rFonts w:cs="Century Gothic"/>
          <w:iCs/>
          <w:szCs w:val="22"/>
        </w:rPr>
      </w:pPr>
      <w:r>
        <w:rPr>
          <w:rFonts w:cs="Century Gothic"/>
          <w:b/>
          <w:i/>
          <w:iCs/>
          <w:szCs w:val="22"/>
        </w:rPr>
        <w:t>C. difficile</w:t>
      </w:r>
      <w:r>
        <w:rPr>
          <w:rFonts w:cs="Century Gothic"/>
          <w:iCs/>
          <w:szCs w:val="22"/>
        </w:rPr>
        <w:t xml:space="preserve"> – jeho toxin způsobuje enterotoxikózu, především po léčbě širokospektrými (hlavně linkosamidovými) antibiotiky</w:t>
      </w:r>
    </w:p>
    <w:p w:rsidR="00521B96" w:rsidRDefault="00521B96" w:rsidP="00186F9F">
      <w:pPr>
        <w:numPr>
          <w:ilvl w:val="0"/>
          <w:numId w:val="50"/>
        </w:numPr>
        <w:tabs>
          <w:tab w:val="clear" w:pos="927"/>
          <w:tab w:val="num" w:pos="720"/>
        </w:tabs>
        <w:ind w:left="720" w:hanging="360"/>
        <w:rPr>
          <w:rFonts w:cs="Century Gothic"/>
          <w:szCs w:val="22"/>
        </w:rPr>
      </w:pPr>
      <w:r>
        <w:rPr>
          <w:rFonts w:cs="Century Gothic"/>
          <w:b/>
          <w:i/>
          <w:iCs/>
          <w:szCs w:val="22"/>
        </w:rPr>
        <w:t>C. perfringens</w:t>
      </w:r>
      <w:r>
        <w:rPr>
          <w:rFonts w:cs="Century Gothic"/>
          <w:szCs w:val="22"/>
        </w:rPr>
        <w:t xml:space="preserve"> a jiná tzv. „klostridia plynatých snětí – působí </w:t>
      </w:r>
      <w:r w:rsidR="00186F9F">
        <w:rPr>
          <w:rFonts w:cs="Century Gothic"/>
          <w:szCs w:val="22"/>
        </w:rPr>
        <w:t>plynatou sněť a enterotoxikózy.</w:t>
      </w:r>
    </w:p>
    <w:tbl>
      <w:tblPr>
        <w:tblStyle w:val="Mkatabulky"/>
        <w:tblW w:w="0" w:type="auto"/>
        <w:tblInd w:w="113" w:type="dxa"/>
        <w:tblLook w:val="04A0"/>
      </w:tblPr>
      <w:tblGrid>
        <w:gridCol w:w="5916"/>
        <w:gridCol w:w="3593"/>
      </w:tblGrid>
      <w:tr w:rsidR="00AF506B" w:rsidTr="00AF506B">
        <w:tc>
          <w:tcPr>
            <w:tcW w:w="5807" w:type="dxa"/>
          </w:tcPr>
          <w:p w:rsidR="00AF506B" w:rsidRDefault="00AF506B" w:rsidP="00AF506B">
            <w:pPr>
              <w:ind w:left="0" w:firstLine="0"/>
              <w:rPr>
                <w:rFonts w:cs="Century Gothic"/>
                <w:szCs w:val="22"/>
              </w:rPr>
            </w:pPr>
            <w:r>
              <w:rPr>
                <w:rFonts w:cs="Century Gothic"/>
                <w:noProof/>
                <w:szCs w:val="22"/>
              </w:rPr>
              <w:drawing>
                <wp:inline distT="0" distB="0" distL="0" distR="0">
                  <wp:extent cx="3597607" cy="1862453"/>
                  <wp:effectExtent l="19050" t="0" r="2843" b="0"/>
                  <wp:docPr id="50" name="Obrázek 49" descr="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01.jpg"/>
                          <pic:cNvPicPr/>
                        </pic:nvPicPr>
                        <pic:blipFill>
                          <a:blip r:embed="rId35"/>
                          <a:srcRect l="8575" t="13427" r="9196" b="22796"/>
                          <a:stretch>
                            <a:fillRect/>
                          </a:stretch>
                        </pic:blipFill>
                        <pic:spPr>
                          <a:xfrm>
                            <a:off x="0" y="0"/>
                            <a:ext cx="3602963" cy="1865226"/>
                          </a:xfrm>
                          <a:prstGeom prst="rect">
                            <a:avLst/>
                          </a:prstGeom>
                        </pic:spPr>
                      </pic:pic>
                    </a:graphicData>
                  </a:graphic>
                </wp:inline>
              </w:drawing>
            </w:r>
          </w:p>
        </w:tc>
        <w:tc>
          <w:tcPr>
            <w:tcW w:w="3702" w:type="dxa"/>
          </w:tcPr>
          <w:p w:rsidR="00C63EB8" w:rsidRDefault="00AF506B" w:rsidP="00C63EB8">
            <w:pPr>
              <w:ind w:left="0" w:firstLine="0"/>
              <w:rPr>
                <w:rFonts w:cs="Century Gothic"/>
                <w:szCs w:val="22"/>
              </w:rPr>
            </w:pPr>
            <w:r>
              <w:rPr>
                <w:rFonts w:cs="Century Gothic"/>
                <w:szCs w:val="22"/>
              </w:rPr>
              <w:t xml:space="preserve">Vlevo Gramem barvený preparát ze sliznice tenkého střeva pacienta, který zemřel účinkem toxinu </w:t>
            </w:r>
            <w:r w:rsidRPr="00C63EB8">
              <w:rPr>
                <w:rFonts w:cs="Century Gothic"/>
                <w:i/>
                <w:szCs w:val="22"/>
              </w:rPr>
              <w:t>Clostridium perfringens</w:t>
            </w:r>
            <w:r>
              <w:rPr>
                <w:rFonts w:cs="Century Gothic"/>
                <w:szCs w:val="22"/>
              </w:rPr>
              <w:t>. Velké grampozitivní tyčinky jsou právě tyto bakterie.</w:t>
            </w:r>
          </w:p>
          <w:p w:rsidR="00AF506B" w:rsidRDefault="00AF506B" w:rsidP="00C63EB8">
            <w:pPr>
              <w:ind w:left="0" w:firstLine="0"/>
              <w:rPr>
                <w:rFonts w:cs="Century Gothic"/>
                <w:szCs w:val="22"/>
              </w:rPr>
            </w:pPr>
            <w:r>
              <w:rPr>
                <w:rFonts w:cs="Century Gothic"/>
                <w:szCs w:val="22"/>
              </w:rPr>
              <w:t xml:space="preserve">Vlevo dole </w:t>
            </w:r>
            <w:r w:rsidR="00C63EB8">
              <w:rPr>
                <w:rFonts w:cs="Century Gothic"/>
                <w:szCs w:val="22"/>
              </w:rPr>
              <w:t xml:space="preserve">myš s obrnou svalů, způsobenou </w:t>
            </w:r>
            <w:r>
              <w:rPr>
                <w:rFonts w:cs="Century Gothic"/>
                <w:szCs w:val="22"/>
              </w:rPr>
              <w:t xml:space="preserve">botulotoxinem, vpravo dole </w:t>
            </w:r>
            <w:r w:rsidR="00C63EB8">
              <w:rPr>
                <w:rFonts w:cs="Century Gothic"/>
                <w:szCs w:val="22"/>
              </w:rPr>
              <w:t>m</w:t>
            </w:r>
            <w:r>
              <w:rPr>
                <w:rFonts w:cs="Century Gothic"/>
                <w:szCs w:val="22"/>
              </w:rPr>
              <w:t>yš</w:t>
            </w:r>
            <w:r w:rsidR="00C63EB8">
              <w:rPr>
                <w:rFonts w:cs="Century Gothic"/>
                <w:szCs w:val="22"/>
              </w:rPr>
              <w:t xml:space="preserve"> ve svalové křeči</w:t>
            </w:r>
            <w:r>
              <w:rPr>
                <w:rFonts w:cs="Century Gothic"/>
                <w:szCs w:val="22"/>
              </w:rPr>
              <w:t xml:space="preserve"> pod vlivem tetanického toxinu.</w:t>
            </w:r>
          </w:p>
        </w:tc>
      </w:tr>
      <w:tr w:rsidR="00AF506B" w:rsidTr="00AF506B">
        <w:tc>
          <w:tcPr>
            <w:tcW w:w="5807" w:type="dxa"/>
          </w:tcPr>
          <w:p w:rsidR="00AF506B" w:rsidRDefault="00AF506B" w:rsidP="00AF506B">
            <w:pPr>
              <w:ind w:left="0" w:firstLine="0"/>
              <w:rPr>
                <w:rFonts w:cs="Century Gothic"/>
                <w:noProof/>
                <w:szCs w:val="22"/>
              </w:rPr>
            </w:pPr>
            <w:r w:rsidRPr="00AF506B">
              <w:rPr>
                <w:rFonts w:cs="Century Gothic"/>
                <w:noProof/>
                <w:szCs w:val="22"/>
              </w:rPr>
              <w:drawing>
                <wp:inline distT="0" distB="0" distL="0" distR="0">
                  <wp:extent cx="3562213" cy="1508078"/>
                  <wp:effectExtent l="19050" t="0" r="137" b="0"/>
                  <wp:docPr id="53" name="Obrázek 51" descr="A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06.jpg"/>
                          <pic:cNvPicPr/>
                        </pic:nvPicPr>
                        <pic:blipFill>
                          <a:blip r:embed="rId36"/>
                          <a:srcRect t="21229" r="11931" b="22905"/>
                          <a:stretch>
                            <a:fillRect/>
                          </a:stretch>
                        </pic:blipFill>
                        <pic:spPr>
                          <a:xfrm>
                            <a:off x="0" y="0"/>
                            <a:ext cx="3562579" cy="1508233"/>
                          </a:xfrm>
                          <a:prstGeom prst="rect">
                            <a:avLst/>
                          </a:prstGeom>
                        </pic:spPr>
                      </pic:pic>
                    </a:graphicData>
                  </a:graphic>
                </wp:inline>
              </w:drawing>
            </w:r>
          </w:p>
        </w:tc>
        <w:tc>
          <w:tcPr>
            <w:tcW w:w="3702" w:type="dxa"/>
          </w:tcPr>
          <w:p w:rsidR="00AF506B" w:rsidRDefault="00AF506B" w:rsidP="00AF506B">
            <w:pPr>
              <w:ind w:left="0" w:firstLine="0"/>
              <w:rPr>
                <w:rFonts w:cs="Century Gothic"/>
                <w:noProof/>
                <w:szCs w:val="22"/>
              </w:rPr>
            </w:pPr>
            <w:r w:rsidRPr="00AF506B">
              <w:rPr>
                <w:rFonts w:cs="Century Gothic"/>
                <w:noProof/>
                <w:szCs w:val="22"/>
              </w:rPr>
              <w:drawing>
                <wp:inline distT="0" distB="0" distL="0" distR="0">
                  <wp:extent cx="1721040" cy="1474842"/>
                  <wp:effectExtent l="19050" t="0" r="0" b="0"/>
                  <wp:docPr id="54" name="Obrázek 50" descr="AN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05.jpg"/>
                          <pic:cNvPicPr/>
                        </pic:nvPicPr>
                        <pic:blipFill>
                          <a:blip r:embed="rId37"/>
                          <a:srcRect l="12754" t="4469" r="18862" b="7821"/>
                          <a:stretch>
                            <a:fillRect/>
                          </a:stretch>
                        </pic:blipFill>
                        <pic:spPr>
                          <a:xfrm>
                            <a:off x="0" y="0"/>
                            <a:ext cx="1721260" cy="1475031"/>
                          </a:xfrm>
                          <a:prstGeom prst="rect">
                            <a:avLst/>
                          </a:prstGeom>
                        </pic:spPr>
                      </pic:pic>
                    </a:graphicData>
                  </a:graphic>
                </wp:inline>
              </w:drawing>
            </w:r>
          </w:p>
        </w:tc>
      </w:tr>
    </w:tbl>
    <w:p w:rsidR="00521B96" w:rsidRDefault="00521B96">
      <w:pPr>
        <w:pStyle w:val="Nadpis3"/>
      </w:pPr>
      <w:r>
        <w:lastRenderedPageBreak/>
        <w:t>3.5.2 Actinomyces</w:t>
      </w:r>
    </w:p>
    <w:p w:rsidR="00521B96" w:rsidRDefault="00521B96">
      <w:r>
        <w:rPr>
          <w:bCs/>
        </w:rPr>
        <w:t>Jsou to</w:t>
      </w:r>
      <w:r>
        <w:rPr>
          <w:b/>
          <w:bCs/>
          <w:i/>
        </w:rPr>
        <w:t xml:space="preserve"> </w:t>
      </w:r>
      <w:r>
        <w:t>grampozitivní dlouhé tyčinky až větvená vlákna – způsobuje aktinomykózu (pozor, neplést s houbovou infekcí – mykózou). Aktinomycety se běžně vyskytují v ústní dutině a podílejí se na patogenních procesech nejen zde (viz kapitoly 13 a 14), ale i v měkkých tkáních v okolí (tkáně krku) i jinde (například v oblasti hrudníku). Tradičně se aktinomycety považují za anaeroby, ale ve skutečnosti jsou mikroaerofilní. Ovšem nízká množství kyslíku v nedokonale anaerobním prostředí běžných anaerobních boxů mikrobiologických laboratoří jim vyhovují.</w:t>
      </w:r>
    </w:p>
    <w:tbl>
      <w:tblPr>
        <w:tblStyle w:val="Mkatabulky"/>
        <w:tblW w:w="0" w:type="auto"/>
        <w:tblInd w:w="113" w:type="dxa"/>
        <w:tblLook w:val="04A0"/>
      </w:tblPr>
      <w:tblGrid>
        <w:gridCol w:w="3486"/>
        <w:gridCol w:w="3186"/>
        <w:gridCol w:w="2837"/>
      </w:tblGrid>
      <w:tr w:rsidR="00C63EB8" w:rsidTr="00C63EB8">
        <w:tc>
          <w:tcPr>
            <w:tcW w:w="3182" w:type="dxa"/>
          </w:tcPr>
          <w:p w:rsidR="00C63EB8" w:rsidRDefault="00C63EB8">
            <w:pPr>
              <w:ind w:left="0" w:firstLine="0"/>
            </w:pPr>
            <w:r>
              <w:rPr>
                <w:noProof/>
              </w:rPr>
              <w:drawing>
                <wp:inline distT="0" distB="0" distL="0" distR="0">
                  <wp:extent cx="2052132" cy="1016758"/>
                  <wp:effectExtent l="19050" t="0" r="5268" b="0"/>
                  <wp:docPr id="55" name="Obrázek 54" descr="AN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40.jpg"/>
                          <pic:cNvPicPr/>
                        </pic:nvPicPr>
                        <pic:blipFill>
                          <a:blip r:embed="rId38">
                            <a:lum bright="20000" contrast="20000"/>
                          </a:blip>
                          <a:srcRect l="19838" t="14556" r="30391" b="48495"/>
                          <a:stretch>
                            <a:fillRect/>
                          </a:stretch>
                        </pic:blipFill>
                        <pic:spPr>
                          <a:xfrm>
                            <a:off x="0" y="0"/>
                            <a:ext cx="2054597" cy="1017979"/>
                          </a:xfrm>
                          <a:prstGeom prst="rect">
                            <a:avLst/>
                          </a:prstGeom>
                        </pic:spPr>
                      </pic:pic>
                    </a:graphicData>
                  </a:graphic>
                </wp:inline>
              </w:drawing>
            </w:r>
          </w:p>
        </w:tc>
        <w:tc>
          <w:tcPr>
            <w:tcW w:w="3182" w:type="dxa"/>
          </w:tcPr>
          <w:p w:rsidR="00C63EB8" w:rsidRDefault="00C63EB8">
            <w:pPr>
              <w:ind w:left="0" w:firstLine="0"/>
            </w:pPr>
            <w:r>
              <w:rPr>
                <w:noProof/>
              </w:rPr>
              <w:drawing>
                <wp:inline distT="0" distB="0" distL="0" distR="0">
                  <wp:extent cx="1861865" cy="1016758"/>
                  <wp:effectExtent l="19050" t="0" r="5035" b="0"/>
                  <wp:docPr id="56" name="Obrázek 55" descr="AN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41.jpg"/>
                          <pic:cNvPicPr/>
                        </pic:nvPicPr>
                        <pic:blipFill>
                          <a:blip r:embed="rId39">
                            <a:lum bright="20000" contrast="20000"/>
                          </a:blip>
                          <a:srcRect l="28414" t="18436" r="31915" b="49162"/>
                          <a:stretch>
                            <a:fillRect/>
                          </a:stretch>
                        </pic:blipFill>
                        <pic:spPr>
                          <a:xfrm>
                            <a:off x="0" y="0"/>
                            <a:ext cx="1861865" cy="1016758"/>
                          </a:xfrm>
                          <a:prstGeom prst="rect">
                            <a:avLst/>
                          </a:prstGeom>
                        </pic:spPr>
                      </pic:pic>
                    </a:graphicData>
                  </a:graphic>
                </wp:inline>
              </w:drawing>
            </w:r>
          </w:p>
        </w:tc>
        <w:tc>
          <w:tcPr>
            <w:tcW w:w="3182" w:type="dxa"/>
          </w:tcPr>
          <w:p w:rsidR="00C63EB8" w:rsidRPr="00C63EB8" w:rsidRDefault="00C63EB8">
            <w:pPr>
              <w:ind w:left="0" w:firstLine="0"/>
            </w:pPr>
            <w:r>
              <w:t xml:space="preserve">Vlevo grampozitivní větvená vlákna </w:t>
            </w:r>
            <w:r>
              <w:rPr>
                <w:i/>
              </w:rPr>
              <w:t>Actimomyces bovis</w:t>
            </w:r>
            <w:r>
              <w:t xml:space="preserve"> ve vzorku z tkáně, vpravo </w:t>
            </w:r>
            <w:r>
              <w:rPr>
                <w:i/>
              </w:rPr>
              <w:t>Actinomyces israelii,</w:t>
            </w:r>
            <w:r>
              <w:t xml:space="preserve"> v obou případech barvení Gramem</w:t>
            </w:r>
          </w:p>
        </w:tc>
      </w:tr>
    </w:tbl>
    <w:p w:rsidR="00521B96" w:rsidRDefault="00521B96">
      <w:pPr>
        <w:pStyle w:val="Nadpis3"/>
      </w:pPr>
      <w:r>
        <w:t xml:space="preserve">3.5.3 Ostatní anaeroby </w:t>
      </w:r>
    </w:p>
    <w:p w:rsidR="00521B96" w:rsidRDefault="00521B96">
      <w:r>
        <w:t>Většinou působí ve směsi. Jejich názvy nejsou zvlášť důležité. Mohou to být grampozitivní tyčinky (</w:t>
      </w:r>
      <w:r>
        <w:rPr>
          <w:i/>
        </w:rPr>
        <w:t>Propionibacterium</w:t>
      </w:r>
      <w:r>
        <w:t>) či koky (</w:t>
      </w:r>
      <w:r>
        <w:rPr>
          <w:i/>
        </w:rPr>
        <w:t>Peptococcus</w:t>
      </w:r>
      <w:r>
        <w:t>), nebo také tyčinky (</w:t>
      </w:r>
      <w:r>
        <w:rPr>
          <w:i/>
        </w:rPr>
        <w:t>Bacteroides, Prevotella, Fusobacterium</w:t>
      </w:r>
      <w:r>
        <w:t>) či koky (</w:t>
      </w:r>
      <w:r>
        <w:rPr>
          <w:i/>
        </w:rPr>
        <w:t>Veillonella</w:t>
      </w:r>
      <w:r>
        <w:t>) gramnegativní.</w:t>
      </w:r>
    </w:p>
    <w:p w:rsidR="00521B96" w:rsidRDefault="00521B96">
      <w:r>
        <w:t xml:space="preserve">Anaerobní bakterie se běžně vyskytují v ústní dutině; nejdůležitější jsou zde rody </w:t>
      </w:r>
      <w:r>
        <w:rPr>
          <w:i/>
        </w:rPr>
        <w:t>Prevotella</w:t>
      </w:r>
      <w:r>
        <w:t xml:space="preserve"> a </w:t>
      </w:r>
      <w:r>
        <w:rPr>
          <w:i/>
        </w:rPr>
        <w:t>Porphyromonas</w:t>
      </w:r>
      <w:r>
        <w:t xml:space="preserve">. Za zvláště významnou se považují bakterie </w:t>
      </w:r>
      <w:r>
        <w:rPr>
          <w:i/>
        </w:rPr>
        <w:t>Porphyromonas gingivalis</w:t>
      </w:r>
      <w:r>
        <w:t xml:space="preserve"> a </w:t>
      </w:r>
      <w:r>
        <w:rPr>
          <w:i/>
        </w:rPr>
        <w:t>Tanerella forsythia</w:t>
      </w:r>
      <w:r>
        <w:t>, které jsou součástí takzvaného červeného komplexu (red komplex); tento komplex zahrnuje bakterie, které jsou pravděpodobně velmi rizikové z hlediska onemocnění závěsného aparátu zubů.</w:t>
      </w:r>
    </w:p>
    <w:tbl>
      <w:tblPr>
        <w:tblStyle w:val="Mkatabulky"/>
        <w:tblW w:w="0" w:type="auto"/>
        <w:tblInd w:w="113" w:type="dxa"/>
        <w:tblLook w:val="04A0"/>
      </w:tblPr>
      <w:tblGrid>
        <w:gridCol w:w="3156"/>
        <w:gridCol w:w="3966"/>
        <w:gridCol w:w="2387"/>
      </w:tblGrid>
      <w:tr w:rsidR="00AF506B" w:rsidTr="00AF506B">
        <w:tc>
          <w:tcPr>
            <w:tcW w:w="3182" w:type="dxa"/>
          </w:tcPr>
          <w:p w:rsidR="00AF506B" w:rsidRDefault="00C63EB8">
            <w:pPr>
              <w:ind w:left="0" w:firstLine="0"/>
            </w:pPr>
            <w:r>
              <w:rPr>
                <w:noProof/>
              </w:rPr>
              <w:drawing>
                <wp:inline distT="0" distB="0" distL="0" distR="0">
                  <wp:extent cx="1837046" cy="1317666"/>
                  <wp:effectExtent l="19050" t="0" r="0" b="0"/>
                  <wp:docPr id="57" name="Obrázek 56" descr="AN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15.jpg"/>
                          <pic:cNvPicPr/>
                        </pic:nvPicPr>
                        <pic:blipFill>
                          <a:blip r:embed="rId40"/>
                          <a:srcRect l="23940" t="20140" r="24132" b="23914"/>
                          <a:stretch>
                            <a:fillRect/>
                          </a:stretch>
                        </pic:blipFill>
                        <pic:spPr>
                          <a:xfrm>
                            <a:off x="0" y="0"/>
                            <a:ext cx="1841025" cy="1320520"/>
                          </a:xfrm>
                          <a:prstGeom prst="rect">
                            <a:avLst/>
                          </a:prstGeom>
                        </pic:spPr>
                      </pic:pic>
                    </a:graphicData>
                  </a:graphic>
                </wp:inline>
              </w:drawing>
            </w:r>
          </w:p>
        </w:tc>
        <w:tc>
          <w:tcPr>
            <w:tcW w:w="3182" w:type="dxa"/>
          </w:tcPr>
          <w:p w:rsidR="00AF506B" w:rsidRDefault="00C63EB8">
            <w:pPr>
              <w:ind w:left="0" w:firstLine="0"/>
            </w:pPr>
            <w:r>
              <w:rPr>
                <w:noProof/>
              </w:rPr>
              <w:drawing>
                <wp:inline distT="0" distB="0" distL="0" distR="0">
                  <wp:extent cx="2353239" cy="1317009"/>
                  <wp:effectExtent l="19050" t="0" r="8961" b="0"/>
                  <wp:docPr id="58" name="Obrázek 57" descr="AN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16.jpg"/>
                          <pic:cNvPicPr/>
                        </pic:nvPicPr>
                        <pic:blipFill>
                          <a:blip r:embed="rId41"/>
                          <a:srcRect l="6416" t="11732" r="53615" b="54748"/>
                          <a:stretch>
                            <a:fillRect/>
                          </a:stretch>
                        </pic:blipFill>
                        <pic:spPr>
                          <a:xfrm>
                            <a:off x="0" y="0"/>
                            <a:ext cx="2353239" cy="1317009"/>
                          </a:xfrm>
                          <a:prstGeom prst="rect">
                            <a:avLst/>
                          </a:prstGeom>
                        </pic:spPr>
                      </pic:pic>
                    </a:graphicData>
                  </a:graphic>
                </wp:inline>
              </w:drawing>
            </w:r>
          </w:p>
        </w:tc>
        <w:tc>
          <w:tcPr>
            <w:tcW w:w="3182" w:type="dxa"/>
          </w:tcPr>
          <w:p w:rsidR="00AF506B" w:rsidRDefault="00C63EB8">
            <w:pPr>
              <w:ind w:left="0" w:firstLine="0"/>
            </w:pPr>
            <w:r>
              <w:t xml:space="preserve">Gramem barvené preparáty gramnegativních anaerobních tyčinek </w:t>
            </w:r>
            <w:r w:rsidRPr="00C63EB8">
              <w:rPr>
                <w:i/>
              </w:rPr>
              <w:t>Fusobacterium</w:t>
            </w:r>
            <w:r>
              <w:t xml:space="preserve"> sp. (vlevo) a </w:t>
            </w:r>
            <w:r w:rsidRPr="00C63EB8">
              <w:rPr>
                <w:i/>
              </w:rPr>
              <w:t>Bacteroides</w:t>
            </w:r>
            <w:r>
              <w:t xml:space="preserve"> sp. (vpravo).</w:t>
            </w:r>
          </w:p>
        </w:tc>
      </w:tr>
    </w:tbl>
    <w:p w:rsidR="00521B96" w:rsidRDefault="00521B96">
      <w:pPr>
        <w:pStyle w:val="Nadpis2"/>
      </w:pPr>
      <w:bookmarkStart w:id="14" w:name="_Toc342466758"/>
      <w:bookmarkStart w:id="15" w:name="_Toc342466833"/>
      <w:r>
        <w:t>3.6 Nejdůležitější spirochety:</w:t>
      </w:r>
      <w:bookmarkEnd w:id="14"/>
      <w:bookmarkEnd w:id="15"/>
    </w:p>
    <w:p w:rsidR="00521B96" w:rsidRDefault="00521B96">
      <w:pPr>
        <w:pStyle w:val="Nadpis3"/>
      </w:pPr>
      <w:r>
        <w:t>3.6.1 Treponema</w:t>
      </w:r>
    </w:p>
    <w:p w:rsidR="00521B96" w:rsidRDefault="00521B96">
      <w:r>
        <w:t xml:space="preserve">Nejvýznamnější je druh </w:t>
      </w:r>
      <w:r>
        <w:rPr>
          <w:i/>
          <w:iCs/>
        </w:rPr>
        <w:t>T. pallidum</w:t>
      </w:r>
      <w:r>
        <w:t xml:space="preserve"> – původce syfilis (pohlavně přenosná celková nemoc). Z hlediska orální mikrobiologie je velmi významným druhem </w:t>
      </w:r>
      <w:r>
        <w:rPr>
          <w:i/>
        </w:rPr>
        <w:t>Treponema denticola,</w:t>
      </w:r>
      <w:r>
        <w:t xml:space="preserve"> která je třetím druhem z trojice, podílející se na „červeném komplexu“.</w:t>
      </w:r>
    </w:p>
    <w:p w:rsidR="00521B96" w:rsidRDefault="00521B96">
      <w:pPr>
        <w:pStyle w:val="Nadpis3"/>
      </w:pPr>
      <w:r>
        <w:t>3.6.2 Borrelia</w:t>
      </w:r>
    </w:p>
    <w:p w:rsidR="00521B96" w:rsidRDefault="00521B96">
      <w:r>
        <w:t xml:space="preserve">Patří sem </w:t>
      </w:r>
      <w:proofErr w:type="gramStart"/>
      <w:r>
        <w:t xml:space="preserve">druh </w:t>
      </w:r>
      <w:r>
        <w:rPr>
          <w:i/>
          <w:iCs/>
        </w:rPr>
        <w:t>B. burgdorferi</w:t>
      </w:r>
      <w:proofErr w:type="gramEnd"/>
      <w:r>
        <w:rPr>
          <w:iCs/>
        </w:rPr>
        <w:t xml:space="preserve"> sensu lato</w:t>
      </w:r>
      <w:r>
        <w:t xml:space="preserve">, který se rozpadá na několik druhů „v užším slova smyslu“, u nás se vyskytuje hlavně </w:t>
      </w:r>
      <w:r>
        <w:rPr>
          <w:i/>
          <w:iCs/>
        </w:rPr>
        <w:t>B. afzelii</w:t>
      </w:r>
      <w:r>
        <w:t xml:space="preserve"> a </w:t>
      </w:r>
      <w:r>
        <w:rPr>
          <w:i/>
          <w:iCs/>
        </w:rPr>
        <w:t>B. garinii</w:t>
      </w:r>
      <w:r>
        <w:t>. Všechny tyto druhy jsou původci lymeské boreliózy (klíšťaty přenášená infekce, projevující se v počátečních stádiích červenými skvrnami a postihující hlavně nervovou soustavu, případně klouby)</w:t>
      </w:r>
    </w:p>
    <w:p w:rsidR="00521B96" w:rsidRDefault="00521B96">
      <w:pPr>
        <w:pStyle w:val="Nadpis3"/>
      </w:pPr>
      <w:r>
        <w:t>3.6.3 Leptospira</w:t>
      </w:r>
    </w:p>
    <w:p w:rsidR="00521B96" w:rsidRDefault="00521B96">
      <w:r>
        <w:t>Je to původce leptospirózy (infekce ran či dýchacích cest, zpravidla od potkanů a jiných hlodavců, člověk se nakazí přímým kontaktem nebo konzumací potřísněných potravin)</w:t>
      </w:r>
    </w:p>
    <w:tbl>
      <w:tblPr>
        <w:tblStyle w:val="Mkatabulky"/>
        <w:tblW w:w="0" w:type="auto"/>
        <w:tblInd w:w="113" w:type="dxa"/>
        <w:tblLook w:val="04A0"/>
      </w:tblPr>
      <w:tblGrid>
        <w:gridCol w:w="3606"/>
        <w:gridCol w:w="2214"/>
        <w:gridCol w:w="3689"/>
      </w:tblGrid>
      <w:tr w:rsidR="001A4B21" w:rsidTr="001A4B21">
        <w:tc>
          <w:tcPr>
            <w:tcW w:w="3606" w:type="dxa"/>
          </w:tcPr>
          <w:p w:rsidR="001A4B21" w:rsidRDefault="001A4B21">
            <w:pPr>
              <w:ind w:left="0" w:firstLine="0"/>
            </w:pPr>
            <w:r>
              <w:rPr>
                <w:noProof/>
              </w:rPr>
              <w:lastRenderedPageBreak/>
              <w:drawing>
                <wp:inline distT="0" distB="0" distL="0" distR="0">
                  <wp:extent cx="2130472" cy="1676038"/>
                  <wp:effectExtent l="19050" t="0" r="3128" b="0"/>
                  <wp:docPr id="45" name="Obrázek 44" descr="B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8.jpg"/>
                          <pic:cNvPicPr/>
                        </pic:nvPicPr>
                        <pic:blipFill>
                          <a:blip r:embed="rId42"/>
                          <a:srcRect l="16483" t="11187" r="18175" b="11623"/>
                          <a:stretch>
                            <a:fillRect/>
                          </a:stretch>
                        </pic:blipFill>
                        <pic:spPr>
                          <a:xfrm>
                            <a:off x="0" y="0"/>
                            <a:ext cx="2130472" cy="1676038"/>
                          </a:xfrm>
                          <a:prstGeom prst="rect">
                            <a:avLst/>
                          </a:prstGeom>
                        </pic:spPr>
                      </pic:pic>
                    </a:graphicData>
                  </a:graphic>
                </wp:inline>
              </w:drawing>
            </w:r>
          </w:p>
        </w:tc>
        <w:tc>
          <w:tcPr>
            <w:tcW w:w="2214" w:type="dxa"/>
          </w:tcPr>
          <w:p w:rsidR="001A4B21" w:rsidRDefault="001A4B21">
            <w:pPr>
              <w:ind w:left="0" w:firstLine="0"/>
            </w:pPr>
            <w:r>
              <w:t xml:space="preserve">Erythema migrans – červená skvrna v místě přisátí klíštěte (vlevo);  </w:t>
            </w:r>
            <w:r w:rsidRPr="001A4B21">
              <w:rPr>
                <w:i/>
              </w:rPr>
              <w:t>Leptospira interrogans</w:t>
            </w:r>
            <w:r>
              <w:t xml:space="preserve"> ser. Icterohemorrhagiae v řezu ze psích jater</w:t>
            </w:r>
          </w:p>
        </w:tc>
        <w:tc>
          <w:tcPr>
            <w:tcW w:w="3689" w:type="dxa"/>
          </w:tcPr>
          <w:p w:rsidR="001A4B21" w:rsidRDefault="001A4B21">
            <w:pPr>
              <w:ind w:left="0" w:firstLine="0"/>
            </w:pPr>
            <w:r>
              <w:rPr>
                <w:noProof/>
              </w:rPr>
              <w:drawing>
                <wp:inline distT="0" distB="0" distL="0" distR="0">
                  <wp:extent cx="2179443" cy="1596788"/>
                  <wp:effectExtent l="19050" t="0" r="0" b="0"/>
                  <wp:docPr id="46" name="Obrázek 45" descr="B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6.jpg"/>
                          <pic:cNvPicPr/>
                        </pic:nvPicPr>
                        <pic:blipFill>
                          <a:blip r:embed="rId43"/>
                          <a:srcRect l="10890" t="16201" r="39824" b="29609"/>
                          <a:stretch>
                            <a:fillRect/>
                          </a:stretch>
                        </pic:blipFill>
                        <pic:spPr>
                          <a:xfrm>
                            <a:off x="0" y="0"/>
                            <a:ext cx="2182512" cy="1599036"/>
                          </a:xfrm>
                          <a:prstGeom prst="rect">
                            <a:avLst/>
                          </a:prstGeom>
                        </pic:spPr>
                      </pic:pic>
                    </a:graphicData>
                  </a:graphic>
                </wp:inline>
              </w:drawing>
            </w:r>
          </w:p>
        </w:tc>
      </w:tr>
    </w:tbl>
    <w:p w:rsidR="001A4B21" w:rsidRDefault="001A4B21"/>
    <w:p w:rsidR="00521B96" w:rsidRDefault="00521B96">
      <w:pPr>
        <w:pStyle w:val="Nadpis2"/>
      </w:pPr>
      <w:bookmarkStart w:id="16" w:name="_Toc342466759"/>
      <w:bookmarkStart w:id="17" w:name="_Toc342466834"/>
      <w:r>
        <w:t>3.7 Nejdůležitější z ostatních bakterií:</w:t>
      </w:r>
      <w:bookmarkEnd w:id="16"/>
      <w:bookmarkEnd w:id="17"/>
    </w:p>
    <w:p w:rsidR="00521B96" w:rsidRDefault="00521B96">
      <w:pPr>
        <w:pStyle w:val="Nadpis3"/>
      </w:pPr>
      <w:r>
        <w:t>3.7.1 Mykobakteria</w:t>
      </w:r>
    </w:p>
    <w:p w:rsidR="00521B96" w:rsidRDefault="00521B96">
      <w:r>
        <w:t>Tyto bakterie mají atypickou buněčnou stěnu, obsahující vosky; špatně na ně proto působí všechno, co je rozpuštěno ve vodě (kyseliny, louhy, barviva, běžná antibiotika, mnohé desinfekční prostředky). Takovým bakteriím říkáme acidorezistentní. Částečně acidorezistentní jsou i aktinomycety a nokardie.</w:t>
      </w:r>
    </w:p>
    <w:p w:rsidR="00521B96" w:rsidRDefault="00521B96">
      <w:pPr>
        <w:numPr>
          <w:ilvl w:val="0"/>
          <w:numId w:val="52"/>
        </w:numPr>
        <w:rPr>
          <w:rFonts w:cs="Century Gothic"/>
          <w:szCs w:val="22"/>
        </w:rPr>
      </w:pPr>
      <w:r>
        <w:rPr>
          <w:rFonts w:cs="Century Gothic"/>
          <w:b/>
          <w:i/>
          <w:szCs w:val="22"/>
        </w:rPr>
        <w:t>M. tuberculosis</w:t>
      </w:r>
      <w:r>
        <w:rPr>
          <w:rFonts w:cs="Century Gothic"/>
          <w:szCs w:val="22"/>
        </w:rPr>
        <w:t xml:space="preserve"> – původce tuberkulózy (TBC mohou vzácně způsobovat i jiné druhy)</w:t>
      </w:r>
    </w:p>
    <w:p w:rsidR="00521B96" w:rsidRDefault="00521B96">
      <w:pPr>
        <w:numPr>
          <w:ilvl w:val="0"/>
          <w:numId w:val="51"/>
        </w:numPr>
        <w:tabs>
          <w:tab w:val="clear" w:pos="927"/>
          <w:tab w:val="num" w:pos="720"/>
        </w:tabs>
        <w:ind w:left="720" w:hanging="360"/>
        <w:rPr>
          <w:rFonts w:cs="Century Gothic"/>
          <w:szCs w:val="22"/>
        </w:rPr>
      </w:pPr>
      <w:r>
        <w:rPr>
          <w:rFonts w:cs="Century Gothic"/>
          <w:b/>
          <w:i/>
          <w:szCs w:val="22"/>
        </w:rPr>
        <w:t>M. leprae</w:t>
      </w:r>
      <w:r>
        <w:rPr>
          <w:rFonts w:cs="Century Gothic"/>
          <w:szCs w:val="22"/>
        </w:rPr>
        <w:t xml:space="preserve"> – původce lepry (nemoc, která stále ohrožuje obyvatelstvo tropů)</w:t>
      </w:r>
    </w:p>
    <w:p w:rsidR="00521B96" w:rsidRDefault="00521B96">
      <w:pPr>
        <w:numPr>
          <w:ilvl w:val="0"/>
          <w:numId w:val="51"/>
        </w:numPr>
        <w:tabs>
          <w:tab w:val="clear" w:pos="927"/>
          <w:tab w:val="num" w:pos="720"/>
        </w:tabs>
        <w:ind w:left="720" w:hanging="360"/>
        <w:rPr>
          <w:rFonts w:cs="Century Gothic"/>
          <w:szCs w:val="22"/>
        </w:rPr>
      </w:pPr>
      <w:r>
        <w:rPr>
          <w:rFonts w:cs="Century Gothic"/>
          <w:b/>
          <w:szCs w:val="22"/>
        </w:rPr>
        <w:t>Atypická mykobakteria</w:t>
      </w:r>
      <w:r>
        <w:rPr>
          <w:rFonts w:cs="Century Gothic"/>
          <w:szCs w:val="22"/>
        </w:rPr>
        <w:t xml:space="preserve"> mohou způsobovat různé typy infekcí, především infekce ran například u akvaristů, plavců a podobně</w:t>
      </w:r>
    </w:p>
    <w:p w:rsidR="00521B96" w:rsidRDefault="00521B96">
      <w:pPr>
        <w:numPr>
          <w:ilvl w:val="0"/>
          <w:numId w:val="51"/>
        </w:numPr>
        <w:tabs>
          <w:tab w:val="clear" w:pos="927"/>
          <w:tab w:val="num" w:pos="720"/>
        </w:tabs>
        <w:ind w:left="720" w:hanging="360"/>
        <w:rPr>
          <w:rFonts w:cs="Century Gothic"/>
          <w:szCs w:val="22"/>
        </w:rPr>
      </w:pPr>
      <w:r>
        <w:rPr>
          <w:rFonts w:cs="Century Gothic"/>
          <w:b/>
          <w:szCs w:val="22"/>
        </w:rPr>
        <w:t>Nepatogenní mykobakteria</w:t>
      </w:r>
      <w:r>
        <w:rPr>
          <w:rFonts w:cs="Century Gothic"/>
          <w:szCs w:val="22"/>
        </w:rPr>
        <w:t xml:space="preserve"> se nacházejí na různých místech těla (například</w:t>
      </w:r>
      <w:r>
        <w:rPr>
          <w:rFonts w:cs="Century Gothic"/>
          <w:i/>
          <w:szCs w:val="22"/>
        </w:rPr>
        <w:t xml:space="preserve"> M. smegmatis</w:t>
      </w:r>
      <w:r>
        <w:rPr>
          <w:rFonts w:cs="Century Gothic"/>
          <w:szCs w:val="22"/>
        </w:rPr>
        <w:t xml:space="preserve"> v předkožkovém vaku muže). Některá mykobakteria se podílí i na ústním biofilmu.</w:t>
      </w:r>
    </w:p>
    <w:tbl>
      <w:tblPr>
        <w:tblStyle w:val="Mkatabulky"/>
        <w:tblW w:w="0" w:type="auto"/>
        <w:tblInd w:w="113" w:type="dxa"/>
        <w:tblLook w:val="04A0"/>
      </w:tblPr>
      <w:tblGrid>
        <w:gridCol w:w="3977"/>
        <w:gridCol w:w="5532"/>
      </w:tblGrid>
      <w:tr w:rsidR="002F1A34" w:rsidTr="0057016D">
        <w:tc>
          <w:tcPr>
            <w:tcW w:w="3964" w:type="dxa"/>
          </w:tcPr>
          <w:p w:rsidR="002F1A34" w:rsidRDefault="002F1A34" w:rsidP="002F1A34">
            <w:pPr>
              <w:ind w:left="0" w:firstLine="0"/>
              <w:rPr>
                <w:rFonts w:cs="Century Gothic"/>
                <w:szCs w:val="22"/>
              </w:rPr>
            </w:pPr>
            <w:r>
              <w:rPr>
                <w:rFonts w:cs="Century Gothic"/>
                <w:noProof/>
                <w:szCs w:val="22"/>
              </w:rPr>
              <w:drawing>
                <wp:inline distT="0" distB="0" distL="0" distR="0">
                  <wp:extent cx="2368565" cy="1467134"/>
                  <wp:effectExtent l="19050" t="0" r="0" b="0"/>
                  <wp:docPr id="59" name="Obrázek 58" desc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02.jpg"/>
                          <pic:cNvPicPr/>
                        </pic:nvPicPr>
                        <pic:blipFill>
                          <a:blip r:embed="rId44"/>
                          <a:srcRect l="8280" t="17899" r="15941" b="11623"/>
                          <a:stretch>
                            <a:fillRect/>
                          </a:stretch>
                        </pic:blipFill>
                        <pic:spPr>
                          <a:xfrm>
                            <a:off x="0" y="0"/>
                            <a:ext cx="2375542" cy="1471456"/>
                          </a:xfrm>
                          <a:prstGeom prst="rect">
                            <a:avLst/>
                          </a:prstGeom>
                        </pic:spPr>
                      </pic:pic>
                    </a:graphicData>
                  </a:graphic>
                </wp:inline>
              </w:drawing>
            </w:r>
          </w:p>
        </w:tc>
        <w:tc>
          <w:tcPr>
            <w:tcW w:w="5545" w:type="dxa"/>
          </w:tcPr>
          <w:p w:rsidR="002F1A34" w:rsidRDefault="002F1A34" w:rsidP="002F1A34">
            <w:pPr>
              <w:ind w:left="0" w:firstLine="0"/>
              <w:rPr>
                <w:rFonts w:cs="Century Gothic"/>
                <w:szCs w:val="22"/>
              </w:rPr>
            </w:pPr>
            <w:r>
              <w:rPr>
                <w:rFonts w:cs="Century Gothic"/>
                <w:szCs w:val="22"/>
              </w:rPr>
              <w:t xml:space="preserve">Vlevo preparát barvený Ziehl-Neelsenovým barvením. V prvním kroku se vše obarví karbolfuchsinem na červeno, ve druhém kroku ale etanol s kyselinou všechno zase odbarví, jedinou výjimkou jsou právě mykobakteria a jiné acidorezistentní tyčinky. </w:t>
            </w:r>
            <w:r w:rsidR="0057016D">
              <w:rPr>
                <w:rFonts w:cs="Century Gothic"/>
                <w:szCs w:val="22"/>
              </w:rPr>
              <w:t>Ve třetím kroku se vše dříve odbarvené (jádra bílých krvinek, ostatní bakterie apod.) obarví na modro nebo na zeleno (modří nebo zelení). Dole obrázky tuberkulosních plic a ledvin (u králíka) a sleziny (obrázek vpravo)</w:t>
            </w:r>
          </w:p>
        </w:tc>
      </w:tr>
      <w:tr w:rsidR="002F1A34" w:rsidTr="0057016D">
        <w:tc>
          <w:tcPr>
            <w:tcW w:w="3964" w:type="dxa"/>
          </w:tcPr>
          <w:p w:rsidR="002F1A34" w:rsidRDefault="002F1A34" w:rsidP="002F1A34">
            <w:pPr>
              <w:ind w:left="0" w:firstLine="0"/>
              <w:rPr>
                <w:rFonts w:cs="Century Gothic"/>
                <w:szCs w:val="22"/>
              </w:rPr>
            </w:pPr>
            <w:r>
              <w:rPr>
                <w:rFonts w:cs="Century Gothic"/>
                <w:noProof/>
                <w:szCs w:val="22"/>
              </w:rPr>
              <w:drawing>
                <wp:inline distT="0" distB="0" distL="0" distR="0">
                  <wp:extent cx="1637235" cy="2490717"/>
                  <wp:effectExtent l="19050" t="0" r="1065" b="0"/>
                  <wp:docPr id="60" name="Obrázek 59" desc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04.jpg"/>
                          <pic:cNvPicPr/>
                        </pic:nvPicPr>
                        <pic:blipFill>
                          <a:blip r:embed="rId45"/>
                          <a:srcRect l="19276" t="10806" r="9583" b="17654"/>
                          <a:stretch>
                            <a:fillRect/>
                          </a:stretch>
                        </pic:blipFill>
                        <pic:spPr>
                          <a:xfrm>
                            <a:off x="0" y="0"/>
                            <a:ext cx="1636985" cy="2490337"/>
                          </a:xfrm>
                          <a:prstGeom prst="rect">
                            <a:avLst/>
                          </a:prstGeom>
                        </pic:spPr>
                      </pic:pic>
                    </a:graphicData>
                  </a:graphic>
                </wp:inline>
              </w:drawing>
            </w:r>
          </w:p>
        </w:tc>
        <w:tc>
          <w:tcPr>
            <w:tcW w:w="5545" w:type="dxa"/>
          </w:tcPr>
          <w:p w:rsidR="002F1A34" w:rsidRDefault="002F1A34" w:rsidP="002F1A34">
            <w:pPr>
              <w:ind w:left="0" w:firstLine="0"/>
              <w:rPr>
                <w:rFonts w:cs="Century Gothic"/>
                <w:szCs w:val="22"/>
              </w:rPr>
            </w:pPr>
            <w:r>
              <w:rPr>
                <w:rFonts w:cs="Century Gothic"/>
                <w:noProof/>
                <w:szCs w:val="22"/>
              </w:rPr>
              <w:drawing>
                <wp:inline distT="0" distB="0" distL="0" distR="0">
                  <wp:extent cx="3105499" cy="2299648"/>
                  <wp:effectExtent l="19050" t="0" r="0" b="0"/>
                  <wp:docPr id="61" name="Obrázek 60" descr="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05.jpg"/>
                          <pic:cNvPicPr/>
                        </pic:nvPicPr>
                        <pic:blipFill>
                          <a:blip r:embed="rId46"/>
                          <a:srcRect l="15737" t="3357" r="18182" b="23355"/>
                          <a:stretch>
                            <a:fillRect/>
                          </a:stretch>
                        </pic:blipFill>
                        <pic:spPr>
                          <a:xfrm>
                            <a:off x="0" y="0"/>
                            <a:ext cx="3105496" cy="2299645"/>
                          </a:xfrm>
                          <a:prstGeom prst="rect">
                            <a:avLst/>
                          </a:prstGeom>
                        </pic:spPr>
                      </pic:pic>
                    </a:graphicData>
                  </a:graphic>
                </wp:inline>
              </w:drawing>
            </w:r>
          </w:p>
        </w:tc>
      </w:tr>
    </w:tbl>
    <w:p w:rsidR="002F1A34" w:rsidRDefault="002F1A34" w:rsidP="002F1A34">
      <w:pPr>
        <w:rPr>
          <w:rFonts w:cs="Century Gothic"/>
          <w:szCs w:val="22"/>
        </w:rPr>
      </w:pPr>
    </w:p>
    <w:p w:rsidR="00521B96" w:rsidRDefault="00521B96">
      <w:pPr>
        <w:pStyle w:val="Nadpis3"/>
      </w:pPr>
      <w:r>
        <w:t>3.7.2 Mykoplasmata (a ureaplasmata)</w:t>
      </w:r>
    </w:p>
    <w:p w:rsidR="00521B96" w:rsidRDefault="00521B96">
      <w:r>
        <w:t>Tyto bakterie vůbec nemají buněčnou stěnu. Jejich diagnostika je obtížná, také léčbu je nutno přizpůsobit nepřítomnosti buněčné stěny</w:t>
      </w:r>
    </w:p>
    <w:p w:rsidR="00521B96" w:rsidRDefault="00521B96">
      <w:pPr>
        <w:numPr>
          <w:ilvl w:val="0"/>
          <w:numId w:val="53"/>
        </w:numPr>
        <w:rPr>
          <w:rFonts w:cs="Century Gothic"/>
          <w:szCs w:val="22"/>
        </w:rPr>
      </w:pPr>
      <w:r>
        <w:rPr>
          <w:rFonts w:cs="Century Gothic"/>
          <w:b/>
          <w:i/>
          <w:szCs w:val="22"/>
        </w:rPr>
        <w:t>M. pneumoniae</w:t>
      </w:r>
      <w:r>
        <w:rPr>
          <w:rFonts w:cs="Century Gothic"/>
          <w:szCs w:val="22"/>
        </w:rPr>
        <w:t xml:space="preserve"> způsobuje atypické záněty plic</w:t>
      </w:r>
    </w:p>
    <w:p w:rsidR="00521B96" w:rsidRDefault="00521B96">
      <w:pPr>
        <w:numPr>
          <w:ilvl w:val="0"/>
          <w:numId w:val="53"/>
        </w:numPr>
        <w:rPr>
          <w:rFonts w:cs="Century Gothic"/>
          <w:szCs w:val="22"/>
        </w:rPr>
      </w:pPr>
      <w:r>
        <w:rPr>
          <w:rFonts w:cs="Century Gothic"/>
          <w:b/>
          <w:i/>
          <w:szCs w:val="22"/>
        </w:rPr>
        <w:t>M. hominis a U. urealyticum</w:t>
      </w:r>
      <w:r>
        <w:rPr>
          <w:rFonts w:cs="Century Gothic"/>
          <w:i/>
          <w:szCs w:val="22"/>
        </w:rPr>
        <w:t xml:space="preserve"> </w:t>
      </w:r>
      <w:r>
        <w:rPr>
          <w:rFonts w:cs="Century Gothic"/>
          <w:szCs w:val="22"/>
        </w:rPr>
        <w:t>jsou přítomny na pohlavních orgánech, jejich vztah k onemocnění je však nejistý, protože jsou často přítomny i u zdravých</w:t>
      </w:r>
    </w:p>
    <w:tbl>
      <w:tblPr>
        <w:tblStyle w:val="Mkatabulky"/>
        <w:tblW w:w="0" w:type="auto"/>
        <w:tblInd w:w="113" w:type="dxa"/>
        <w:tblLayout w:type="fixed"/>
        <w:tblLook w:val="04A0"/>
      </w:tblPr>
      <w:tblGrid>
        <w:gridCol w:w="3549"/>
        <w:gridCol w:w="2258"/>
        <w:gridCol w:w="3702"/>
      </w:tblGrid>
      <w:tr w:rsidR="00971E1D" w:rsidTr="0052422E">
        <w:tc>
          <w:tcPr>
            <w:tcW w:w="3549" w:type="dxa"/>
          </w:tcPr>
          <w:p w:rsidR="00971E1D" w:rsidRDefault="00971E1D" w:rsidP="00971E1D">
            <w:pPr>
              <w:ind w:left="0" w:firstLine="0"/>
              <w:rPr>
                <w:rFonts w:cs="Century Gothic"/>
                <w:szCs w:val="22"/>
              </w:rPr>
            </w:pPr>
            <w:r>
              <w:rPr>
                <w:rFonts w:cs="Century Gothic"/>
                <w:noProof/>
                <w:szCs w:val="22"/>
              </w:rPr>
              <w:drawing>
                <wp:inline distT="0" distB="0" distL="0" distR="0">
                  <wp:extent cx="2097150" cy="1856096"/>
                  <wp:effectExtent l="19050" t="0" r="0" b="0"/>
                  <wp:docPr id="48" name="Obrázek 46" descr="B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49.jpg"/>
                          <pic:cNvPicPr/>
                        </pic:nvPicPr>
                        <pic:blipFill>
                          <a:blip r:embed="rId47">
                            <a:lum bright="20000" contrast="20000"/>
                          </a:blip>
                          <a:srcRect l="35799" t="20886" r="32053" b="36468"/>
                          <a:stretch>
                            <a:fillRect/>
                          </a:stretch>
                        </pic:blipFill>
                        <pic:spPr>
                          <a:xfrm>
                            <a:off x="0" y="0"/>
                            <a:ext cx="2097150" cy="1856096"/>
                          </a:xfrm>
                          <a:prstGeom prst="rect">
                            <a:avLst/>
                          </a:prstGeom>
                        </pic:spPr>
                      </pic:pic>
                    </a:graphicData>
                  </a:graphic>
                </wp:inline>
              </w:drawing>
            </w:r>
          </w:p>
        </w:tc>
        <w:tc>
          <w:tcPr>
            <w:tcW w:w="2258" w:type="dxa"/>
          </w:tcPr>
          <w:p w:rsidR="00971E1D" w:rsidRDefault="00971E1D" w:rsidP="00971E1D">
            <w:pPr>
              <w:ind w:left="0" w:firstLine="0"/>
              <w:rPr>
                <w:rFonts w:cs="Century Gothic"/>
                <w:szCs w:val="22"/>
              </w:rPr>
            </w:pPr>
            <w:r>
              <w:rPr>
                <w:rFonts w:cs="Century Gothic"/>
                <w:szCs w:val="22"/>
              </w:rPr>
              <w:t>U mykoplasmat jsou typické velmi drobné kolonie (nutné prohlížet lupou) vzhledu „sázeného vejce“ či volského oka.</w:t>
            </w:r>
            <w:r w:rsidR="0052422E">
              <w:rPr>
                <w:rFonts w:cs="Century Gothic"/>
                <w:szCs w:val="22"/>
              </w:rPr>
              <w:t xml:space="preserve"> Vpravo rtg snímek s výrazným nálezem u pacienta s atypickou pneumonií.</w:t>
            </w:r>
          </w:p>
        </w:tc>
        <w:tc>
          <w:tcPr>
            <w:tcW w:w="3702" w:type="dxa"/>
          </w:tcPr>
          <w:p w:rsidR="00971E1D" w:rsidRDefault="0052422E" w:rsidP="00971E1D">
            <w:pPr>
              <w:ind w:left="0" w:firstLine="0"/>
              <w:rPr>
                <w:rFonts w:cs="Century Gothic"/>
                <w:szCs w:val="22"/>
              </w:rPr>
            </w:pPr>
            <w:r>
              <w:rPr>
                <w:rFonts w:cs="Century Gothic"/>
                <w:noProof/>
                <w:szCs w:val="22"/>
              </w:rPr>
              <w:drawing>
                <wp:inline distT="0" distB="0" distL="0" distR="0">
                  <wp:extent cx="2325857" cy="1758312"/>
                  <wp:effectExtent l="19050" t="0" r="0" b="0"/>
                  <wp:docPr id="49" name="Obrázek 48" descr="B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50.jpg"/>
                          <pic:cNvPicPr/>
                        </pic:nvPicPr>
                        <pic:blipFill>
                          <a:blip r:embed="rId48"/>
                          <a:srcRect l="15364" t="5587" r="10725" b="10614"/>
                          <a:stretch>
                            <a:fillRect/>
                          </a:stretch>
                        </pic:blipFill>
                        <pic:spPr>
                          <a:xfrm>
                            <a:off x="0" y="0"/>
                            <a:ext cx="2329433" cy="1761015"/>
                          </a:xfrm>
                          <a:prstGeom prst="rect">
                            <a:avLst/>
                          </a:prstGeom>
                        </pic:spPr>
                      </pic:pic>
                    </a:graphicData>
                  </a:graphic>
                </wp:inline>
              </w:drawing>
            </w:r>
          </w:p>
        </w:tc>
      </w:tr>
    </w:tbl>
    <w:p w:rsidR="00521B96" w:rsidRDefault="00521B96">
      <w:pPr>
        <w:pStyle w:val="Nadpis3"/>
      </w:pPr>
      <w:r>
        <w:t xml:space="preserve">3.7.3 Rickettsie a chlamydie </w:t>
      </w:r>
    </w:p>
    <w:p w:rsidR="00521B96" w:rsidRDefault="00521B96">
      <w:r>
        <w:t>Potřebují k životu cizí buňku. To znamená, že i diagnostika je podobná diagnostice virů.</w:t>
      </w:r>
    </w:p>
    <w:p w:rsidR="00521B96" w:rsidRDefault="00521B96">
      <w:pPr>
        <w:numPr>
          <w:ilvl w:val="0"/>
          <w:numId w:val="54"/>
        </w:numPr>
        <w:rPr>
          <w:rFonts w:cs="Century Gothic"/>
          <w:bCs/>
          <w:iCs/>
          <w:szCs w:val="22"/>
        </w:rPr>
      </w:pPr>
      <w:r>
        <w:rPr>
          <w:rFonts w:cs="Century Gothic"/>
          <w:b/>
          <w:bCs/>
          <w:i/>
          <w:iCs/>
          <w:szCs w:val="22"/>
        </w:rPr>
        <w:t>Chlamydophila pneumoniae</w:t>
      </w:r>
      <w:r>
        <w:rPr>
          <w:rFonts w:cs="Century Gothic"/>
          <w:bCs/>
          <w:iCs/>
          <w:szCs w:val="22"/>
        </w:rPr>
        <w:t xml:space="preserve"> – další původce atypického zápalu plic</w:t>
      </w:r>
    </w:p>
    <w:p w:rsidR="00521B96" w:rsidRDefault="00521B96">
      <w:pPr>
        <w:numPr>
          <w:ilvl w:val="0"/>
          <w:numId w:val="54"/>
        </w:numPr>
        <w:rPr>
          <w:rFonts w:cs="Century Gothic"/>
          <w:bCs/>
          <w:iCs/>
          <w:szCs w:val="22"/>
        </w:rPr>
      </w:pPr>
      <w:r>
        <w:rPr>
          <w:rFonts w:cs="Century Gothic"/>
          <w:b/>
          <w:bCs/>
          <w:i/>
          <w:iCs/>
          <w:szCs w:val="22"/>
        </w:rPr>
        <w:t>Chlamydophila psittaci</w:t>
      </w:r>
      <w:r>
        <w:rPr>
          <w:rFonts w:cs="Century Gothic"/>
          <w:bCs/>
          <w:iCs/>
          <w:szCs w:val="22"/>
        </w:rPr>
        <w:t xml:space="preserve"> – způsobuje ptačí nebo papouščí nemoc</w:t>
      </w:r>
    </w:p>
    <w:p w:rsidR="00521B96" w:rsidRDefault="00521B96">
      <w:pPr>
        <w:numPr>
          <w:ilvl w:val="0"/>
          <w:numId w:val="54"/>
        </w:numPr>
        <w:rPr>
          <w:rFonts w:cs="Century Gothic"/>
          <w:szCs w:val="22"/>
        </w:rPr>
      </w:pPr>
      <w:r>
        <w:rPr>
          <w:rFonts w:cs="Century Gothic"/>
          <w:b/>
          <w:bCs/>
          <w:i/>
          <w:iCs/>
          <w:szCs w:val="22"/>
        </w:rPr>
        <w:t>Chlamydia trachomatis</w:t>
      </w:r>
      <w:r>
        <w:rPr>
          <w:rFonts w:cs="Century Gothic"/>
          <w:b/>
          <w:bCs/>
          <w:iCs/>
          <w:szCs w:val="22"/>
        </w:rPr>
        <w:t xml:space="preserve"> </w:t>
      </w:r>
      <w:r>
        <w:rPr>
          <w:rFonts w:cs="Century Gothic"/>
          <w:szCs w:val="22"/>
        </w:rPr>
        <w:t>– patogenita se liší podle serovarů. Některé způsobují tropickou slepotu (trachom), jiné tropickou pohlavní nemoc (lymphogranuloma venereum) a další pohlavní infekce ve vyspělých zemích</w:t>
      </w:r>
    </w:p>
    <w:p w:rsidR="00521B96" w:rsidRDefault="00521B96">
      <w:pPr>
        <w:numPr>
          <w:ilvl w:val="0"/>
          <w:numId w:val="54"/>
        </w:numPr>
        <w:rPr>
          <w:rFonts w:cs="Century Gothic"/>
          <w:bCs/>
          <w:iCs/>
          <w:szCs w:val="22"/>
        </w:rPr>
      </w:pPr>
      <w:r>
        <w:rPr>
          <w:rFonts w:cs="Century Gothic"/>
          <w:b/>
          <w:bCs/>
          <w:i/>
          <w:iCs/>
          <w:szCs w:val="22"/>
        </w:rPr>
        <w:t>Rickettsia prowazeki</w:t>
      </w:r>
      <w:r>
        <w:rPr>
          <w:rFonts w:cs="Century Gothic"/>
          <w:bCs/>
          <w:iCs/>
          <w:szCs w:val="22"/>
        </w:rPr>
        <w:t xml:space="preserve"> je původcem skvrnitého tyfu</w:t>
      </w:r>
    </w:p>
    <w:p w:rsidR="00521B96" w:rsidRDefault="00521B96">
      <w:pPr>
        <w:numPr>
          <w:ilvl w:val="0"/>
          <w:numId w:val="54"/>
        </w:numPr>
        <w:rPr>
          <w:rFonts w:cs="Century Gothic"/>
          <w:szCs w:val="22"/>
        </w:rPr>
      </w:pPr>
      <w:r>
        <w:rPr>
          <w:rFonts w:cs="Century Gothic"/>
          <w:b/>
          <w:bCs/>
          <w:i/>
          <w:iCs/>
          <w:szCs w:val="22"/>
        </w:rPr>
        <w:t>Rochalimea, Ehrlichia</w:t>
      </w:r>
      <w:r>
        <w:rPr>
          <w:rFonts w:cs="Century Gothic"/>
          <w:bCs/>
          <w:iCs/>
          <w:szCs w:val="22"/>
        </w:rPr>
        <w:t xml:space="preserve"> jsou příbuzné rickettsiím. Způsobují rozličné nemoci, často přenášené členovci. Totéž platí pro rody </w:t>
      </w:r>
      <w:r>
        <w:rPr>
          <w:rFonts w:cs="Century Gothic"/>
          <w:b/>
          <w:bCs/>
          <w:i/>
          <w:iCs/>
          <w:szCs w:val="22"/>
        </w:rPr>
        <w:t xml:space="preserve">Bartonella a </w:t>
      </w:r>
      <w:proofErr w:type="gramStart"/>
      <w:r>
        <w:rPr>
          <w:rFonts w:cs="Century Gothic"/>
          <w:b/>
          <w:bCs/>
          <w:i/>
          <w:iCs/>
          <w:szCs w:val="22"/>
        </w:rPr>
        <w:t>Coxiella,</w:t>
      </w:r>
      <w:r>
        <w:rPr>
          <w:rFonts w:cs="Century Gothic"/>
          <w:szCs w:val="22"/>
        </w:rPr>
        <w:t>o kterých</w:t>
      </w:r>
      <w:proofErr w:type="gramEnd"/>
      <w:r>
        <w:rPr>
          <w:rFonts w:cs="Century Gothic"/>
          <w:szCs w:val="22"/>
        </w:rPr>
        <w:t xml:space="preserve"> dnes již víme, že rickettsiím příbuzné nejsou (ale některými vlastnostmi se jim podobají)</w:t>
      </w:r>
    </w:p>
    <w:p w:rsidR="00521B96" w:rsidRDefault="00521B96">
      <w:pPr>
        <w:pStyle w:val="Nadpis1"/>
      </w:pPr>
      <w:r>
        <w:br w:type="page"/>
      </w:r>
      <w:bookmarkStart w:id="18" w:name="_Toc342466760"/>
      <w:bookmarkStart w:id="19" w:name="_Toc342466835"/>
      <w:r>
        <w:lastRenderedPageBreak/>
        <w:t>Téma 4 Přehled klinicky nejvýznamnějších virů, hub a parazitů</w:t>
      </w:r>
      <w:bookmarkEnd w:id="18"/>
      <w:bookmarkEnd w:id="19"/>
    </w:p>
    <w:p w:rsidR="00521B96" w:rsidRDefault="00521B96">
      <w:pPr>
        <w:pStyle w:val="Nadpis2"/>
      </w:pPr>
      <w:bookmarkStart w:id="20" w:name="_Toc342466761"/>
      <w:bookmarkStart w:id="21" w:name="_Toc342466836"/>
      <w:r>
        <w:t>4.1 Nejdůležitější DNA viry</w:t>
      </w:r>
      <w:bookmarkEnd w:id="20"/>
      <w:bookmarkEnd w:id="21"/>
    </w:p>
    <w:p w:rsidR="00521B96" w:rsidRDefault="00521B96">
      <w:pPr>
        <w:pStyle w:val="Nadpis3"/>
      </w:pPr>
      <w:r>
        <w:t xml:space="preserve">4.1.1 Poxviry </w:t>
      </w:r>
    </w:p>
    <w:p w:rsidR="00521B96" w:rsidRDefault="00521B96">
      <w:pPr>
        <w:numPr>
          <w:ilvl w:val="0"/>
          <w:numId w:val="55"/>
        </w:numPr>
        <w:rPr>
          <w:rFonts w:cs="Century Gothic"/>
          <w:szCs w:val="22"/>
        </w:rPr>
      </w:pPr>
      <w:r>
        <w:rPr>
          <w:rFonts w:cs="Century Gothic"/>
          <w:b/>
          <w:bCs/>
          <w:szCs w:val="22"/>
        </w:rPr>
        <w:t>Virus pravých neštovic</w:t>
      </w:r>
      <w:r>
        <w:rPr>
          <w:rFonts w:cs="Century Gothic"/>
          <w:bCs/>
          <w:szCs w:val="22"/>
        </w:rPr>
        <w:t xml:space="preserve"> byl eradikován (vykořeněn) mimo jiné díky českým badatelům</w:t>
      </w:r>
    </w:p>
    <w:p w:rsidR="00521B96" w:rsidRPr="0057016D" w:rsidRDefault="00521B96">
      <w:pPr>
        <w:numPr>
          <w:ilvl w:val="0"/>
          <w:numId w:val="55"/>
        </w:numPr>
        <w:rPr>
          <w:rFonts w:cs="Century Gothic"/>
          <w:szCs w:val="22"/>
        </w:rPr>
      </w:pPr>
      <w:r>
        <w:rPr>
          <w:rFonts w:cs="Century Gothic"/>
          <w:b/>
          <w:bCs/>
          <w:szCs w:val="22"/>
        </w:rPr>
        <w:t>Virus vakcinie</w:t>
      </w:r>
      <w:r>
        <w:rPr>
          <w:rFonts w:cs="Century Gothic"/>
          <w:bCs/>
          <w:szCs w:val="22"/>
        </w:rPr>
        <w:t xml:space="preserve"> se používal k očkování proti pravým neštovicím</w:t>
      </w:r>
    </w:p>
    <w:tbl>
      <w:tblPr>
        <w:tblStyle w:val="Mkatabulky"/>
        <w:tblW w:w="0" w:type="auto"/>
        <w:tblInd w:w="113" w:type="dxa"/>
        <w:tblLook w:val="04A0"/>
      </w:tblPr>
      <w:tblGrid>
        <w:gridCol w:w="3129"/>
        <w:gridCol w:w="1828"/>
      </w:tblGrid>
      <w:tr w:rsidR="0057016D" w:rsidTr="00316A4C">
        <w:tc>
          <w:tcPr>
            <w:tcW w:w="3129" w:type="dxa"/>
          </w:tcPr>
          <w:p w:rsidR="0057016D" w:rsidRDefault="0057016D" w:rsidP="0057016D">
            <w:pPr>
              <w:ind w:left="0" w:firstLine="0"/>
              <w:rPr>
                <w:rFonts w:cs="Century Gothic"/>
                <w:szCs w:val="22"/>
              </w:rPr>
            </w:pPr>
            <w:r>
              <w:rPr>
                <w:rFonts w:cs="Century Gothic"/>
                <w:noProof/>
                <w:szCs w:val="22"/>
              </w:rPr>
              <w:drawing>
                <wp:inline distT="0" distB="0" distL="0" distR="0">
                  <wp:extent cx="1830222" cy="1699965"/>
                  <wp:effectExtent l="19050" t="0" r="0" b="0"/>
                  <wp:docPr id="62" name="Obrázek 61" descr="V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19.jpg"/>
                          <pic:cNvPicPr/>
                        </pic:nvPicPr>
                        <pic:blipFill>
                          <a:blip r:embed="rId49"/>
                          <a:srcRect l="18720" t="8938" r="21527" b="7821"/>
                          <a:stretch>
                            <a:fillRect/>
                          </a:stretch>
                        </pic:blipFill>
                        <pic:spPr>
                          <a:xfrm>
                            <a:off x="0" y="0"/>
                            <a:ext cx="1832603" cy="1702176"/>
                          </a:xfrm>
                          <a:prstGeom prst="rect">
                            <a:avLst/>
                          </a:prstGeom>
                        </pic:spPr>
                      </pic:pic>
                    </a:graphicData>
                  </a:graphic>
                </wp:inline>
              </w:drawing>
            </w:r>
          </w:p>
        </w:tc>
        <w:tc>
          <w:tcPr>
            <w:tcW w:w="1828" w:type="dxa"/>
          </w:tcPr>
          <w:p w:rsidR="0057016D" w:rsidRDefault="0057016D" w:rsidP="0057016D">
            <w:pPr>
              <w:ind w:left="0" w:firstLine="0"/>
              <w:rPr>
                <w:rFonts w:cs="Century Gothic"/>
                <w:szCs w:val="22"/>
              </w:rPr>
            </w:pPr>
            <w:r>
              <w:rPr>
                <w:rFonts w:cs="Century Gothic"/>
                <w:szCs w:val="22"/>
              </w:rPr>
              <w:t>Poxviry se pěstují na tzv. chorioalantoidní membráně oplodněného vejce, dělají tam bílé skvrny, tzv. poky. Zde vidíme poky u viru vakcinie</w:t>
            </w:r>
          </w:p>
        </w:tc>
      </w:tr>
    </w:tbl>
    <w:p w:rsidR="00521B96" w:rsidRDefault="00521B96">
      <w:pPr>
        <w:numPr>
          <w:ilvl w:val="0"/>
          <w:numId w:val="55"/>
        </w:numPr>
        <w:rPr>
          <w:rFonts w:cs="Century Gothic"/>
          <w:szCs w:val="22"/>
        </w:rPr>
      </w:pPr>
      <w:r>
        <w:rPr>
          <w:rFonts w:cs="Century Gothic"/>
          <w:b/>
          <w:bCs/>
          <w:szCs w:val="22"/>
        </w:rPr>
        <w:t>Virus molluscum contagiosum</w:t>
      </w:r>
      <w:r>
        <w:rPr>
          <w:rFonts w:cs="Century Gothic"/>
          <w:szCs w:val="22"/>
        </w:rPr>
        <w:t xml:space="preserve"> způsobuje průsvitné nebolestivé uzlíky (i v oblasti oka).</w:t>
      </w:r>
    </w:p>
    <w:p w:rsidR="00521B96" w:rsidRDefault="00521B96">
      <w:pPr>
        <w:pStyle w:val="Nadpis3"/>
      </w:pPr>
      <w:r>
        <w:t>4.1.2 Herpesviry</w:t>
      </w:r>
      <w:r>
        <w:rPr>
          <w:i/>
        </w:rPr>
        <w:t xml:space="preserve"> </w:t>
      </w:r>
    </w:p>
    <w:p w:rsidR="00521B96" w:rsidRDefault="00521B96">
      <w:pPr>
        <w:numPr>
          <w:ilvl w:val="0"/>
          <w:numId w:val="56"/>
        </w:numPr>
        <w:rPr>
          <w:rFonts w:cs="Century Gothic"/>
          <w:szCs w:val="22"/>
        </w:rPr>
      </w:pPr>
      <w:r>
        <w:rPr>
          <w:rFonts w:cs="Century Gothic"/>
          <w:b/>
          <w:bCs/>
          <w:szCs w:val="22"/>
        </w:rPr>
        <w:t>Viry prostého a pásového oparu</w:t>
      </w:r>
    </w:p>
    <w:p w:rsidR="00521B96" w:rsidRDefault="00521B96">
      <w:pPr>
        <w:numPr>
          <w:ilvl w:val="1"/>
          <w:numId w:val="56"/>
        </w:numPr>
        <w:rPr>
          <w:rFonts w:cs="Century Gothic"/>
          <w:szCs w:val="22"/>
        </w:rPr>
      </w:pPr>
      <w:r>
        <w:rPr>
          <w:rFonts w:cs="Century Gothic"/>
          <w:b/>
          <w:iCs/>
          <w:szCs w:val="22"/>
        </w:rPr>
        <w:t>Virus prostého oparu typ 1 (HSV 1)</w:t>
      </w:r>
      <w:r>
        <w:rPr>
          <w:rFonts w:cs="Century Gothic"/>
          <w:szCs w:val="22"/>
        </w:rPr>
        <w:t xml:space="preserve"> způsobuje především herpes labialis (opar rtu)</w:t>
      </w:r>
    </w:p>
    <w:p w:rsidR="00521B96" w:rsidRDefault="00521B96">
      <w:pPr>
        <w:numPr>
          <w:ilvl w:val="1"/>
          <w:numId w:val="56"/>
        </w:numPr>
        <w:rPr>
          <w:rFonts w:cs="Century Gothic"/>
          <w:szCs w:val="22"/>
        </w:rPr>
      </w:pPr>
      <w:r>
        <w:rPr>
          <w:rFonts w:cs="Century Gothic"/>
          <w:b/>
          <w:iCs/>
          <w:szCs w:val="22"/>
        </w:rPr>
        <w:t>Virus prostého oparu typ 2 (HSV 2)</w:t>
      </w:r>
      <w:r>
        <w:rPr>
          <w:rFonts w:cs="Century Gothic"/>
          <w:szCs w:val="22"/>
        </w:rPr>
        <w:t xml:space="preserve"> způsobuje především herpes genitalis</w:t>
      </w:r>
    </w:p>
    <w:tbl>
      <w:tblPr>
        <w:tblStyle w:val="Mkatabulky"/>
        <w:tblW w:w="0" w:type="auto"/>
        <w:tblLook w:val="04A0"/>
      </w:tblPr>
      <w:tblGrid>
        <w:gridCol w:w="4773"/>
        <w:gridCol w:w="1470"/>
      </w:tblGrid>
      <w:tr w:rsidR="00316A4C" w:rsidTr="00316A4C">
        <w:tc>
          <w:tcPr>
            <w:tcW w:w="4773" w:type="dxa"/>
          </w:tcPr>
          <w:p w:rsidR="00316A4C" w:rsidRDefault="00316A4C" w:rsidP="00316A4C">
            <w:pPr>
              <w:ind w:left="0" w:firstLine="0"/>
              <w:rPr>
                <w:rFonts w:cs="Century Gothic"/>
                <w:szCs w:val="22"/>
              </w:rPr>
            </w:pPr>
            <w:r>
              <w:rPr>
                <w:rFonts w:cs="Century Gothic"/>
                <w:noProof/>
                <w:szCs w:val="22"/>
              </w:rPr>
              <w:drawing>
                <wp:inline distT="0" distB="0" distL="0" distR="0">
                  <wp:extent cx="2833332" cy="2023724"/>
                  <wp:effectExtent l="19050" t="0" r="5118" b="0"/>
                  <wp:docPr id="63" name="Obrázek 62" descr="V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42.jpg"/>
                          <pic:cNvPicPr/>
                        </pic:nvPicPr>
                        <pic:blipFill>
                          <a:blip r:embed="rId50"/>
                          <a:srcRect l="11636" t="10056" r="13706" b="10056"/>
                          <a:stretch>
                            <a:fillRect/>
                          </a:stretch>
                        </pic:blipFill>
                        <pic:spPr>
                          <a:xfrm>
                            <a:off x="0" y="0"/>
                            <a:ext cx="2833332" cy="2023724"/>
                          </a:xfrm>
                          <a:prstGeom prst="rect">
                            <a:avLst/>
                          </a:prstGeom>
                        </pic:spPr>
                      </pic:pic>
                    </a:graphicData>
                  </a:graphic>
                </wp:inline>
              </w:drawing>
            </w:r>
          </w:p>
        </w:tc>
        <w:tc>
          <w:tcPr>
            <w:tcW w:w="1470" w:type="dxa"/>
          </w:tcPr>
          <w:p w:rsidR="00316A4C" w:rsidRDefault="00316A4C" w:rsidP="00316A4C">
            <w:pPr>
              <w:ind w:left="0" w:firstLine="0"/>
              <w:rPr>
                <w:rFonts w:cs="Century Gothic"/>
                <w:szCs w:val="22"/>
              </w:rPr>
            </w:pPr>
            <w:r>
              <w:rPr>
                <w:rFonts w:cs="Century Gothic"/>
                <w:szCs w:val="22"/>
              </w:rPr>
              <w:t>Herpesvirové puchýřky</w:t>
            </w:r>
          </w:p>
        </w:tc>
      </w:tr>
    </w:tbl>
    <w:p w:rsidR="00521B96" w:rsidRDefault="00521B96">
      <w:pPr>
        <w:numPr>
          <w:ilvl w:val="1"/>
          <w:numId w:val="56"/>
        </w:numPr>
        <w:rPr>
          <w:rFonts w:cs="Century Gothic"/>
          <w:szCs w:val="22"/>
        </w:rPr>
      </w:pPr>
      <w:r>
        <w:rPr>
          <w:rFonts w:cs="Century Gothic"/>
          <w:b/>
          <w:szCs w:val="22"/>
        </w:rPr>
        <w:t>Virus pásového oparu a planých neštovic (VZV)</w:t>
      </w:r>
      <w:r>
        <w:rPr>
          <w:rFonts w:cs="Century Gothic"/>
          <w:szCs w:val="22"/>
        </w:rPr>
        <w:t xml:space="preserve"> způsobuje neštovice u dětí a pásové opary u dospělých</w:t>
      </w:r>
    </w:p>
    <w:p w:rsidR="00521B96" w:rsidRDefault="00521B96">
      <w:pPr>
        <w:numPr>
          <w:ilvl w:val="0"/>
          <w:numId w:val="56"/>
        </w:numPr>
        <w:rPr>
          <w:rFonts w:cs="Century Gothic"/>
          <w:szCs w:val="22"/>
        </w:rPr>
      </w:pPr>
      <w:r>
        <w:rPr>
          <w:rFonts w:cs="Century Gothic"/>
          <w:b/>
          <w:bCs/>
          <w:szCs w:val="22"/>
        </w:rPr>
        <w:t>Ostatní herpesviry</w:t>
      </w:r>
    </w:p>
    <w:p w:rsidR="00521B96" w:rsidRDefault="00521B96">
      <w:pPr>
        <w:numPr>
          <w:ilvl w:val="1"/>
          <w:numId w:val="56"/>
        </w:numPr>
        <w:rPr>
          <w:rFonts w:cs="Century Gothic"/>
          <w:szCs w:val="22"/>
        </w:rPr>
      </w:pPr>
      <w:r>
        <w:rPr>
          <w:rFonts w:cs="Century Gothic"/>
          <w:b/>
          <w:iCs/>
          <w:szCs w:val="22"/>
        </w:rPr>
        <w:t>EB virus</w:t>
      </w:r>
      <w:r>
        <w:rPr>
          <w:rFonts w:cs="Century Gothic"/>
          <w:szCs w:val="22"/>
        </w:rPr>
        <w:t xml:space="preserve"> způsobuje infekční mononukleózu a má vztah k některým nádorům</w:t>
      </w:r>
    </w:p>
    <w:p w:rsidR="00521B96" w:rsidRDefault="00521B96">
      <w:pPr>
        <w:numPr>
          <w:ilvl w:val="1"/>
          <w:numId w:val="56"/>
        </w:numPr>
        <w:rPr>
          <w:rFonts w:cs="Century Gothic"/>
          <w:szCs w:val="22"/>
        </w:rPr>
      </w:pPr>
      <w:r>
        <w:rPr>
          <w:rFonts w:cs="Century Gothic"/>
          <w:b/>
          <w:szCs w:val="22"/>
        </w:rPr>
        <w:t>Cytomegalovirus</w:t>
      </w:r>
      <w:r>
        <w:rPr>
          <w:rFonts w:cs="Century Gothic"/>
          <w:szCs w:val="22"/>
        </w:rPr>
        <w:t xml:space="preserve"> je většinou bezpříznakový, ale mohou být neurčité příznaky</w:t>
      </w:r>
    </w:p>
    <w:p w:rsidR="00521B96" w:rsidRDefault="00521B96">
      <w:pPr>
        <w:numPr>
          <w:ilvl w:val="1"/>
          <w:numId w:val="56"/>
        </w:numPr>
        <w:rPr>
          <w:rFonts w:cs="Century Gothic"/>
          <w:szCs w:val="22"/>
        </w:rPr>
      </w:pPr>
      <w:r>
        <w:rPr>
          <w:rFonts w:cs="Century Gothic"/>
          <w:b/>
          <w:szCs w:val="22"/>
        </w:rPr>
        <w:t>HHV6 a HHV7</w:t>
      </w:r>
      <w:r>
        <w:rPr>
          <w:rFonts w:cs="Century Gothic"/>
          <w:szCs w:val="22"/>
        </w:rPr>
        <w:t xml:space="preserve"> – šestý i sedmý lidský herpesvirus způsobují tzv. šestou nemoc – roseola infantum neboli exanthema subitum (nemoc s vyrážkou)</w:t>
      </w:r>
    </w:p>
    <w:p w:rsidR="00521B96" w:rsidRDefault="00521B96">
      <w:pPr>
        <w:numPr>
          <w:ilvl w:val="1"/>
          <w:numId w:val="56"/>
        </w:numPr>
        <w:rPr>
          <w:rFonts w:cs="Century Gothic"/>
          <w:szCs w:val="22"/>
        </w:rPr>
      </w:pPr>
      <w:r>
        <w:rPr>
          <w:rFonts w:cs="Century Gothic"/>
          <w:b/>
          <w:szCs w:val="22"/>
        </w:rPr>
        <w:t>HHV 8</w:t>
      </w:r>
      <w:r>
        <w:rPr>
          <w:rFonts w:cs="Century Gothic"/>
          <w:szCs w:val="22"/>
        </w:rPr>
        <w:t xml:space="preserve"> se spolu s virem HIV podílí na vzniku Kaposiho sarkomu</w:t>
      </w:r>
    </w:p>
    <w:p w:rsidR="00521B96" w:rsidRDefault="00521B96">
      <w:pPr>
        <w:pStyle w:val="Nadpis3"/>
      </w:pPr>
      <w:r>
        <w:t>4.1.3 Adenoviry</w:t>
      </w:r>
    </w:p>
    <w:p w:rsidR="00521B96" w:rsidRDefault="00521B96">
      <w:pPr>
        <w:pStyle w:val="Zkladntextodsazen"/>
        <w:rPr>
          <w:rFonts w:cs="Century Gothic"/>
          <w:iCs/>
          <w:szCs w:val="22"/>
        </w:rPr>
      </w:pPr>
      <w:r>
        <w:rPr>
          <w:rFonts w:cs="Century Gothic"/>
          <w:iCs/>
          <w:szCs w:val="22"/>
        </w:rPr>
        <w:t>Různé adenoviry způsobují různé infekce (dýchacích cest, močových cest, střevní nákazy).</w:t>
      </w:r>
    </w:p>
    <w:p w:rsidR="00521B96" w:rsidRDefault="00521B96" w:rsidP="00186F9F">
      <w:pPr>
        <w:rPr>
          <w:rFonts w:cs="Century Gothic"/>
          <w:szCs w:val="22"/>
        </w:rPr>
      </w:pPr>
      <w:r>
        <w:rPr>
          <w:rFonts w:cs="Century Gothic"/>
          <w:szCs w:val="22"/>
        </w:rPr>
        <w:t>Velmi časté jsou adenovirové</w:t>
      </w:r>
      <w:r w:rsidRPr="00186F9F">
        <w:rPr>
          <w:rFonts w:cs="Century Gothic"/>
          <w:szCs w:val="22"/>
        </w:rPr>
        <w:t xml:space="preserve"> záněty spojivek</w:t>
      </w:r>
      <w:r w:rsidR="00186F9F">
        <w:rPr>
          <w:rFonts w:cs="Century Gothic"/>
          <w:szCs w:val="22"/>
        </w:rPr>
        <w:t>, kombinované s „rýmou“.</w:t>
      </w:r>
    </w:p>
    <w:p w:rsidR="00521B96" w:rsidRDefault="00521B96">
      <w:pPr>
        <w:pStyle w:val="Nadpis3"/>
      </w:pPr>
      <w:r>
        <w:lastRenderedPageBreak/>
        <w:t>4.1.4 Parvoviry</w:t>
      </w:r>
    </w:p>
    <w:p w:rsidR="00521B96" w:rsidRDefault="00521B96">
      <w:pPr>
        <w:rPr>
          <w:rFonts w:cs="Century Gothic"/>
          <w:szCs w:val="22"/>
        </w:rPr>
      </w:pPr>
      <w:r>
        <w:rPr>
          <w:rFonts w:cs="Century Gothic"/>
          <w:iCs/>
          <w:szCs w:val="22"/>
        </w:rPr>
        <w:t>Významný je parvovirus B19, původce páté dětské nemoci – megalerythema infectiosum. D</w:t>
      </w:r>
      <w:r w:rsidR="00186F9F">
        <w:rPr>
          <w:rFonts w:cs="Century Gothic"/>
          <w:iCs/>
          <w:szCs w:val="22"/>
        </w:rPr>
        <w:t>ítě vypadá</w:t>
      </w:r>
      <w:r>
        <w:rPr>
          <w:rFonts w:cs="Century Gothic"/>
          <w:iCs/>
          <w:szCs w:val="22"/>
        </w:rPr>
        <w:t xml:space="preserve"> </w:t>
      </w:r>
      <w:r w:rsidR="00186F9F">
        <w:rPr>
          <w:rFonts w:cs="Century Gothic"/>
          <w:iCs/>
          <w:szCs w:val="22"/>
        </w:rPr>
        <w:t>„</w:t>
      </w:r>
      <w:r>
        <w:rPr>
          <w:rFonts w:cs="Century Gothic"/>
          <w:iCs/>
          <w:szCs w:val="22"/>
        </w:rPr>
        <w:t>jako by ho někdo zfackoval</w:t>
      </w:r>
      <w:r w:rsidR="00186F9F">
        <w:rPr>
          <w:rFonts w:cs="Century Gothic"/>
          <w:iCs/>
          <w:szCs w:val="22"/>
        </w:rPr>
        <w:t>“ (oficiálně „syndrom zpolíčkovaného dítěte“)</w:t>
      </w:r>
      <w:r>
        <w:rPr>
          <w:rFonts w:cs="Century Gothic"/>
          <w:iCs/>
          <w:szCs w:val="22"/>
        </w:rPr>
        <w:t>.</w:t>
      </w:r>
    </w:p>
    <w:p w:rsidR="00521B96" w:rsidRDefault="00521B96">
      <w:pPr>
        <w:pStyle w:val="Nadpis3"/>
      </w:pPr>
      <w:r>
        <w:t>4.1.5 Papovaviry</w:t>
      </w:r>
    </w:p>
    <w:p w:rsidR="00521B96" w:rsidRDefault="00521B96" w:rsidP="00186F9F">
      <w:pPr>
        <w:numPr>
          <w:ilvl w:val="0"/>
          <w:numId w:val="57"/>
        </w:numPr>
        <w:rPr>
          <w:rFonts w:cs="Century Gothic"/>
          <w:iCs/>
          <w:szCs w:val="22"/>
        </w:rPr>
      </w:pPr>
      <w:r>
        <w:rPr>
          <w:rFonts w:cs="Century Gothic"/>
          <w:b/>
          <w:iCs/>
          <w:szCs w:val="22"/>
        </w:rPr>
        <w:t>Papilomaviry</w:t>
      </w:r>
      <w:r>
        <w:rPr>
          <w:rFonts w:cs="Century Gothic"/>
          <w:iCs/>
          <w:szCs w:val="22"/>
        </w:rPr>
        <w:t xml:space="preserve"> způsobují bradavice na kůži a tzv. condylomata accuminata na pohlavních orgánech. Mají také vztah k rakovině děložního čípku. </w:t>
      </w:r>
      <w:proofErr w:type="gramStart"/>
      <w:r>
        <w:rPr>
          <w:rFonts w:cs="Century Gothic"/>
          <w:iCs/>
          <w:szCs w:val="22"/>
        </w:rPr>
        <w:t>nyní</w:t>
      </w:r>
      <w:proofErr w:type="gramEnd"/>
      <w:r>
        <w:rPr>
          <w:rFonts w:cs="Century Gothic"/>
          <w:iCs/>
          <w:szCs w:val="22"/>
        </w:rPr>
        <w:t xml:space="preserve"> se proti nim očkuje. </w:t>
      </w:r>
      <w:r w:rsidR="00186F9F">
        <w:rPr>
          <w:rFonts w:cs="Century Gothic"/>
          <w:iCs/>
          <w:szCs w:val="22"/>
        </w:rPr>
        <w:t>Papilomavirové bradavice se mohou vyskytovat i v ústní dutině.</w:t>
      </w:r>
    </w:p>
    <w:tbl>
      <w:tblPr>
        <w:tblStyle w:val="Mkatabulky"/>
        <w:tblW w:w="0" w:type="auto"/>
        <w:tblInd w:w="113" w:type="dxa"/>
        <w:tblLook w:val="04A0"/>
      </w:tblPr>
      <w:tblGrid>
        <w:gridCol w:w="5858"/>
        <w:gridCol w:w="1576"/>
      </w:tblGrid>
      <w:tr w:rsidR="00316A4C" w:rsidTr="00316A4C">
        <w:tc>
          <w:tcPr>
            <w:tcW w:w="5858" w:type="dxa"/>
          </w:tcPr>
          <w:p w:rsidR="00316A4C" w:rsidRDefault="00316A4C" w:rsidP="00316A4C">
            <w:pPr>
              <w:ind w:left="0" w:firstLine="0"/>
              <w:rPr>
                <w:rFonts w:cs="Century Gothic"/>
                <w:iCs/>
                <w:szCs w:val="22"/>
              </w:rPr>
            </w:pPr>
            <w:r>
              <w:rPr>
                <w:rFonts w:cs="Century Gothic"/>
                <w:iCs/>
                <w:noProof/>
                <w:szCs w:val="22"/>
              </w:rPr>
              <w:drawing>
                <wp:inline distT="0" distB="0" distL="0" distR="0">
                  <wp:extent cx="3563487" cy="2259460"/>
                  <wp:effectExtent l="19050" t="0" r="0" b="0"/>
                  <wp:docPr id="64" name="Obrázek 63" descr="V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46.jpg"/>
                          <pic:cNvPicPr/>
                        </pic:nvPicPr>
                        <pic:blipFill>
                          <a:blip r:embed="rId51"/>
                          <a:srcRect l="3060" t="6153" r="9981" b="11065"/>
                          <a:stretch>
                            <a:fillRect/>
                          </a:stretch>
                        </pic:blipFill>
                        <pic:spPr>
                          <a:xfrm>
                            <a:off x="0" y="0"/>
                            <a:ext cx="3567032" cy="2261708"/>
                          </a:xfrm>
                          <a:prstGeom prst="rect">
                            <a:avLst/>
                          </a:prstGeom>
                        </pic:spPr>
                      </pic:pic>
                    </a:graphicData>
                  </a:graphic>
                </wp:inline>
              </w:drawing>
            </w:r>
          </w:p>
        </w:tc>
        <w:tc>
          <w:tcPr>
            <w:tcW w:w="1576" w:type="dxa"/>
          </w:tcPr>
          <w:p w:rsidR="00316A4C" w:rsidRDefault="00316A4C" w:rsidP="00316A4C">
            <w:pPr>
              <w:ind w:left="0" w:firstLine="0"/>
              <w:rPr>
                <w:rFonts w:cs="Century Gothic"/>
                <w:iCs/>
                <w:szCs w:val="22"/>
              </w:rPr>
            </w:pPr>
            <w:r>
              <w:rPr>
                <w:rFonts w:cs="Century Gothic"/>
                <w:iCs/>
                <w:szCs w:val="22"/>
              </w:rPr>
              <w:t>Condylomata accuminata</w:t>
            </w:r>
          </w:p>
        </w:tc>
      </w:tr>
    </w:tbl>
    <w:p w:rsidR="00521B96" w:rsidRDefault="00521B96">
      <w:pPr>
        <w:numPr>
          <w:ilvl w:val="0"/>
          <w:numId w:val="57"/>
        </w:numPr>
        <w:rPr>
          <w:rFonts w:cs="Century Gothic"/>
          <w:szCs w:val="22"/>
        </w:rPr>
      </w:pPr>
      <w:r>
        <w:rPr>
          <w:rFonts w:cs="Century Gothic"/>
          <w:b/>
          <w:iCs/>
          <w:szCs w:val="22"/>
        </w:rPr>
        <w:t>Polyomaviry</w:t>
      </w:r>
      <w:r>
        <w:rPr>
          <w:rFonts w:cs="Century Gothic"/>
          <w:iCs/>
          <w:szCs w:val="22"/>
        </w:rPr>
        <w:t xml:space="preserve"> způsobují některá vzácná onemocnění</w:t>
      </w:r>
    </w:p>
    <w:p w:rsidR="00521B96" w:rsidRDefault="00521B96">
      <w:pPr>
        <w:pStyle w:val="Nadpis3"/>
      </w:pPr>
      <w:r>
        <w:t>4.1.6 Virus hepatitidy B</w:t>
      </w:r>
    </w:p>
    <w:p w:rsidR="00521B96" w:rsidRDefault="00521B96">
      <w:pPr>
        <w:rPr>
          <w:rFonts w:cs="Century Gothic"/>
          <w:szCs w:val="22"/>
        </w:rPr>
      </w:pPr>
      <w:r>
        <w:rPr>
          <w:rFonts w:cs="Century Gothic"/>
          <w:iCs/>
          <w:szCs w:val="22"/>
        </w:rPr>
        <w:t>Stejně jako viry ostatních hepatitid je popsán v kapitole 9.2</w:t>
      </w:r>
    </w:p>
    <w:p w:rsidR="00521B96" w:rsidRDefault="00521B96">
      <w:pPr>
        <w:pStyle w:val="Nadpis2"/>
      </w:pPr>
      <w:bookmarkStart w:id="22" w:name="_Toc342466762"/>
      <w:bookmarkStart w:id="23" w:name="_Toc342466837"/>
      <w:r>
        <w:t>4.2 Nejdůležitější RNA viry</w:t>
      </w:r>
      <w:bookmarkEnd w:id="22"/>
      <w:bookmarkEnd w:id="23"/>
    </w:p>
    <w:p w:rsidR="00521B96" w:rsidRDefault="00521B96">
      <w:pPr>
        <w:pStyle w:val="Nadpis3"/>
      </w:pPr>
      <w:r>
        <w:t>4.2.1 Pikornaviry</w:t>
      </w:r>
    </w:p>
    <w:p w:rsidR="00521B96" w:rsidRDefault="00521B96">
      <w:r>
        <w:t xml:space="preserve">Patří sem </w:t>
      </w:r>
      <w:r>
        <w:rPr>
          <w:b/>
          <w:u w:val="single"/>
        </w:rPr>
        <w:t>enteroviry</w:t>
      </w:r>
      <w:r>
        <w:t xml:space="preserve">, které na rozdíl od enterobakterií nemají tak těsný vztah ke střevu. Sice se přenášejí trávicími cestami, způsobovat však mohou infekce různého typu. Dále se dělí </w:t>
      </w:r>
      <w:proofErr w:type="gramStart"/>
      <w:r>
        <w:t>na</w:t>
      </w:r>
      <w:proofErr w:type="gramEnd"/>
      <w:r>
        <w:t>:</w:t>
      </w:r>
    </w:p>
    <w:p w:rsidR="00521B96" w:rsidRDefault="00521B96">
      <w:pPr>
        <w:numPr>
          <w:ilvl w:val="0"/>
          <w:numId w:val="58"/>
        </w:numPr>
        <w:rPr>
          <w:rFonts w:cs="Century Gothic"/>
          <w:bCs/>
          <w:szCs w:val="22"/>
        </w:rPr>
      </w:pPr>
      <w:r>
        <w:rPr>
          <w:rFonts w:cs="Century Gothic"/>
          <w:b/>
          <w:bCs/>
          <w:szCs w:val="22"/>
        </w:rPr>
        <w:t>Polioviry</w:t>
      </w:r>
      <w:r>
        <w:rPr>
          <w:rFonts w:cs="Century Gothic"/>
          <w:bCs/>
          <w:szCs w:val="22"/>
        </w:rPr>
        <w:t xml:space="preserve"> – viry dětské obrny, závažné neuroinfekce. Díky Salkově a Sabinově vakcíně se dnes v Evropě prakticky nevyskytují</w:t>
      </w:r>
      <w:r w:rsidR="00186F9F">
        <w:rPr>
          <w:rFonts w:cs="Century Gothic"/>
          <w:bCs/>
          <w:szCs w:val="22"/>
        </w:rPr>
        <w:t>.</w:t>
      </w:r>
    </w:p>
    <w:p w:rsidR="00521B96" w:rsidRDefault="00521B96" w:rsidP="00186F9F">
      <w:pPr>
        <w:numPr>
          <w:ilvl w:val="0"/>
          <w:numId w:val="58"/>
        </w:numPr>
        <w:rPr>
          <w:rFonts w:cs="Century Gothic"/>
          <w:b/>
          <w:bCs/>
          <w:i/>
          <w:szCs w:val="22"/>
        </w:rPr>
      </w:pPr>
      <w:r>
        <w:rPr>
          <w:rFonts w:cs="Century Gothic"/>
          <w:b/>
          <w:bCs/>
          <w:szCs w:val="22"/>
        </w:rPr>
        <w:t>Coxsackieviry, echoviry a ostatní enteroviry</w:t>
      </w:r>
      <w:r>
        <w:rPr>
          <w:rFonts w:cs="Century Gothic"/>
          <w:bCs/>
          <w:szCs w:val="22"/>
        </w:rPr>
        <w:t xml:space="preserve"> – způsobují různé potíže, např. dýchací, nervové, někdy i horečky, krvácivé projevy apod.</w:t>
      </w:r>
    </w:p>
    <w:p w:rsidR="00521B96" w:rsidRDefault="00521B96">
      <w:pPr>
        <w:numPr>
          <w:ilvl w:val="0"/>
          <w:numId w:val="58"/>
        </w:numPr>
        <w:rPr>
          <w:rFonts w:cs="Century Gothic"/>
          <w:b/>
          <w:bCs/>
          <w:i/>
          <w:szCs w:val="22"/>
        </w:rPr>
      </w:pPr>
      <w:r>
        <w:rPr>
          <w:rFonts w:cs="Century Gothic"/>
          <w:b/>
          <w:bCs/>
          <w:szCs w:val="22"/>
        </w:rPr>
        <w:t>Virus hepatitidy A</w:t>
      </w:r>
      <w:r>
        <w:rPr>
          <w:rFonts w:cs="Century Gothic"/>
          <w:bCs/>
          <w:szCs w:val="22"/>
        </w:rPr>
        <w:t xml:space="preserve"> už dnes přímo mezi enteroviry nepatří, ale je s nimi příbuzný.</w:t>
      </w:r>
    </w:p>
    <w:p w:rsidR="00521B96" w:rsidRDefault="00521B96">
      <w:pPr>
        <w:ind w:left="0" w:firstLine="0"/>
        <w:rPr>
          <w:rFonts w:cs="Century Gothic"/>
          <w:szCs w:val="22"/>
        </w:rPr>
      </w:pPr>
      <w:r>
        <w:rPr>
          <w:rFonts w:cs="Century Gothic"/>
          <w:b/>
          <w:szCs w:val="22"/>
          <w:u w:val="single"/>
        </w:rPr>
        <w:t>Rhinoviry</w:t>
      </w:r>
      <w:r>
        <w:rPr>
          <w:rFonts w:cs="Century Gothic"/>
          <w:szCs w:val="22"/>
        </w:rPr>
        <w:t xml:space="preserve"> jsou viry běžné rýmy. Ne každá rýma je ale způsobena právě těmito viry.</w:t>
      </w:r>
    </w:p>
    <w:tbl>
      <w:tblPr>
        <w:tblStyle w:val="Mkatabulky"/>
        <w:tblW w:w="0" w:type="auto"/>
        <w:tblLook w:val="04A0"/>
      </w:tblPr>
      <w:tblGrid>
        <w:gridCol w:w="3216"/>
        <w:gridCol w:w="3253"/>
        <w:gridCol w:w="2286"/>
      </w:tblGrid>
      <w:tr w:rsidR="000E17DA" w:rsidTr="000E17DA">
        <w:tc>
          <w:tcPr>
            <w:tcW w:w="3216" w:type="dxa"/>
          </w:tcPr>
          <w:p w:rsidR="000E17DA" w:rsidRDefault="000E17DA">
            <w:pPr>
              <w:ind w:left="0" w:firstLine="0"/>
              <w:rPr>
                <w:rFonts w:cs="Century Gothic"/>
                <w:szCs w:val="22"/>
              </w:rPr>
            </w:pPr>
            <w:r>
              <w:rPr>
                <w:rFonts w:cs="Century Gothic"/>
                <w:noProof/>
                <w:szCs w:val="22"/>
              </w:rPr>
              <w:drawing>
                <wp:inline distT="0" distB="0" distL="0" distR="0">
                  <wp:extent cx="1877989" cy="1380246"/>
                  <wp:effectExtent l="19050" t="0" r="7961" b="0"/>
                  <wp:docPr id="65" name="Obrázek 64" descr="V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60.jpg"/>
                          <pic:cNvPicPr/>
                        </pic:nvPicPr>
                        <pic:blipFill>
                          <a:blip r:embed="rId52"/>
                          <a:srcRect l="13873" t="5586" r="16288" b="17318"/>
                          <a:stretch>
                            <a:fillRect/>
                          </a:stretch>
                        </pic:blipFill>
                        <pic:spPr>
                          <a:xfrm>
                            <a:off x="0" y="0"/>
                            <a:ext cx="1877989" cy="1380246"/>
                          </a:xfrm>
                          <a:prstGeom prst="rect">
                            <a:avLst/>
                          </a:prstGeom>
                        </pic:spPr>
                      </pic:pic>
                    </a:graphicData>
                  </a:graphic>
                </wp:inline>
              </w:drawing>
            </w:r>
          </w:p>
        </w:tc>
        <w:tc>
          <w:tcPr>
            <w:tcW w:w="3253" w:type="dxa"/>
          </w:tcPr>
          <w:p w:rsidR="000E17DA" w:rsidRDefault="000E17DA">
            <w:pPr>
              <w:ind w:left="0" w:firstLine="0"/>
              <w:rPr>
                <w:rFonts w:cs="Century Gothic"/>
                <w:szCs w:val="22"/>
              </w:rPr>
            </w:pPr>
            <w:r>
              <w:rPr>
                <w:rFonts w:cs="Century Gothic"/>
                <w:noProof/>
                <w:szCs w:val="22"/>
              </w:rPr>
              <w:drawing>
                <wp:inline distT="0" distB="0" distL="0" distR="0">
                  <wp:extent cx="1909152" cy="1378423"/>
                  <wp:effectExtent l="19050" t="0" r="0" b="0"/>
                  <wp:docPr id="66" name="Obrázek 65" descr="V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59.jpg"/>
                          <pic:cNvPicPr/>
                        </pic:nvPicPr>
                        <pic:blipFill>
                          <a:blip r:embed="rId53"/>
                          <a:srcRect l="12754" t="8938" r="18489" b="16760"/>
                          <a:stretch>
                            <a:fillRect/>
                          </a:stretch>
                        </pic:blipFill>
                        <pic:spPr>
                          <a:xfrm>
                            <a:off x="0" y="0"/>
                            <a:ext cx="1909154" cy="1378424"/>
                          </a:xfrm>
                          <a:prstGeom prst="rect">
                            <a:avLst/>
                          </a:prstGeom>
                        </pic:spPr>
                      </pic:pic>
                    </a:graphicData>
                  </a:graphic>
                </wp:inline>
              </w:drawing>
            </w:r>
          </w:p>
        </w:tc>
        <w:tc>
          <w:tcPr>
            <w:tcW w:w="2286" w:type="dxa"/>
          </w:tcPr>
          <w:p w:rsidR="000E17DA" w:rsidRDefault="000E17DA">
            <w:pPr>
              <w:ind w:left="0" w:firstLine="0"/>
              <w:rPr>
                <w:rFonts w:cs="Century Gothic"/>
                <w:szCs w:val="22"/>
              </w:rPr>
            </w:pPr>
            <w:r>
              <w:rPr>
                <w:rFonts w:cs="Century Gothic"/>
                <w:szCs w:val="22"/>
              </w:rPr>
              <w:t>Vlevo buněčná kultura, vpravo tatáž buněčná kultura s cytopatickým efektem rhinoviru</w:t>
            </w:r>
          </w:p>
        </w:tc>
      </w:tr>
    </w:tbl>
    <w:p w:rsidR="00521B96" w:rsidRDefault="00521B96">
      <w:pPr>
        <w:pStyle w:val="Nadpis3"/>
      </w:pPr>
      <w:r>
        <w:t>4.2.2 Rotaviry</w:t>
      </w:r>
    </w:p>
    <w:p w:rsidR="00521B96" w:rsidRDefault="00521B96">
      <w:r>
        <w:t>Jsou to nejdůležitější původci závažných průjmů u kojenců a malých dětí, ale i u seniorů.</w:t>
      </w:r>
    </w:p>
    <w:p w:rsidR="00521B96" w:rsidRDefault="00521B96">
      <w:pPr>
        <w:pStyle w:val="Nadpis3"/>
      </w:pPr>
      <w:r>
        <w:lastRenderedPageBreak/>
        <w:t>4.2.3 Kaliciviry</w:t>
      </w:r>
    </w:p>
    <w:p w:rsidR="00521B96" w:rsidRDefault="00186F9F">
      <w:pPr>
        <w:ind w:left="0" w:firstLine="0"/>
        <w:rPr>
          <w:rFonts w:cs="Century Gothic"/>
          <w:iCs/>
          <w:szCs w:val="22"/>
        </w:rPr>
      </w:pPr>
      <w:r>
        <w:rPr>
          <w:rFonts w:cs="Century Gothic"/>
          <w:szCs w:val="22"/>
        </w:rPr>
        <w:t xml:space="preserve">Nejvýznamnější jsou </w:t>
      </w:r>
      <w:r w:rsidRPr="00186F9F">
        <w:rPr>
          <w:rFonts w:cs="Century Gothic"/>
          <w:b/>
          <w:bCs/>
          <w:szCs w:val="22"/>
        </w:rPr>
        <w:t>noroviry a sapoviry</w:t>
      </w:r>
      <w:r>
        <w:rPr>
          <w:rFonts w:cs="Century Gothic"/>
          <w:szCs w:val="22"/>
        </w:rPr>
        <w:t>, v obou případech původci průjmů. Předpokládá se, že noroviry jsou zodpovědné za mnohé významné epidemie, zejména na velkých výletních lodích.</w:t>
      </w:r>
      <w:r w:rsidR="00521B96">
        <w:rPr>
          <w:rFonts w:cs="Century Gothic"/>
          <w:szCs w:val="22"/>
        </w:rPr>
        <w:t xml:space="preserve"> </w:t>
      </w:r>
      <w:r>
        <w:rPr>
          <w:rFonts w:cs="Century Gothic"/>
          <w:szCs w:val="22"/>
        </w:rPr>
        <w:t xml:space="preserve">Příbuzný kalicivirům (ale dnes už za kalicivirus přímo nepovažovaný) je </w:t>
      </w:r>
      <w:r w:rsidR="00521B96" w:rsidRPr="00186F9F">
        <w:rPr>
          <w:rFonts w:cs="Century Gothic"/>
          <w:b/>
          <w:bCs/>
          <w:szCs w:val="22"/>
        </w:rPr>
        <w:t>virus hepatitidy E</w:t>
      </w:r>
      <w:r w:rsidR="00521B96">
        <w:rPr>
          <w:rFonts w:cs="Century Gothic"/>
          <w:szCs w:val="22"/>
        </w:rPr>
        <w:t>.</w:t>
      </w:r>
    </w:p>
    <w:p w:rsidR="00521B96" w:rsidRDefault="00521B96">
      <w:pPr>
        <w:pStyle w:val="Nadpis3"/>
      </w:pPr>
      <w:r>
        <w:t>4.2.4 Togaviry</w:t>
      </w:r>
    </w:p>
    <w:p w:rsidR="00521B96" w:rsidRDefault="00521B96">
      <w:pPr>
        <w:ind w:left="0" w:firstLine="0"/>
        <w:rPr>
          <w:rFonts w:cs="Century Gothic"/>
          <w:szCs w:val="22"/>
        </w:rPr>
      </w:pPr>
      <w:r>
        <w:rPr>
          <w:rFonts w:cs="Century Gothic"/>
          <w:szCs w:val="22"/>
        </w:rPr>
        <w:t xml:space="preserve">Pro člověka je významný především </w:t>
      </w:r>
      <w:r w:rsidRPr="00186F9F">
        <w:rPr>
          <w:rFonts w:cs="Century Gothic"/>
          <w:b/>
          <w:bCs/>
          <w:szCs w:val="22"/>
        </w:rPr>
        <w:t>virus zarděnek</w:t>
      </w:r>
      <w:r>
        <w:rPr>
          <w:rFonts w:cs="Century Gothic"/>
          <w:szCs w:val="22"/>
        </w:rPr>
        <w:t xml:space="preserve"> (dětská nemoc s vyrážkou, očkuje se)</w:t>
      </w:r>
      <w:r w:rsidR="00186F9F">
        <w:rPr>
          <w:rFonts w:cs="Century Gothic"/>
          <w:szCs w:val="22"/>
        </w:rPr>
        <w:t xml:space="preserve">. Kromě něj do této skupiny patři některé arboviry (= viry přenášené členovci). V posledních letech byly i do Evropy zavlečeny (z východní Afriky) viry způsobující horečky a neurologické příznaky s názvy </w:t>
      </w:r>
      <w:r w:rsidR="00186F9F" w:rsidRPr="00186F9F">
        <w:rPr>
          <w:rFonts w:cs="Century Gothic"/>
          <w:b/>
          <w:bCs/>
          <w:szCs w:val="22"/>
        </w:rPr>
        <w:t>chikungunya</w:t>
      </w:r>
      <w:r w:rsidR="00186F9F">
        <w:rPr>
          <w:rFonts w:cs="Century Gothic"/>
          <w:szCs w:val="22"/>
        </w:rPr>
        <w:t xml:space="preserve"> a </w:t>
      </w:r>
      <w:r w:rsidR="00186F9F" w:rsidRPr="00186F9F">
        <w:rPr>
          <w:rFonts w:cs="Century Gothic"/>
          <w:b/>
          <w:bCs/>
          <w:szCs w:val="22"/>
        </w:rPr>
        <w:t>o’nyongnyong</w:t>
      </w:r>
      <w:r w:rsidR="00186F9F">
        <w:rPr>
          <w:rFonts w:cs="Century Gothic"/>
          <w:szCs w:val="22"/>
        </w:rPr>
        <w:t>.</w:t>
      </w:r>
    </w:p>
    <w:p w:rsidR="00521B96" w:rsidRDefault="00521B96">
      <w:pPr>
        <w:pStyle w:val="Nadpis3"/>
      </w:pPr>
      <w:r>
        <w:t>4.2.5 Flaviviry</w:t>
      </w:r>
    </w:p>
    <w:p w:rsidR="00521B96" w:rsidRDefault="00521B96">
      <w:pPr>
        <w:numPr>
          <w:ilvl w:val="0"/>
          <w:numId w:val="59"/>
        </w:numPr>
        <w:rPr>
          <w:rFonts w:cs="Century Gothic"/>
          <w:iCs/>
          <w:szCs w:val="22"/>
        </w:rPr>
      </w:pPr>
      <w:r>
        <w:rPr>
          <w:rFonts w:cs="Century Gothic"/>
          <w:b/>
          <w:iCs/>
          <w:szCs w:val="22"/>
        </w:rPr>
        <w:t>Virus středoevropské klíšťové encefalitidy</w:t>
      </w:r>
      <w:r>
        <w:rPr>
          <w:rFonts w:cs="Century Gothic"/>
          <w:iCs/>
          <w:szCs w:val="22"/>
        </w:rPr>
        <w:t xml:space="preserve"> – významná, klíšťaty přenášená nemoc, zánět mozku a mozkových blan.</w:t>
      </w:r>
    </w:p>
    <w:p w:rsidR="00521B96" w:rsidRDefault="00521B96">
      <w:pPr>
        <w:numPr>
          <w:ilvl w:val="0"/>
          <w:numId w:val="59"/>
        </w:numPr>
        <w:rPr>
          <w:rFonts w:cs="Century Gothic"/>
          <w:iCs/>
          <w:szCs w:val="22"/>
        </w:rPr>
      </w:pPr>
      <w:r>
        <w:rPr>
          <w:rFonts w:cs="Century Gothic"/>
          <w:b/>
          <w:iCs/>
          <w:szCs w:val="22"/>
        </w:rPr>
        <w:t xml:space="preserve">Tropické flaviviry </w:t>
      </w:r>
      <w:r>
        <w:rPr>
          <w:rFonts w:cs="Century Gothic"/>
          <w:iCs/>
          <w:szCs w:val="22"/>
        </w:rPr>
        <w:t xml:space="preserve">– </w:t>
      </w:r>
      <w:r>
        <w:rPr>
          <w:rFonts w:cs="Century Gothic"/>
          <w:szCs w:val="22"/>
        </w:rPr>
        <w:t>Patří sem viry tropických nemocí – žluté zimnice a horečky dengue</w:t>
      </w:r>
    </w:p>
    <w:p w:rsidR="00521B96" w:rsidRDefault="00521B96">
      <w:pPr>
        <w:numPr>
          <w:ilvl w:val="0"/>
          <w:numId w:val="59"/>
        </w:numPr>
        <w:rPr>
          <w:rFonts w:cs="Century Gothic"/>
          <w:iCs/>
          <w:szCs w:val="22"/>
        </w:rPr>
      </w:pPr>
      <w:r>
        <w:rPr>
          <w:rFonts w:cs="Century Gothic"/>
          <w:b/>
          <w:iCs/>
          <w:szCs w:val="22"/>
        </w:rPr>
        <w:t>Virus hepatitidy C</w:t>
      </w:r>
    </w:p>
    <w:p w:rsidR="00521B96" w:rsidRDefault="00521B96">
      <w:pPr>
        <w:pStyle w:val="Nadpis3"/>
      </w:pPr>
      <w:r>
        <w:t>4.2.6 Koronaviry</w:t>
      </w:r>
    </w:p>
    <w:p w:rsidR="00521B96" w:rsidRDefault="00521B96">
      <w:pPr>
        <w:numPr>
          <w:ilvl w:val="0"/>
          <w:numId w:val="60"/>
        </w:numPr>
        <w:rPr>
          <w:rFonts w:cs="Century Gothic"/>
          <w:iCs/>
          <w:szCs w:val="22"/>
        </w:rPr>
      </w:pPr>
      <w:r>
        <w:rPr>
          <w:rFonts w:cs="Century Gothic"/>
          <w:b/>
          <w:iCs/>
          <w:szCs w:val="22"/>
        </w:rPr>
        <w:t>Běžné respirační koronaviry</w:t>
      </w:r>
      <w:r>
        <w:rPr>
          <w:rFonts w:cs="Century Gothic"/>
          <w:iCs/>
          <w:szCs w:val="22"/>
        </w:rPr>
        <w:t xml:space="preserve"> se podílejí asi na čtvrtině případů infekční rýmy.</w:t>
      </w:r>
    </w:p>
    <w:p w:rsidR="00521B96" w:rsidRDefault="00521B96">
      <w:pPr>
        <w:numPr>
          <w:ilvl w:val="0"/>
          <w:numId w:val="60"/>
        </w:numPr>
        <w:rPr>
          <w:rFonts w:cs="Century Gothic"/>
          <w:iCs/>
          <w:szCs w:val="22"/>
        </w:rPr>
      </w:pPr>
      <w:r>
        <w:rPr>
          <w:rFonts w:cs="Century Gothic"/>
          <w:b/>
          <w:iCs/>
          <w:szCs w:val="22"/>
        </w:rPr>
        <w:t>Virus SARS</w:t>
      </w:r>
      <w:r>
        <w:rPr>
          <w:rFonts w:cs="Century Gothic"/>
          <w:iCs/>
          <w:szCs w:val="22"/>
        </w:rPr>
        <w:t>, objevený nedávno, způsobil epidemii těžké a smrtící respirační infekce v Asii</w:t>
      </w:r>
    </w:p>
    <w:p w:rsidR="00521B96" w:rsidRDefault="00521B96">
      <w:pPr>
        <w:pStyle w:val="Nadpis3"/>
      </w:pPr>
      <w:r>
        <w:t>4.2.7 Paramyxoviry</w:t>
      </w:r>
    </w:p>
    <w:p w:rsidR="00521B96" w:rsidRDefault="00521B96">
      <w:pPr>
        <w:pStyle w:val="Nadpis4"/>
        <w:numPr>
          <w:ilvl w:val="0"/>
          <w:numId w:val="61"/>
        </w:numPr>
        <w:rPr>
          <w:rFonts w:cs="Century Gothic"/>
          <w:bCs w:val="0"/>
          <w:iCs/>
          <w:sz w:val="20"/>
          <w:szCs w:val="22"/>
        </w:rPr>
      </w:pPr>
      <w:r>
        <w:rPr>
          <w:rFonts w:cs="Century Gothic"/>
          <w:bCs w:val="0"/>
          <w:iCs/>
          <w:sz w:val="20"/>
          <w:szCs w:val="22"/>
        </w:rPr>
        <w:t xml:space="preserve">Viry parachřipky </w:t>
      </w:r>
      <w:r>
        <w:rPr>
          <w:rFonts w:cs="Century Gothic"/>
          <w:b w:val="0"/>
          <w:bCs w:val="0"/>
          <w:iCs/>
          <w:sz w:val="20"/>
          <w:szCs w:val="22"/>
        </w:rPr>
        <w:t>způsobují takzvanou parachřipku, nemoc podobnou chřipce, ale lehčí a na rozdíl od ní postihující i horní dýchací cesty</w:t>
      </w:r>
    </w:p>
    <w:p w:rsidR="00521B96" w:rsidRDefault="00521B96">
      <w:pPr>
        <w:pStyle w:val="Nadpis4"/>
        <w:numPr>
          <w:ilvl w:val="0"/>
          <w:numId w:val="61"/>
        </w:numPr>
        <w:rPr>
          <w:rFonts w:cs="Century Gothic"/>
          <w:b w:val="0"/>
          <w:bCs w:val="0"/>
          <w:iCs/>
          <w:sz w:val="20"/>
          <w:szCs w:val="22"/>
        </w:rPr>
      </w:pPr>
      <w:r>
        <w:rPr>
          <w:rFonts w:cs="Century Gothic"/>
          <w:bCs w:val="0"/>
          <w:iCs/>
          <w:sz w:val="20"/>
          <w:szCs w:val="22"/>
        </w:rPr>
        <w:t xml:space="preserve">Virus spalniček </w:t>
      </w:r>
      <w:r>
        <w:rPr>
          <w:rFonts w:cs="Century Gothic"/>
          <w:b w:val="0"/>
          <w:bCs w:val="0"/>
          <w:iCs/>
          <w:sz w:val="20"/>
          <w:szCs w:val="22"/>
        </w:rPr>
        <w:t>způsobuje spalničky, latinsky morbilli. Spalničky jsou ze všech dětských nemocí s vyrážkou nejzávažnější, děti mají vysokou teplotu a jsou plačtivé. Očkuje se.</w:t>
      </w:r>
    </w:p>
    <w:p w:rsidR="00521B96" w:rsidRDefault="00521B96">
      <w:pPr>
        <w:pStyle w:val="Nadpis4"/>
        <w:numPr>
          <w:ilvl w:val="0"/>
          <w:numId w:val="61"/>
        </w:numPr>
        <w:rPr>
          <w:rFonts w:cs="Century Gothic"/>
          <w:b w:val="0"/>
          <w:bCs w:val="0"/>
          <w:iCs/>
          <w:sz w:val="20"/>
          <w:szCs w:val="22"/>
        </w:rPr>
      </w:pPr>
      <w:r>
        <w:rPr>
          <w:rFonts w:cs="Century Gothic"/>
          <w:bCs w:val="0"/>
          <w:iCs/>
          <w:sz w:val="20"/>
          <w:szCs w:val="22"/>
        </w:rPr>
        <w:t>Virus příušnic</w:t>
      </w:r>
      <w:r>
        <w:rPr>
          <w:rFonts w:cs="Century Gothic"/>
          <w:b w:val="0"/>
          <w:bCs w:val="0"/>
          <w:iCs/>
          <w:sz w:val="20"/>
          <w:szCs w:val="22"/>
        </w:rPr>
        <w:t xml:space="preserve"> způsobuje dětské příušnice, nebezpečné u dospělých mužů (varlata)</w:t>
      </w:r>
    </w:p>
    <w:p w:rsidR="00521B96" w:rsidRPr="000E17DA" w:rsidRDefault="00521B96">
      <w:pPr>
        <w:numPr>
          <w:ilvl w:val="0"/>
          <w:numId w:val="61"/>
        </w:numPr>
      </w:pPr>
      <w:r>
        <w:rPr>
          <w:rFonts w:cs="Century Gothic"/>
          <w:b/>
          <w:iCs/>
          <w:szCs w:val="22"/>
        </w:rPr>
        <w:t xml:space="preserve">Respirační synciciální virus (RS virus) </w:t>
      </w:r>
      <w:r>
        <w:rPr>
          <w:rFonts w:cs="Century Gothic"/>
          <w:iCs/>
          <w:szCs w:val="22"/>
        </w:rPr>
        <w:t>napadá dolní cesty dýchací kojenců.</w:t>
      </w:r>
    </w:p>
    <w:tbl>
      <w:tblPr>
        <w:tblStyle w:val="Mkatabulky"/>
        <w:tblW w:w="0" w:type="auto"/>
        <w:tblInd w:w="113" w:type="dxa"/>
        <w:tblLook w:val="04A0"/>
      </w:tblPr>
      <w:tblGrid>
        <w:gridCol w:w="4815"/>
        <w:gridCol w:w="1984"/>
      </w:tblGrid>
      <w:tr w:rsidR="000E17DA" w:rsidTr="000E17DA">
        <w:tc>
          <w:tcPr>
            <w:tcW w:w="4815" w:type="dxa"/>
          </w:tcPr>
          <w:p w:rsidR="000E17DA" w:rsidRDefault="000E17DA" w:rsidP="000E17DA">
            <w:pPr>
              <w:ind w:left="0" w:firstLine="0"/>
            </w:pPr>
            <w:r>
              <w:rPr>
                <w:noProof/>
              </w:rPr>
              <w:drawing>
                <wp:inline distT="0" distB="0" distL="0" distR="0">
                  <wp:extent cx="2887923" cy="1576190"/>
                  <wp:effectExtent l="19050" t="0" r="7677" b="0"/>
                  <wp:docPr id="68" name="Obrázek 67" descr="V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61.jpg"/>
                          <pic:cNvPicPr/>
                        </pic:nvPicPr>
                        <pic:blipFill>
                          <a:blip r:embed="rId54"/>
                          <a:srcRect l="7907" t="13436" r="15569" b="23864"/>
                          <a:stretch>
                            <a:fillRect/>
                          </a:stretch>
                        </pic:blipFill>
                        <pic:spPr>
                          <a:xfrm>
                            <a:off x="0" y="0"/>
                            <a:ext cx="2892190" cy="1578519"/>
                          </a:xfrm>
                          <a:prstGeom prst="rect">
                            <a:avLst/>
                          </a:prstGeom>
                        </pic:spPr>
                      </pic:pic>
                    </a:graphicData>
                  </a:graphic>
                </wp:inline>
              </w:drawing>
            </w:r>
          </w:p>
        </w:tc>
        <w:tc>
          <w:tcPr>
            <w:tcW w:w="1984" w:type="dxa"/>
          </w:tcPr>
          <w:p w:rsidR="000E17DA" w:rsidRDefault="000E17DA" w:rsidP="000E17DA">
            <w:pPr>
              <w:ind w:left="0" w:firstLine="0"/>
            </w:pPr>
            <w:r>
              <w:t>Paramyxovirový cytopatický efekt</w:t>
            </w:r>
          </w:p>
        </w:tc>
      </w:tr>
    </w:tbl>
    <w:p w:rsidR="00521B96" w:rsidRDefault="00521B96">
      <w:pPr>
        <w:pStyle w:val="Nadpis3"/>
      </w:pPr>
      <w:r>
        <w:t>4.2.8 Virus vztekliny</w:t>
      </w:r>
    </w:p>
    <w:p w:rsidR="00521B96" w:rsidRDefault="00521B96">
      <w:r>
        <w:t>Způsobuje závažné onemocnění. Když se rozvine, již není léčitelné, a pacient v bolestech umírá.</w:t>
      </w:r>
    </w:p>
    <w:p w:rsidR="00521B96" w:rsidRDefault="00521B96">
      <w:pPr>
        <w:pStyle w:val="Nadpis3"/>
      </w:pPr>
      <w:r>
        <w:t>4.2.9 Filoviry a arenaviry</w:t>
      </w:r>
    </w:p>
    <w:p w:rsidR="00521B96" w:rsidRDefault="00521B96">
      <w:r>
        <w:t xml:space="preserve">Patří sem viry tzv. hemoragických horeček – vzácné, ale závažné. Mezi filoviry </w:t>
      </w:r>
      <w:proofErr w:type="gramStart"/>
      <w:r>
        <w:t>patří  virus</w:t>
      </w:r>
      <w:proofErr w:type="gramEnd"/>
      <w:r>
        <w:t xml:space="preserve"> marburgské horečky a virus horečky Ebola. Mezi arenaviry zase původce horečky lassa.</w:t>
      </w:r>
    </w:p>
    <w:p w:rsidR="00521B96" w:rsidRDefault="00521B96">
      <w:pPr>
        <w:pStyle w:val="Nadpis3"/>
      </w:pPr>
      <w:proofErr w:type="gramStart"/>
      <w:r>
        <w:t>4.2.10</w:t>
      </w:r>
      <w:proofErr w:type="gramEnd"/>
      <w:r>
        <w:t xml:space="preserve"> Orthomyxoviry (viry pravé chřipky)</w:t>
      </w:r>
    </w:p>
    <w:p w:rsidR="00521B96" w:rsidRDefault="00521B96">
      <w:pPr>
        <w:rPr>
          <w:szCs w:val="22"/>
        </w:rPr>
      </w:pPr>
      <w:r>
        <w:t>Patří sem tři chřipkové viry: virus chřipky A, virus chřipky B a virus chřipky C. Chřipka je nemoc celého těla, ale především dolních cest dýchacích. Více v kapitole o dýchacích infekcích.</w:t>
      </w:r>
    </w:p>
    <w:p w:rsidR="00521B96" w:rsidRDefault="00521B96">
      <w:pPr>
        <w:pStyle w:val="Nadpis3"/>
      </w:pPr>
      <w:proofErr w:type="gramStart"/>
      <w:r>
        <w:lastRenderedPageBreak/>
        <w:t>4.2.11</w:t>
      </w:r>
      <w:proofErr w:type="gramEnd"/>
      <w:r>
        <w:t xml:space="preserve"> Retroviry</w:t>
      </w:r>
    </w:p>
    <w:p w:rsidR="00521B96" w:rsidRDefault="00521B96" w:rsidP="00186F9F">
      <w:r>
        <w:t xml:space="preserve">Typická pro tuto čeleď je přítomnost reverzní transkriptázy, tedy enzymu, který přepisuje RNA do DNA. Patří sem zejména virus HIV, o kterém je </w:t>
      </w:r>
      <w:r w:rsidR="00186F9F">
        <w:t>řeč i ve třinácté a čtrnácté kapitole</w:t>
      </w:r>
      <w:r>
        <w:t>.</w:t>
      </w:r>
    </w:p>
    <w:p w:rsidR="00521B96" w:rsidRDefault="00521B96">
      <w:pPr>
        <w:pStyle w:val="Nadpis3"/>
      </w:pPr>
      <w:proofErr w:type="gramStart"/>
      <w:r>
        <w:t>4.2.12</w:t>
      </w:r>
      <w:proofErr w:type="gramEnd"/>
      <w:r>
        <w:t xml:space="preserve"> Viroidy</w:t>
      </w:r>
    </w:p>
    <w:p w:rsidR="00521B96" w:rsidRDefault="00521B96">
      <w:r>
        <w:t>Jde o nekompletní virové částice. K životu potřebují část jiného viru. Typickým viroidem je původce hepatitidy D: k životu potřebuje obal viru hepatitidy B. Více v kapitole o hepatitidách.</w:t>
      </w:r>
    </w:p>
    <w:p w:rsidR="00521B96" w:rsidRDefault="00521B96">
      <w:pPr>
        <w:pStyle w:val="Nadpis2"/>
      </w:pPr>
      <w:bookmarkStart w:id="24" w:name="_Toc342466763"/>
      <w:bookmarkStart w:id="25" w:name="_Toc342466838"/>
      <w:r>
        <w:t>4.3 Původci mykóz, vyšetřovací metody v mykologii</w:t>
      </w:r>
      <w:bookmarkEnd w:id="24"/>
      <w:bookmarkEnd w:id="25"/>
    </w:p>
    <w:p w:rsidR="00521B96" w:rsidRDefault="00521B96">
      <w:pPr>
        <w:pStyle w:val="Nadpis3"/>
      </w:pPr>
      <w:r>
        <w:t>4.3.1 Houby obecně</w:t>
      </w:r>
    </w:p>
    <w:p w:rsidR="00521B96" w:rsidRDefault="00521B96">
      <w:r>
        <w:t xml:space="preserve">Houby jsou </w:t>
      </w:r>
      <w:r>
        <w:rPr>
          <w:b/>
          <w:bCs/>
        </w:rPr>
        <w:t>eukaryotní organismy</w:t>
      </w:r>
      <w:r>
        <w:t xml:space="preserve">, tvoří samostatnou říši vedle říše živočišné a rostlinné. Z organel hub má význam </w:t>
      </w:r>
      <w:r>
        <w:rPr>
          <w:b/>
          <w:bCs/>
        </w:rPr>
        <w:t>buněčná stěna</w:t>
      </w:r>
      <w:r>
        <w:t xml:space="preserve">, tvořená chitinem a úplně jiná než buněčná stěna baktérií. </w:t>
      </w:r>
    </w:p>
    <w:p w:rsidR="00521B96" w:rsidRDefault="00521B96">
      <w:r>
        <w:t xml:space="preserve">Pro praxi hovoříme většinou o </w:t>
      </w:r>
      <w:r>
        <w:rPr>
          <w:b/>
          <w:bCs/>
        </w:rPr>
        <w:t>kvasinkách</w:t>
      </w:r>
      <w:r>
        <w:t xml:space="preserve"> (spíše jednobuněčné, biochemicky hodně aktivní) a </w:t>
      </w:r>
      <w:r>
        <w:rPr>
          <w:b/>
          <w:bCs/>
        </w:rPr>
        <w:t>vláknitých houbách („plísních“)</w:t>
      </w:r>
      <w:r>
        <w:t>. Není to ovšem přesné.</w:t>
      </w:r>
    </w:p>
    <w:tbl>
      <w:tblPr>
        <w:tblStyle w:val="Mkatabulky"/>
        <w:tblW w:w="0" w:type="auto"/>
        <w:tblInd w:w="113" w:type="dxa"/>
        <w:tblLook w:val="04A0"/>
      </w:tblPr>
      <w:tblGrid>
        <w:gridCol w:w="2972"/>
        <w:gridCol w:w="3386"/>
        <w:gridCol w:w="3151"/>
      </w:tblGrid>
      <w:tr w:rsidR="004F4BB2" w:rsidTr="004F4BB2">
        <w:tc>
          <w:tcPr>
            <w:tcW w:w="2972" w:type="dxa"/>
          </w:tcPr>
          <w:p w:rsidR="004F4BB2" w:rsidRDefault="004F4BB2">
            <w:pPr>
              <w:ind w:left="0" w:firstLine="0"/>
            </w:pPr>
            <w:r>
              <w:rPr>
                <w:noProof/>
              </w:rPr>
              <w:drawing>
                <wp:inline distT="0" distB="0" distL="0" distR="0">
                  <wp:extent cx="1680096" cy="1572290"/>
                  <wp:effectExtent l="19050" t="0" r="0" b="0"/>
                  <wp:docPr id="69" name="Obrázek 68" descr="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1.jpg"/>
                          <pic:cNvPicPr/>
                        </pic:nvPicPr>
                        <pic:blipFill>
                          <a:blip r:embed="rId55"/>
                          <a:srcRect l="32142" t="25140" r="36420" b="30726"/>
                          <a:stretch>
                            <a:fillRect/>
                          </a:stretch>
                        </pic:blipFill>
                        <pic:spPr>
                          <a:xfrm>
                            <a:off x="0" y="0"/>
                            <a:ext cx="1684251" cy="1576178"/>
                          </a:xfrm>
                          <a:prstGeom prst="rect">
                            <a:avLst/>
                          </a:prstGeom>
                        </pic:spPr>
                      </pic:pic>
                    </a:graphicData>
                  </a:graphic>
                </wp:inline>
              </w:drawing>
            </w:r>
          </w:p>
        </w:tc>
        <w:tc>
          <w:tcPr>
            <w:tcW w:w="3386" w:type="dxa"/>
          </w:tcPr>
          <w:p w:rsidR="004F4BB2" w:rsidRDefault="004F4BB2">
            <w:pPr>
              <w:ind w:left="0" w:firstLine="0"/>
            </w:pPr>
            <w:r>
              <w:rPr>
                <w:noProof/>
              </w:rPr>
              <w:drawing>
                <wp:inline distT="0" distB="0" distL="0" distR="0">
                  <wp:extent cx="1782454" cy="1534392"/>
                  <wp:effectExtent l="19050" t="0" r="8246" b="0"/>
                  <wp:docPr id="70" name="Obrázek 69" descr="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2.jpg"/>
                          <pic:cNvPicPr/>
                        </pic:nvPicPr>
                        <pic:blipFill>
                          <a:blip r:embed="rId56">
                            <a:lum bright="20000" contrast="20000"/>
                          </a:blip>
                          <a:srcRect l="13873" t="9497" r="22611" b="8380"/>
                          <a:stretch>
                            <a:fillRect/>
                          </a:stretch>
                        </pic:blipFill>
                        <pic:spPr>
                          <a:xfrm>
                            <a:off x="0" y="0"/>
                            <a:ext cx="1782454" cy="1534392"/>
                          </a:xfrm>
                          <a:prstGeom prst="rect">
                            <a:avLst/>
                          </a:prstGeom>
                        </pic:spPr>
                      </pic:pic>
                    </a:graphicData>
                  </a:graphic>
                </wp:inline>
              </w:drawing>
            </w:r>
          </w:p>
        </w:tc>
        <w:tc>
          <w:tcPr>
            <w:tcW w:w="3151" w:type="dxa"/>
          </w:tcPr>
          <w:p w:rsidR="004F4BB2" w:rsidRDefault="004F4BB2">
            <w:pPr>
              <w:ind w:left="0" w:firstLine="0"/>
            </w:pPr>
            <w:r>
              <w:t xml:space="preserve">Vláknitá houba </w:t>
            </w:r>
            <w:r w:rsidRPr="004F4BB2">
              <w:rPr>
                <w:i/>
              </w:rPr>
              <w:t>Penicillium</w:t>
            </w:r>
            <w:r>
              <w:t xml:space="preserve"> sp. – plíseň štětičková. Ze zástupců této plísně se získal penicilin, používají se také při výrobě plísňových sýrů. Vzácně jsou i patogenní, zejména </w:t>
            </w:r>
            <w:r w:rsidRPr="004F4BB2">
              <w:rPr>
                <w:i/>
              </w:rPr>
              <w:t>Penicillium marneffei</w:t>
            </w:r>
          </w:p>
        </w:tc>
      </w:tr>
    </w:tbl>
    <w:p w:rsidR="00521B96" w:rsidRDefault="00521B96">
      <w:pPr>
        <w:pStyle w:val="Nadpis4"/>
      </w:pPr>
      <w:r>
        <w:t>4.3.1.1 Přenos hub</w:t>
      </w:r>
    </w:p>
    <w:p w:rsidR="00521B96" w:rsidRDefault="00521B96">
      <w:r>
        <w:t>Přenos hub může být různý, většinou se ovšem snadno přenášejí vzduchem ve formě spor a konidií.</w:t>
      </w:r>
    </w:p>
    <w:p w:rsidR="00521B96" w:rsidRDefault="00521B96">
      <w:pPr>
        <w:pStyle w:val="Nadpis4"/>
      </w:pPr>
      <w:r>
        <w:t>4.3.1.2 Význam hub</w:t>
      </w:r>
    </w:p>
    <w:p w:rsidR="00521B96" w:rsidRDefault="00521B96">
      <w:r>
        <w:t>Houby způsobují:</w:t>
      </w:r>
    </w:p>
    <w:p w:rsidR="00521B96" w:rsidRDefault="00521B96">
      <w:pPr>
        <w:numPr>
          <w:ilvl w:val="0"/>
          <w:numId w:val="21"/>
        </w:numPr>
      </w:pPr>
      <w:r>
        <w:rPr>
          <w:b/>
          <w:bCs/>
        </w:rPr>
        <w:t>mykózy</w:t>
      </w:r>
      <w:r>
        <w:t xml:space="preserve"> (houbové záněty, ať už jsou způsobeny kvasinkami či vláknitými houbami)</w:t>
      </w:r>
    </w:p>
    <w:p w:rsidR="00521B96" w:rsidRDefault="00521B96">
      <w:pPr>
        <w:numPr>
          <w:ilvl w:val="0"/>
          <w:numId w:val="21"/>
        </w:numPr>
      </w:pPr>
      <w:r>
        <w:rPr>
          <w:b/>
          <w:bCs/>
        </w:rPr>
        <w:t>mykotoxikózy</w:t>
      </w:r>
      <w:r>
        <w:t xml:space="preserve"> (houbové otravy, v širším slova smyslu sem patří i otravy velkými houbami, např. muchomůrkami)</w:t>
      </w:r>
    </w:p>
    <w:p w:rsidR="00521B96" w:rsidRDefault="00521B96">
      <w:pPr>
        <w:numPr>
          <w:ilvl w:val="0"/>
          <w:numId w:val="21"/>
        </w:numPr>
      </w:pPr>
      <w:r>
        <w:rPr>
          <w:b/>
          <w:bCs/>
        </w:rPr>
        <w:t>mykoalergózy</w:t>
      </w:r>
      <w:r>
        <w:t xml:space="preserve"> (alergie na houby a jejich složky)</w:t>
      </w:r>
    </w:p>
    <w:p w:rsidR="00521B96" w:rsidRDefault="00521B96">
      <w:pPr>
        <w:numPr>
          <w:ilvl w:val="0"/>
          <w:numId w:val="21"/>
        </w:numPr>
      </w:pPr>
      <w:r>
        <w:rPr>
          <w:b/>
          <w:bCs/>
        </w:rPr>
        <w:t>mycetismy</w:t>
      </w:r>
      <w:r>
        <w:t xml:space="preserve"> (houba je přítomna v organismu, ale škodí jen mechanicky utlačováním okolních tkání).</w:t>
      </w:r>
    </w:p>
    <w:p w:rsidR="00521B96" w:rsidRDefault="00521B96">
      <w:r>
        <w:t>Mykózy dělíme většinou takto:</w:t>
      </w:r>
    </w:p>
    <w:p w:rsidR="00521B96" w:rsidRDefault="00521B96">
      <w:r>
        <w:rPr>
          <w:b/>
          <w:bCs/>
        </w:rPr>
        <w:t>Povrchové mykózy</w:t>
      </w:r>
      <w:r>
        <w:t xml:space="preserve"> (kožní a slizniční – zejména rody </w:t>
      </w:r>
      <w:r>
        <w:rPr>
          <w:i/>
          <w:iCs/>
        </w:rPr>
        <w:t>Trichophyton, Epidermophyton</w:t>
      </w:r>
      <w:r>
        <w:t xml:space="preserve">) a </w:t>
      </w:r>
      <w:r>
        <w:rPr>
          <w:b/>
          <w:bCs/>
        </w:rPr>
        <w:t>podkožní mykózy</w:t>
      </w:r>
      <w:r>
        <w:t xml:space="preserve"> (</w:t>
      </w:r>
      <w:r>
        <w:rPr>
          <w:i/>
          <w:iCs/>
        </w:rPr>
        <w:t>Sporothrix</w:t>
      </w:r>
      <w:r>
        <w:t>)</w:t>
      </w:r>
    </w:p>
    <w:p w:rsidR="00521B96" w:rsidRDefault="00521B96">
      <w:r>
        <w:rPr>
          <w:b/>
          <w:bCs/>
        </w:rPr>
        <w:t>Orgánové mykózy</w:t>
      </w:r>
      <w:r>
        <w:t xml:space="preserve"> (</w:t>
      </w:r>
      <w:r>
        <w:rPr>
          <w:i/>
          <w:iCs/>
        </w:rPr>
        <w:t>Cryptococcus, Aspergillus, Mucor, Histoplasma, Coccidioides, Blastomyces, Paracoccidioides</w:t>
      </w:r>
      <w:r>
        <w:t xml:space="preserve">), </w:t>
      </w:r>
    </w:p>
    <w:tbl>
      <w:tblPr>
        <w:tblStyle w:val="Mkatabulky"/>
        <w:tblW w:w="0" w:type="auto"/>
        <w:tblInd w:w="113" w:type="dxa"/>
        <w:tblLook w:val="04A0"/>
      </w:tblPr>
      <w:tblGrid>
        <w:gridCol w:w="5382"/>
        <w:gridCol w:w="4127"/>
      </w:tblGrid>
      <w:tr w:rsidR="00A04EFC" w:rsidTr="00A04EFC">
        <w:tc>
          <w:tcPr>
            <w:tcW w:w="5382" w:type="dxa"/>
          </w:tcPr>
          <w:p w:rsidR="00A04EFC" w:rsidRDefault="00A04EFC">
            <w:pPr>
              <w:ind w:left="0" w:firstLine="0"/>
            </w:pPr>
            <w:r>
              <w:rPr>
                <w:noProof/>
              </w:rPr>
              <w:drawing>
                <wp:inline distT="0" distB="0" distL="0" distR="0">
                  <wp:extent cx="3201822" cy="1320235"/>
                  <wp:effectExtent l="19050" t="0" r="0" b="0"/>
                  <wp:docPr id="79" name="Obrázek 78" descr="M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2.jpg"/>
                          <pic:cNvPicPr/>
                        </pic:nvPicPr>
                        <pic:blipFill>
                          <a:blip r:embed="rId57"/>
                          <a:srcRect l="7162" t="11193" r="13334" b="39556"/>
                          <a:stretch>
                            <a:fillRect/>
                          </a:stretch>
                        </pic:blipFill>
                        <pic:spPr>
                          <a:xfrm>
                            <a:off x="0" y="0"/>
                            <a:ext cx="3204949" cy="1321524"/>
                          </a:xfrm>
                          <a:prstGeom prst="rect">
                            <a:avLst/>
                          </a:prstGeom>
                        </pic:spPr>
                      </pic:pic>
                    </a:graphicData>
                  </a:graphic>
                </wp:inline>
              </w:drawing>
            </w:r>
          </w:p>
        </w:tc>
        <w:tc>
          <w:tcPr>
            <w:tcW w:w="4127" w:type="dxa"/>
          </w:tcPr>
          <w:p w:rsidR="00A04EFC" w:rsidRPr="00A04EFC" w:rsidRDefault="00A04EFC">
            <w:pPr>
              <w:ind w:left="0" w:firstLine="0"/>
            </w:pPr>
            <w:r>
              <w:rPr>
                <w:i/>
              </w:rPr>
              <w:t>Cryprococcus neoformans</w:t>
            </w:r>
            <w:r>
              <w:t xml:space="preserve"> má výrazné pouzdro. Při barvení tuší je pouzdro viditelné jako „prázdné místo“ mezi vlastním kryptokokem a pozadím (tuší)</w:t>
            </w:r>
          </w:p>
        </w:tc>
      </w:tr>
    </w:tbl>
    <w:p w:rsidR="00A04EFC" w:rsidRDefault="00A04EFC"/>
    <w:p w:rsidR="00521B96" w:rsidRDefault="00521B96">
      <w:r>
        <w:rPr>
          <w:b/>
          <w:bCs/>
        </w:rPr>
        <w:t>Kandidózy</w:t>
      </w:r>
      <w:r>
        <w:t xml:space="preserve"> mají zvláštní postavení</w:t>
      </w:r>
    </w:p>
    <w:p w:rsidR="00521B96" w:rsidRDefault="00521B96">
      <w:pPr>
        <w:pStyle w:val="Nadpis4"/>
      </w:pPr>
      <w:r>
        <w:lastRenderedPageBreak/>
        <w:t>4.3.1.3 Diagnostika mykotických onemocnění</w:t>
      </w:r>
    </w:p>
    <w:p w:rsidR="00521B96" w:rsidRDefault="00521B96">
      <w:pPr>
        <w:numPr>
          <w:ilvl w:val="0"/>
          <w:numId w:val="107"/>
        </w:numPr>
      </w:pPr>
      <w:r>
        <w:rPr>
          <w:b/>
          <w:bCs/>
        </w:rPr>
        <w:t>Mikroskopie</w:t>
      </w:r>
      <w:r>
        <w:t>. Houby jsou asi desetkrát větší než baktérie, proto jsou dobře viditelné i v </w:t>
      </w:r>
      <w:r>
        <w:rPr>
          <w:b/>
          <w:bCs/>
        </w:rPr>
        <w:t>nativním preparátu</w:t>
      </w:r>
      <w:r>
        <w:t xml:space="preserve">. Houby (zejména kvasinky) se však také dají zpravidla dobře barvit i </w:t>
      </w:r>
      <w:r>
        <w:rPr>
          <w:b/>
          <w:bCs/>
        </w:rPr>
        <w:t>podle Grama</w:t>
      </w:r>
      <w:r>
        <w:t>. Barví se fialově, přestože jejich buněčná stěna nemá nic společného s buněčnou stěnou grampozitivních baktérií.</w:t>
      </w:r>
    </w:p>
    <w:p w:rsidR="00521B96" w:rsidRDefault="00521B96">
      <w:pPr>
        <w:numPr>
          <w:ilvl w:val="0"/>
          <w:numId w:val="107"/>
        </w:numPr>
      </w:pPr>
      <w:r>
        <w:rPr>
          <w:b/>
          <w:bCs/>
        </w:rPr>
        <w:t>Kultivace.</w:t>
      </w:r>
      <w:r>
        <w:t xml:space="preserve"> Základem je Sabouraudův agar. Většinou se nalévá jako šikmý agar do zkumavek, takže i při dlouhodobé kultivaci (vláknitých hub) půda nevyschne.</w:t>
      </w:r>
    </w:p>
    <w:p w:rsidR="00521B96" w:rsidRDefault="00521B96">
      <w:pPr>
        <w:numPr>
          <w:ilvl w:val="0"/>
          <w:numId w:val="107"/>
        </w:numPr>
      </w:pPr>
      <w:r>
        <w:rPr>
          <w:b/>
          <w:bCs/>
        </w:rPr>
        <w:t>Biochemická identifikace</w:t>
      </w:r>
      <w:r>
        <w:t xml:space="preserve"> využívá podobných typů testů jako při diagnostice baktérií</w:t>
      </w:r>
    </w:p>
    <w:p w:rsidR="00521B96" w:rsidRDefault="00521B96">
      <w:pPr>
        <w:numPr>
          <w:ilvl w:val="0"/>
          <w:numId w:val="107"/>
        </w:numPr>
      </w:pPr>
      <w:r>
        <w:rPr>
          <w:b/>
          <w:bCs/>
        </w:rPr>
        <w:t>Nepřímý průkaz</w:t>
      </w:r>
      <w:r>
        <w:t xml:space="preserve"> má význam u sytémových mykóz, např. aspergilózy.</w:t>
      </w:r>
    </w:p>
    <w:p w:rsidR="00521B96" w:rsidRDefault="00521B96">
      <w:pPr>
        <w:numPr>
          <w:ilvl w:val="0"/>
          <w:numId w:val="107"/>
        </w:numPr>
      </w:pPr>
      <w:r>
        <w:rPr>
          <w:b/>
          <w:bCs/>
        </w:rPr>
        <w:t>Testování in vitro citlivosti na antimykotika</w:t>
      </w:r>
      <w:r>
        <w:t xml:space="preserve"> připadá v úvahu u kvasinek, nikoli u vláknitých hub. Difusní diskový test se dělává, ale není spolehlivý. Spolehlivější je např. tzv. FUNGItest.</w:t>
      </w:r>
    </w:p>
    <w:p w:rsidR="00521B96" w:rsidRDefault="00521B96">
      <w:pPr>
        <w:pStyle w:val="Nadpis4"/>
      </w:pPr>
      <w:r>
        <w:t>4.3.1.4 Léčba mykotických onemocnění</w:t>
      </w:r>
    </w:p>
    <w:p w:rsidR="00521B96" w:rsidRDefault="00521B96">
      <w:r>
        <w:t>Používají se antimykotika několika skupin:</w:t>
      </w:r>
    </w:p>
    <w:p w:rsidR="00521B96" w:rsidRDefault="00521B96">
      <w:pPr>
        <w:numPr>
          <w:ilvl w:val="0"/>
          <w:numId w:val="106"/>
        </w:numPr>
      </w:pPr>
      <w:r>
        <w:rPr>
          <w:b/>
          <w:bCs/>
        </w:rPr>
        <w:t>Amfotericin B</w:t>
      </w:r>
      <w:r>
        <w:t xml:space="preserve"> je vysoce účinné, ale zároveň také velmi jedovaté rezervní antimykotikum k léčbě velmi závažných infekcí. Menší toxicitu má zvláštní léková forma - amfotericin B v  intralipidu.</w:t>
      </w:r>
    </w:p>
    <w:p w:rsidR="00521B96" w:rsidRDefault="00521B96">
      <w:pPr>
        <w:numPr>
          <w:ilvl w:val="0"/>
          <w:numId w:val="106"/>
        </w:numPr>
      </w:pPr>
      <w:r>
        <w:rPr>
          <w:b/>
          <w:bCs/>
        </w:rPr>
        <w:t>Imidazolová antimykotika</w:t>
      </w:r>
      <w:r>
        <w:t>, jako je ketokonazol a mikonazol, jsou dobře snášená, ale méně účinná. Nehodí se k léčbě systémových a vůbec závažnějších mykóz.</w:t>
      </w:r>
    </w:p>
    <w:p w:rsidR="00521B96" w:rsidRDefault="00521B96">
      <w:pPr>
        <w:numPr>
          <w:ilvl w:val="0"/>
          <w:numId w:val="106"/>
        </w:numPr>
      </w:pPr>
      <w:r>
        <w:rPr>
          <w:b/>
          <w:bCs/>
        </w:rPr>
        <w:t>Triazolová antimykotika</w:t>
      </w:r>
      <w:r>
        <w:t>, jako je itrakonazol (SPORANOX), flukonazol (DIFLUKAN) a novější vorikonazol (V-FEND) se hodí i pro léčbu závažných mykóz. U flukonazolu je problémem primární rezistence některých druhů kandid.</w:t>
      </w:r>
    </w:p>
    <w:p w:rsidR="00521B96" w:rsidRDefault="00521B96">
      <w:pPr>
        <w:numPr>
          <w:ilvl w:val="0"/>
          <w:numId w:val="106"/>
        </w:numPr>
      </w:pPr>
      <w:proofErr w:type="gramStart"/>
      <w:r>
        <w:rPr>
          <w:b/>
          <w:bCs/>
        </w:rPr>
        <w:t>5-fluorocytozin</w:t>
      </w:r>
      <w:proofErr w:type="gramEnd"/>
      <w:r>
        <w:t xml:space="preserve"> (flucytozin) je moderní rezervní antibiotikum, velmi drahé, hodí se pro léčbu v kombinacích.</w:t>
      </w:r>
    </w:p>
    <w:p w:rsidR="00521B96" w:rsidRDefault="00EB7C24">
      <w:pPr>
        <w:numPr>
          <w:ilvl w:val="0"/>
          <w:numId w:val="106"/>
        </w:numPr>
      </w:pPr>
      <w:r>
        <w:rPr>
          <w:b/>
          <w:bCs/>
        </w:rPr>
        <w:t>Echinokandinová antimykotika,</w:t>
      </w:r>
      <w:r w:rsidR="00521B96">
        <w:t xml:space="preserve"> </w:t>
      </w:r>
      <w:r>
        <w:t xml:space="preserve">jako je caspofungin </w:t>
      </w:r>
      <w:r w:rsidR="00521B96">
        <w:t xml:space="preserve">(CANCIDAS) </w:t>
      </w:r>
      <w:r>
        <w:t xml:space="preserve">a anidulafungin (ECALTA) jsou moderní antibiotika k léčbě invazivních infekcí. </w:t>
      </w:r>
      <w:r w:rsidR="00521B96">
        <w:t>Zatím na ně nebývají rezistence.</w:t>
      </w:r>
    </w:p>
    <w:p w:rsidR="00521B96" w:rsidRDefault="00521B96">
      <w:pPr>
        <w:pStyle w:val="Nadpis3"/>
      </w:pPr>
      <w:r>
        <w:t>4.3.2 Původci kožních mykóz</w:t>
      </w:r>
    </w:p>
    <w:p w:rsidR="00521B96" w:rsidRDefault="00521B96">
      <w:r>
        <w:t xml:space="preserve">jsou houbové organismy, způsobující onemocnění kůže, popřípadě sliznic. Zvlášť je probrán rod </w:t>
      </w:r>
      <w:r>
        <w:rPr>
          <w:i/>
        </w:rPr>
        <w:t>Candida</w:t>
      </w:r>
      <w:r>
        <w:t xml:space="preserve"> – kandidy mohou vyvolat jak povrchové, tak hluboké mykózy.</w:t>
      </w:r>
    </w:p>
    <w:p w:rsidR="00521B96" w:rsidRDefault="00521B96">
      <w:pPr>
        <w:pStyle w:val="Nadpis4"/>
      </w:pPr>
      <w:r>
        <w:t>4.3.2.1 Význam kožních mykóz</w:t>
      </w:r>
    </w:p>
    <w:p w:rsidR="00521B96" w:rsidRDefault="00521B96">
      <w:r>
        <w:t xml:space="preserve">Tyto houby mohou způsobovat onemocnění různých částí kůže. Používá se také pojmů </w:t>
      </w:r>
      <w:r>
        <w:rPr>
          <w:b/>
          <w:bCs/>
        </w:rPr>
        <w:t>dermatomykóza (dermatofytóza)</w:t>
      </w:r>
      <w:r>
        <w:t xml:space="preserve"> pro onemocnění kůže, </w:t>
      </w:r>
      <w:r>
        <w:rPr>
          <w:b/>
          <w:bCs/>
        </w:rPr>
        <w:t>trichomykóza/fytóza</w:t>
      </w:r>
      <w:r>
        <w:t xml:space="preserve"> pro onemocnění chlupů a </w:t>
      </w:r>
      <w:r>
        <w:rPr>
          <w:b/>
          <w:bCs/>
        </w:rPr>
        <w:t>onychomykóza</w:t>
      </w:r>
      <w:r>
        <w:t xml:space="preserve"> pro onemocnění nehtů.</w:t>
      </w:r>
    </w:p>
    <w:p w:rsidR="00521B96" w:rsidRDefault="00521B96">
      <w:r>
        <w:t xml:space="preserve">Nejvýznamnější je tzv. skupina </w:t>
      </w:r>
      <w:r>
        <w:rPr>
          <w:b/>
          <w:bCs/>
        </w:rPr>
        <w:t>dermatofyt</w:t>
      </w:r>
      <w:r>
        <w:t xml:space="preserve">, tvořená třemi rody: </w:t>
      </w:r>
      <w:r>
        <w:rPr>
          <w:i/>
          <w:iCs/>
        </w:rPr>
        <w:t>Trichophyton, Epidermophyton a Microsporum</w:t>
      </w:r>
      <w:r>
        <w:t>.</w:t>
      </w:r>
    </w:p>
    <w:tbl>
      <w:tblPr>
        <w:tblStyle w:val="Mkatabulky"/>
        <w:tblW w:w="0" w:type="auto"/>
        <w:tblInd w:w="113" w:type="dxa"/>
        <w:tblLook w:val="04A0"/>
      </w:tblPr>
      <w:tblGrid>
        <w:gridCol w:w="4870"/>
        <w:gridCol w:w="4639"/>
      </w:tblGrid>
      <w:tr w:rsidR="004F4BB2" w:rsidTr="004F4BB2">
        <w:tc>
          <w:tcPr>
            <w:tcW w:w="4773" w:type="dxa"/>
          </w:tcPr>
          <w:p w:rsidR="004F4BB2" w:rsidRDefault="004F4BB2">
            <w:pPr>
              <w:ind w:left="0" w:firstLine="0"/>
            </w:pPr>
            <w:r>
              <w:rPr>
                <w:noProof/>
              </w:rPr>
              <w:drawing>
                <wp:inline distT="0" distB="0" distL="0" distR="0">
                  <wp:extent cx="2935690" cy="1638218"/>
                  <wp:effectExtent l="19050" t="0" r="0" b="0"/>
                  <wp:docPr id="71" name="Obrázek 70" descr="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3.jpg"/>
                          <pic:cNvPicPr/>
                        </pic:nvPicPr>
                        <pic:blipFill>
                          <a:blip r:embed="rId58"/>
                          <a:srcRect l="7535" t="8951" r="9561" b="21679"/>
                          <a:stretch>
                            <a:fillRect/>
                          </a:stretch>
                        </pic:blipFill>
                        <pic:spPr>
                          <a:xfrm>
                            <a:off x="0" y="0"/>
                            <a:ext cx="2937232" cy="1639078"/>
                          </a:xfrm>
                          <a:prstGeom prst="rect">
                            <a:avLst/>
                          </a:prstGeom>
                        </pic:spPr>
                      </pic:pic>
                    </a:graphicData>
                  </a:graphic>
                </wp:inline>
              </w:drawing>
            </w:r>
          </w:p>
        </w:tc>
        <w:tc>
          <w:tcPr>
            <w:tcW w:w="4773" w:type="dxa"/>
          </w:tcPr>
          <w:p w:rsidR="004F4BB2" w:rsidRDefault="004F4BB2">
            <w:pPr>
              <w:ind w:left="0" w:firstLine="0"/>
            </w:pPr>
            <w:r>
              <w:t>Microsporum canis (nahoře vlevo), Microsporum gypseum (dole vlevo), Trichophyton mentagrophytes (dole vpravo). Vše barvení laktofenolem. Typické pro tyto houby jsou jejich člunkovité či doutníkovité makrokonidie (rozmnožovací útvary)</w:t>
            </w:r>
          </w:p>
        </w:tc>
      </w:tr>
      <w:tr w:rsidR="004F4BB2" w:rsidTr="004F4BB2">
        <w:tc>
          <w:tcPr>
            <w:tcW w:w="4773" w:type="dxa"/>
          </w:tcPr>
          <w:p w:rsidR="004F4BB2" w:rsidRDefault="004F4BB2">
            <w:pPr>
              <w:ind w:left="0" w:firstLine="0"/>
            </w:pPr>
            <w:r>
              <w:rPr>
                <w:noProof/>
              </w:rPr>
              <w:lastRenderedPageBreak/>
              <w:drawing>
                <wp:inline distT="0" distB="0" distL="0" distR="0">
                  <wp:extent cx="2932517" cy="1487606"/>
                  <wp:effectExtent l="19050" t="0" r="1183" b="0"/>
                  <wp:docPr id="72" name="Obrázek 71" descr="M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4.jpg"/>
                          <pic:cNvPicPr/>
                        </pic:nvPicPr>
                        <pic:blipFill>
                          <a:blip r:embed="rId59"/>
                          <a:srcRect l="24685" t="24022" r="9234" b="25698"/>
                          <a:stretch>
                            <a:fillRect/>
                          </a:stretch>
                        </pic:blipFill>
                        <pic:spPr>
                          <a:xfrm>
                            <a:off x="0" y="0"/>
                            <a:ext cx="2939446" cy="1491121"/>
                          </a:xfrm>
                          <a:prstGeom prst="rect">
                            <a:avLst/>
                          </a:prstGeom>
                        </pic:spPr>
                      </pic:pic>
                    </a:graphicData>
                  </a:graphic>
                </wp:inline>
              </w:drawing>
            </w:r>
          </w:p>
        </w:tc>
        <w:tc>
          <w:tcPr>
            <w:tcW w:w="4773" w:type="dxa"/>
          </w:tcPr>
          <w:p w:rsidR="004F4BB2" w:rsidRDefault="004F4BB2">
            <w:pPr>
              <w:ind w:left="0" w:firstLine="0"/>
            </w:pPr>
            <w:r>
              <w:rPr>
                <w:noProof/>
              </w:rPr>
              <w:drawing>
                <wp:inline distT="0" distB="0" distL="0" distR="0">
                  <wp:extent cx="2696854" cy="1468509"/>
                  <wp:effectExtent l="19050" t="0" r="8246" b="0"/>
                  <wp:docPr id="73" name="Obrázek 72" descr="M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5.jpg"/>
                          <pic:cNvPicPr/>
                        </pic:nvPicPr>
                        <pic:blipFill>
                          <a:blip r:embed="rId60"/>
                          <a:srcRect l="16110" t="18994" r="18184" b="27374"/>
                          <a:stretch>
                            <a:fillRect/>
                          </a:stretch>
                        </pic:blipFill>
                        <pic:spPr>
                          <a:xfrm>
                            <a:off x="0" y="0"/>
                            <a:ext cx="2698261" cy="1469275"/>
                          </a:xfrm>
                          <a:prstGeom prst="rect">
                            <a:avLst/>
                          </a:prstGeom>
                        </pic:spPr>
                      </pic:pic>
                    </a:graphicData>
                  </a:graphic>
                </wp:inline>
              </w:drawing>
            </w:r>
          </w:p>
        </w:tc>
      </w:tr>
    </w:tbl>
    <w:p w:rsidR="00521B96" w:rsidRDefault="00521B96">
      <w:pPr>
        <w:pStyle w:val="Nadpis4"/>
      </w:pPr>
      <w:r>
        <w:t>4.3.2.2 Diagnostika kožních mykóz</w:t>
      </w:r>
    </w:p>
    <w:p w:rsidR="00521B96" w:rsidRDefault="00521B96">
      <w:r>
        <w:rPr>
          <w:b/>
          <w:bCs/>
        </w:rPr>
        <w:t>Mikroskopie</w:t>
      </w:r>
      <w:r>
        <w:t xml:space="preserve"> (obvykle v  nativním preparátu). Dále se užívá </w:t>
      </w:r>
      <w:r>
        <w:rPr>
          <w:b/>
          <w:bCs/>
        </w:rPr>
        <w:t>kultivace</w:t>
      </w:r>
      <w:r>
        <w:t xml:space="preserve"> na Sabouraudově agaru.</w:t>
      </w:r>
    </w:p>
    <w:p w:rsidR="00521B96" w:rsidRDefault="00521B96">
      <w:pPr>
        <w:pStyle w:val="Nadpis4"/>
      </w:pPr>
      <w:r>
        <w:t>4.3.2.3 Léčba kožních mykóz</w:t>
      </w:r>
    </w:p>
    <w:p w:rsidR="00521B96" w:rsidRDefault="00521B96">
      <w:r>
        <w:t>K  léčbě kožních mykóz se používají různá antimykotika ve formě mastí, emulzí a šamponů.</w:t>
      </w:r>
    </w:p>
    <w:p w:rsidR="00521B96" w:rsidRDefault="00521B96">
      <w:pPr>
        <w:pStyle w:val="Nadpis3"/>
        <w:rPr>
          <w:i/>
          <w:iCs/>
        </w:rPr>
      </w:pPr>
      <w:r>
        <w:t xml:space="preserve">4.3.3 Rod </w:t>
      </w:r>
      <w:r>
        <w:rPr>
          <w:i/>
          <w:iCs/>
        </w:rPr>
        <w:t>Candida</w:t>
      </w:r>
    </w:p>
    <w:p w:rsidR="00521B96" w:rsidRDefault="00521B96">
      <w:r>
        <w:t xml:space="preserve">Kandidy jsou velmi běžnými kvasinkami. U člověka jsou běžné jednak jako původce onemocnění, ale ještě častěji jako bezpříznaková kolonizace (zejména střevo, ale i jinde). Člověk a </w:t>
      </w:r>
      <w:r>
        <w:rPr>
          <w:i/>
          <w:iCs/>
        </w:rPr>
        <w:t>Candida</w:t>
      </w:r>
      <w:r>
        <w:t xml:space="preserve"> si na sebe v  průběhu evoluce velice dobře "zvykli" – onemocnění vzniká při porušení rovnováhy.</w:t>
      </w:r>
    </w:p>
    <w:p w:rsidR="00521B96" w:rsidRDefault="00521B96">
      <w:pPr>
        <w:pStyle w:val="Nadpis4"/>
      </w:pPr>
      <w:r>
        <w:t>4.3.3.1 Význam rodu</w:t>
      </w:r>
      <w:r>
        <w:rPr>
          <w:i/>
          <w:iCs/>
        </w:rPr>
        <w:t xml:space="preserve"> Candida</w:t>
      </w:r>
    </w:p>
    <w:p w:rsidR="00521B96" w:rsidRDefault="00521B96">
      <w:r>
        <w:t xml:space="preserve">Nejvýznamnější je druh </w:t>
      </w:r>
      <w:r>
        <w:rPr>
          <w:i/>
          <w:iCs/>
        </w:rPr>
        <w:t>Candida albicans</w:t>
      </w:r>
      <w:r>
        <w:t xml:space="preserve">, důležité jsou ale i některé další – </w:t>
      </w:r>
      <w:r>
        <w:rPr>
          <w:i/>
          <w:iCs/>
        </w:rPr>
        <w:t xml:space="preserve">C. tropicalis, C. crusei, C. parapsilosis. </w:t>
      </w:r>
      <w:r>
        <w:t>U závažných onemocnění je druhové určení užitečné – některé druhy mají přirozenou rezistenci vůči některým antimykotikům.</w:t>
      </w:r>
    </w:p>
    <w:p w:rsidR="00521B96" w:rsidRDefault="00521B96">
      <w:r>
        <w:t xml:space="preserve">Všechny druhy bývají </w:t>
      </w:r>
      <w:r>
        <w:rPr>
          <w:b/>
          <w:bCs/>
        </w:rPr>
        <w:t>nalézány</w:t>
      </w:r>
      <w:r>
        <w:t xml:space="preserve"> ve střevě, v ústech a krku, v  močových cestách, na kůži, avšak u oslabených osob také ve tkáních (plíce, trávicí orgány aj.). S  výjimkou nálezů ve tkáních nelze jednoznačně říci, kdy je </w:t>
      </w:r>
      <w:r>
        <w:rPr>
          <w:i/>
          <w:iCs/>
        </w:rPr>
        <w:t>Candida</w:t>
      </w:r>
      <w:r>
        <w:t xml:space="preserve"> spíše patogenem a kdy kolonizací. Pomoci může mikroskopická charakteristika. Eliptické buňky jsou typické pro saprofytickou, neinvazivní formu, řetízky až vlákna pro invazivní.</w:t>
      </w:r>
    </w:p>
    <w:p w:rsidR="00521B96" w:rsidRDefault="00521B96">
      <w:r>
        <w:t xml:space="preserve">Velká většina kandidóz je </w:t>
      </w:r>
      <w:r>
        <w:rPr>
          <w:b/>
          <w:bCs/>
        </w:rPr>
        <w:t>endogenního původu</w:t>
      </w:r>
      <w:r>
        <w:t>, tj. že pacient je sám sobě zdrojem onemocnění (například žena si zanese kvasinky z řiti do pochvy, nebo vůbec nejde o přenos, jen o porušenou rovnováhu). V poslední době ale přibývá také nemocničních kandidóz, přenášených mezi pacienty navzájem.</w:t>
      </w:r>
    </w:p>
    <w:p w:rsidR="00521B96" w:rsidRDefault="00521B96">
      <w:r>
        <w:t xml:space="preserve">Kandidy jsou dosti </w:t>
      </w:r>
      <w:r>
        <w:rPr>
          <w:b/>
          <w:bCs/>
        </w:rPr>
        <w:t>odolné</w:t>
      </w:r>
      <w:r>
        <w:t>, zejména proti zásaditému pH. Milují cukry, a proto s oblibou osidlují pochvy diabetiček a mlsných žen, mimo to jsou častější u těhotných v závislosti na hormonálních změnách.</w:t>
      </w:r>
    </w:p>
    <w:p w:rsidR="00521B96" w:rsidRDefault="00521B96">
      <w:pPr>
        <w:pStyle w:val="Nadpis4"/>
      </w:pPr>
      <w:r>
        <w:t xml:space="preserve">4.3.3.2 Diagnostika u rodu </w:t>
      </w:r>
      <w:r>
        <w:rPr>
          <w:i/>
          <w:iCs/>
        </w:rPr>
        <w:t>Candida</w:t>
      </w:r>
    </w:p>
    <w:p w:rsidR="00521B96" w:rsidRDefault="00521B96">
      <w:r>
        <w:rPr>
          <w:b/>
          <w:bCs/>
        </w:rPr>
        <w:t>Mikroskopicky</w:t>
      </w:r>
      <w:r>
        <w:t xml:space="preserve"> v nativním nebo barveném (Gram) preparátu vidíme eliptické buňky, někdy pučící, nebo jejich řetízky až vlákna. </w:t>
      </w:r>
      <w:r>
        <w:rPr>
          <w:b/>
          <w:bCs/>
        </w:rPr>
        <w:t>Kultivace</w:t>
      </w:r>
      <w:r>
        <w:t xml:space="preserve"> na krevním nebo Sabouraudově agaru (SA). Od kolonií </w:t>
      </w:r>
      <w:r>
        <w:rPr>
          <w:i/>
          <w:iCs/>
        </w:rPr>
        <w:t>Staphylococcus</w:t>
      </w:r>
      <w:r>
        <w:t xml:space="preserve"> epidermidis nebo </w:t>
      </w:r>
      <w:r>
        <w:rPr>
          <w:i/>
          <w:iCs/>
        </w:rPr>
        <w:t>Corynebacterium</w:t>
      </w:r>
      <w:r>
        <w:t xml:space="preserve"> sp. se odliší někdy kvasnicovou vůní, ale někdy teprve nátěrem. K  rozlišení všech kandid lze použít </w:t>
      </w:r>
      <w:r>
        <w:rPr>
          <w:b/>
          <w:bCs/>
        </w:rPr>
        <w:t>biochemické vlastnosti</w:t>
      </w:r>
      <w:r>
        <w:t xml:space="preserve">. </w:t>
      </w:r>
      <w:r>
        <w:rPr>
          <w:b/>
          <w:bCs/>
        </w:rPr>
        <w:t xml:space="preserve">Průkaz antigenů a protilátek </w:t>
      </w:r>
      <w:r>
        <w:t>se provádí u těžkých forem a sepsí (precipitace, aglutinace)</w:t>
      </w:r>
    </w:p>
    <w:tbl>
      <w:tblPr>
        <w:tblStyle w:val="Mkatabulky"/>
        <w:tblW w:w="0" w:type="auto"/>
        <w:tblInd w:w="113" w:type="dxa"/>
        <w:tblLayout w:type="fixed"/>
        <w:tblLook w:val="04A0"/>
      </w:tblPr>
      <w:tblGrid>
        <w:gridCol w:w="4957"/>
        <w:gridCol w:w="2143"/>
        <w:gridCol w:w="2109"/>
      </w:tblGrid>
      <w:tr w:rsidR="007C0C2E" w:rsidTr="007C0C2E">
        <w:tc>
          <w:tcPr>
            <w:tcW w:w="4957" w:type="dxa"/>
          </w:tcPr>
          <w:p w:rsidR="007C0C2E" w:rsidRDefault="007C0C2E">
            <w:pPr>
              <w:ind w:left="0" w:firstLine="0"/>
            </w:pPr>
            <w:r>
              <w:rPr>
                <w:noProof/>
              </w:rPr>
              <w:drawing>
                <wp:inline distT="0" distB="0" distL="0" distR="0">
                  <wp:extent cx="3058520" cy="1026096"/>
                  <wp:effectExtent l="19050" t="0" r="8530" b="0"/>
                  <wp:docPr id="76" name="Obrázek 75" descr="M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0.jpg"/>
                          <pic:cNvPicPr/>
                        </pic:nvPicPr>
                        <pic:blipFill>
                          <a:blip r:embed="rId61"/>
                          <a:srcRect l="10517" t="63559" r="49816" b="16456"/>
                          <a:stretch>
                            <a:fillRect/>
                          </a:stretch>
                        </pic:blipFill>
                        <pic:spPr>
                          <a:xfrm>
                            <a:off x="0" y="0"/>
                            <a:ext cx="3060157" cy="1026645"/>
                          </a:xfrm>
                          <a:prstGeom prst="rect">
                            <a:avLst/>
                          </a:prstGeom>
                        </pic:spPr>
                      </pic:pic>
                    </a:graphicData>
                  </a:graphic>
                </wp:inline>
              </w:drawing>
            </w:r>
          </w:p>
        </w:tc>
        <w:tc>
          <w:tcPr>
            <w:tcW w:w="2143" w:type="dxa"/>
          </w:tcPr>
          <w:p w:rsidR="007C0C2E" w:rsidRDefault="007C0C2E">
            <w:pPr>
              <w:ind w:left="0" w:firstLine="0"/>
            </w:pPr>
            <w:r w:rsidRPr="007C0C2E">
              <w:rPr>
                <w:i/>
              </w:rPr>
              <w:t>Candida albicans</w:t>
            </w:r>
            <w:r>
              <w:t xml:space="preserve"> – mikroskopie (Gramovo barvení) a kultivace na Sabouraudově agaru</w:t>
            </w:r>
          </w:p>
        </w:tc>
        <w:tc>
          <w:tcPr>
            <w:tcW w:w="2109" w:type="dxa"/>
          </w:tcPr>
          <w:p w:rsidR="007C0C2E" w:rsidRDefault="007C0C2E">
            <w:pPr>
              <w:ind w:left="0" w:firstLine="0"/>
            </w:pPr>
            <w:r>
              <w:rPr>
                <w:noProof/>
              </w:rPr>
              <w:drawing>
                <wp:inline distT="0" distB="0" distL="0" distR="0">
                  <wp:extent cx="1134186" cy="1027534"/>
                  <wp:effectExtent l="19050" t="0" r="8814" b="0"/>
                  <wp:docPr id="77" name="Obrázek 76" descr="M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1.jpg"/>
                          <pic:cNvPicPr/>
                        </pic:nvPicPr>
                        <pic:blipFill>
                          <a:blip r:embed="rId62"/>
                          <a:srcRect l="20957" t="12849" r="22281" b="10056"/>
                          <a:stretch>
                            <a:fillRect/>
                          </a:stretch>
                        </pic:blipFill>
                        <pic:spPr>
                          <a:xfrm>
                            <a:off x="0" y="0"/>
                            <a:ext cx="1138732" cy="1031652"/>
                          </a:xfrm>
                          <a:prstGeom prst="rect">
                            <a:avLst/>
                          </a:prstGeom>
                        </pic:spPr>
                      </pic:pic>
                    </a:graphicData>
                  </a:graphic>
                </wp:inline>
              </w:drawing>
            </w:r>
          </w:p>
        </w:tc>
      </w:tr>
    </w:tbl>
    <w:p w:rsidR="00521B96" w:rsidRDefault="00521B96">
      <w:pPr>
        <w:pStyle w:val="Nadpis4"/>
      </w:pPr>
      <w:r>
        <w:lastRenderedPageBreak/>
        <w:t xml:space="preserve">4.3.3.3 Léčba u rodu </w:t>
      </w:r>
      <w:r>
        <w:rPr>
          <w:i/>
          <w:iCs/>
        </w:rPr>
        <w:t>Candida</w:t>
      </w:r>
    </w:p>
    <w:p w:rsidR="00521B96" w:rsidRDefault="00521B96">
      <w:r>
        <w:t>U slizničních forem se užívá clotrimazol (Canesten) v různých lékových formách, u systémových forem pak klasická antimykotika, jako je nystatin, amfotericin B a imidazolová antimykotika (mikonazol, ketokonazol, novější flukonazol, itrakonazol a vorikonazol).</w:t>
      </w:r>
    </w:p>
    <w:p w:rsidR="00521B96" w:rsidRDefault="00521B96">
      <w:pPr>
        <w:pStyle w:val="Nadpis3"/>
      </w:pPr>
      <w:r>
        <w:t>4.3.4 Původci systémových mykóz</w:t>
      </w:r>
    </w:p>
    <w:p w:rsidR="00521B96" w:rsidRDefault="00521B96">
      <w:r>
        <w:t xml:space="preserve">jsou houby, které zpravidla nepostihují člověka často a u zdravého člověka k infekci nedochází, nebo proběhne bez příznaků či mírně. Nákaza je častá u pacientů s  postiženou imunitou včetně postižených AIDS. Mnozí původci se vyskytují běžně v prostředí (známe je jako "plísně" napadající potraviny), které ve výjimečných případech způsobují závažná onemocnění (Mucorales, </w:t>
      </w:r>
      <w:r>
        <w:rPr>
          <w:i/>
          <w:iCs/>
        </w:rPr>
        <w:t>Aspergilus</w:t>
      </w:r>
      <w:r>
        <w:t>)</w:t>
      </w:r>
    </w:p>
    <w:p w:rsidR="00521B96" w:rsidRDefault="00521B96">
      <w:pPr>
        <w:pStyle w:val="Nadpis4"/>
      </w:pPr>
      <w:r>
        <w:t>4.3.4.1 Význam a rozdělení původců systémových mykóz</w:t>
      </w:r>
    </w:p>
    <w:p w:rsidR="00521B96" w:rsidRDefault="00521B96">
      <w:r>
        <w:rPr>
          <w:b/>
          <w:bCs/>
          <w:i/>
          <w:iCs/>
        </w:rPr>
        <w:t>Aspergillus</w:t>
      </w:r>
      <w:r>
        <w:t xml:space="preserve"> (plíseň štětičková) je velmi běžný v prostředí. Může jednak produkovat jedy (aflatoxiny), jednak působí záněty plic, astma, nejrůznější dýchací i jiné komplikace.</w:t>
      </w:r>
    </w:p>
    <w:tbl>
      <w:tblPr>
        <w:tblStyle w:val="Mkatabulky"/>
        <w:tblW w:w="0" w:type="auto"/>
        <w:tblInd w:w="113" w:type="dxa"/>
        <w:tblLook w:val="04A0"/>
      </w:tblPr>
      <w:tblGrid>
        <w:gridCol w:w="5085"/>
        <w:gridCol w:w="2281"/>
        <w:gridCol w:w="2143"/>
      </w:tblGrid>
      <w:tr w:rsidR="004F4BB2" w:rsidTr="007C0C2E">
        <w:tc>
          <w:tcPr>
            <w:tcW w:w="5085" w:type="dxa"/>
          </w:tcPr>
          <w:p w:rsidR="004F4BB2" w:rsidRDefault="00253D00">
            <w:pPr>
              <w:ind w:left="0" w:firstLine="0"/>
            </w:pPr>
            <w:r>
              <w:rPr>
                <w:noProof/>
              </w:rPr>
              <w:drawing>
                <wp:inline distT="0" distB="0" distL="0" distR="0">
                  <wp:extent cx="3072491" cy="1357952"/>
                  <wp:effectExtent l="19050" t="0" r="0" b="0"/>
                  <wp:docPr id="74" name="Obrázek 73" descr="M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9.jpg"/>
                          <pic:cNvPicPr/>
                        </pic:nvPicPr>
                        <pic:blipFill>
                          <a:blip r:embed="rId63"/>
                          <a:srcRect l="10144" t="29088" r="8941" b="17210"/>
                          <a:stretch>
                            <a:fillRect/>
                          </a:stretch>
                        </pic:blipFill>
                        <pic:spPr>
                          <a:xfrm>
                            <a:off x="0" y="0"/>
                            <a:ext cx="3074864" cy="1359001"/>
                          </a:xfrm>
                          <a:prstGeom prst="rect">
                            <a:avLst/>
                          </a:prstGeom>
                        </pic:spPr>
                      </pic:pic>
                    </a:graphicData>
                  </a:graphic>
                </wp:inline>
              </w:drawing>
            </w:r>
          </w:p>
        </w:tc>
        <w:tc>
          <w:tcPr>
            <w:tcW w:w="2281" w:type="dxa"/>
          </w:tcPr>
          <w:p w:rsidR="004F4BB2" w:rsidRDefault="004F4BB2">
            <w:pPr>
              <w:ind w:left="0" w:firstLine="0"/>
            </w:pPr>
            <w:r w:rsidRPr="004F4BB2">
              <w:rPr>
                <w:i/>
              </w:rPr>
              <w:t>Aspergillus fumigatus</w:t>
            </w:r>
            <w:r>
              <w:t xml:space="preserve"> </w:t>
            </w:r>
            <w:r w:rsidR="007C0C2E">
              <w:t xml:space="preserve">(kropidlák zakouřený) </w:t>
            </w:r>
            <w:r>
              <w:t>– mikroskopie (barvení laktofenolem) a kultivace na Sabouraudově agaru</w:t>
            </w:r>
          </w:p>
        </w:tc>
        <w:tc>
          <w:tcPr>
            <w:tcW w:w="2143" w:type="dxa"/>
          </w:tcPr>
          <w:p w:rsidR="004F4BB2" w:rsidRDefault="00253D00">
            <w:pPr>
              <w:ind w:left="0" w:firstLine="0"/>
            </w:pPr>
            <w:r>
              <w:rPr>
                <w:noProof/>
              </w:rPr>
              <w:drawing>
                <wp:inline distT="0" distB="0" distL="0" distR="0">
                  <wp:extent cx="1186377" cy="1317009"/>
                  <wp:effectExtent l="19050" t="0" r="0" b="0"/>
                  <wp:docPr id="75" name="Obrázek 74" descr="M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07.jpg"/>
                          <pic:cNvPicPr/>
                        </pic:nvPicPr>
                        <pic:blipFill>
                          <a:blip r:embed="rId64"/>
                          <a:srcRect l="28465" t="13985" r="32227" b="20003"/>
                          <a:stretch>
                            <a:fillRect/>
                          </a:stretch>
                        </pic:blipFill>
                        <pic:spPr>
                          <a:xfrm>
                            <a:off x="0" y="0"/>
                            <a:ext cx="1186377" cy="1317009"/>
                          </a:xfrm>
                          <a:prstGeom prst="rect">
                            <a:avLst/>
                          </a:prstGeom>
                        </pic:spPr>
                      </pic:pic>
                    </a:graphicData>
                  </a:graphic>
                </wp:inline>
              </w:drawing>
            </w:r>
          </w:p>
        </w:tc>
      </w:tr>
    </w:tbl>
    <w:p w:rsidR="00521B96" w:rsidRDefault="00521B96">
      <w:r>
        <w:rPr>
          <w:b/>
          <w:bCs/>
          <w:i/>
          <w:iCs/>
        </w:rPr>
        <w:t>Mucorales</w:t>
      </w:r>
      <w:r>
        <w:t xml:space="preserve"> (zástupce </w:t>
      </w:r>
      <w:r>
        <w:rPr>
          <w:i/>
          <w:iCs/>
        </w:rPr>
        <w:t>Mucor</w:t>
      </w:r>
      <w:r>
        <w:t xml:space="preserve"> = plíseň hlavičková) jsou pravé plísně (to se pozná podle toho, že jejich "podhoubí" není rozdělené přepážkami). Velmi rychle se šíří a mají afinitu k cévám. I v dnešní době končí naprostá většina onemocnění smrtí a diagnostika se provádí teprve na pitevně.</w:t>
      </w:r>
    </w:p>
    <w:tbl>
      <w:tblPr>
        <w:tblStyle w:val="Mkatabulky"/>
        <w:tblW w:w="0" w:type="auto"/>
        <w:tblInd w:w="113" w:type="dxa"/>
        <w:tblLook w:val="04A0"/>
      </w:tblPr>
      <w:tblGrid>
        <w:gridCol w:w="7366"/>
        <w:gridCol w:w="2143"/>
      </w:tblGrid>
      <w:tr w:rsidR="00A04EFC" w:rsidTr="00A04EFC">
        <w:tc>
          <w:tcPr>
            <w:tcW w:w="7366" w:type="dxa"/>
          </w:tcPr>
          <w:p w:rsidR="00A04EFC" w:rsidRDefault="00A04EFC">
            <w:pPr>
              <w:ind w:left="0" w:firstLine="0"/>
            </w:pPr>
            <w:r>
              <w:rPr>
                <w:noProof/>
              </w:rPr>
              <w:drawing>
                <wp:inline distT="0" distB="0" distL="0" distR="0">
                  <wp:extent cx="4191284" cy="1905128"/>
                  <wp:effectExtent l="19050" t="0" r="0" b="0"/>
                  <wp:docPr id="80" name="Obrázek 79" descr="M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2.jpg"/>
                          <pic:cNvPicPr/>
                        </pic:nvPicPr>
                        <pic:blipFill>
                          <a:blip r:embed="rId65"/>
                          <a:srcRect l="5670" t="10630" b="25031"/>
                          <a:stretch>
                            <a:fillRect/>
                          </a:stretch>
                        </pic:blipFill>
                        <pic:spPr>
                          <a:xfrm>
                            <a:off x="0" y="0"/>
                            <a:ext cx="4191284" cy="1905128"/>
                          </a:xfrm>
                          <a:prstGeom prst="rect">
                            <a:avLst/>
                          </a:prstGeom>
                        </pic:spPr>
                      </pic:pic>
                    </a:graphicData>
                  </a:graphic>
                </wp:inline>
              </w:drawing>
            </w:r>
          </w:p>
        </w:tc>
        <w:tc>
          <w:tcPr>
            <w:tcW w:w="2143" w:type="dxa"/>
          </w:tcPr>
          <w:p w:rsidR="00A04EFC" w:rsidRDefault="00A04EFC">
            <w:pPr>
              <w:ind w:left="0" w:firstLine="0"/>
            </w:pPr>
            <w:r w:rsidRPr="00A04EFC">
              <w:rPr>
                <w:i/>
              </w:rPr>
              <w:t>Mucor</w:t>
            </w:r>
            <w:r>
              <w:t xml:space="preserve"> sp. – mikroskopie a výsledek kultivace</w:t>
            </w:r>
          </w:p>
        </w:tc>
      </w:tr>
    </w:tbl>
    <w:p w:rsidR="00A04EFC" w:rsidRDefault="00A04EFC"/>
    <w:p w:rsidR="00521B96" w:rsidRDefault="00521B96">
      <w:r>
        <w:rPr>
          <w:b/>
          <w:bCs/>
          <w:i/>
          <w:iCs/>
        </w:rPr>
        <w:t>Pneumocystis jiroveci.</w:t>
      </w:r>
      <w:r>
        <w:t xml:space="preserve"> Dříve byl považován za </w:t>
      </w:r>
      <w:proofErr w:type="gramStart"/>
      <w:r>
        <w:t>parazita–prvoka</w:t>
      </w:r>
      <w:proofErr w:type="gramEnd"/>
      <w:r>
        <w:t>. Přenáší se zřejmě i vzduchem. Častý je nález u imunokompromitovaných osob (včetně AIDS).</w:t>
      </w:r>
    </w:p>
    <w:p w:rsidR="00521B96" w:rsidRDefault="00521B96">
      <w:pPr>
        <w:pStyle w:val="Nadpis4"/>
      </w:pPr>
      <w:r>
        <w:t>4.3.4.2 Přenos</w:t>
      </w:r>
    </w:p>
    <w:p w:rsidR="00521B96" w:rsidRDefault="00521B96">
      <w:r>
        <w:t xml:space="preserve">zpravidla vzduchem, zdrojem může být prach, zvířecí trus apod.; u aspergilů a </w:t>
      </w:r>
      <w:r>
        <w:rPr>
          <w:i/>
        </w:rPr>
        <w:t>Mucorales</w:t>
      </w:r>
      <w:r>
        <w:t xml:space="preserve"> jsou spory všudypřítomné.</w:t>
      </w:r>
    </w:p>
    <w:p w:rsidR="00521B96" w:rsidRDefault="00521B96">
      <w:pPr>
        <w:pStyle w:val="Nadpis4"/>
      </w:pPr>
      <w:r>
        <w:t>4.3.4.3 Diagnostika</w:t>
      </w:r>
    </w:p>
    <w:p w:rsidR="00521B96" w:rsidRDefault="00521B96">
      <w:r>
        <w:t xml:space="preserve">Vedle přímého mikroskopického a kultivačního </w:t>
      </w:r>
      <w:r>
        <w:rPr>
          <w:b/>
        </w:rPr>
        <w:t>průkazu</w:t>
      </w:r>
      <w:r>
        <w:t xml:space="preserve"> se zpravidla provádí nepřímý (serologický) průkaz.</w:t>
      </w:r>
    </w:p>
    <w:p w:rsidR="00521B96" w:rsidRDefault="00521B96">
      <w:pPr>
        <w:pStyle w:val="Nadpis4"/>
      </w:pPr>
      <w:r>
        <w:t>4.3.4.4 Léčba</w:t>
      </w:r>
    </w:p>
    <w:p w:rsidR="00521B96" w:rsidRDefault="00521B96">
      <w:r>
        <w:t xml:space="preserve">Antimykotika k celkové léčbě (viz </w:t>
      </w:r>
      <w:r>
        <w:rPr>
          <w:i/>
          <w:iCs/>
        </w:rPr>
        <w:t>Candida</w:t>
      </w:r>
      <w:r>
        <w:t>)</w:t>
      </w:r>
    </w:p>
    <w:p w:rsidR="00521B96" w:rsidRDefault="00521B96">
      <w:pPr>
        <w:pStyle w:val="Nadpis2"/>
      </w:pPr>
      <w:bookmarkStart w:id="26" w:name="_Toc342466764"/>
      <w:bookmarkStart w:id="27" w:name="_Toc342466839"/>
      <w:r>
        <w:lastRenderedPageBreak/>
        <w:t>4.4 Paraziti a jejich vyšetřování</w:t>
      </w:r>
      <w:bookmarkEnd w:id="26"/>
      <w:bookmarkEnd w:id="27"/>
    </w:p>
    <w:p w:rsidR="00521B96" w:rsidRDefault="00521B96">
      <w:r>
        <w:t>Paraziti jsou mikrobiální patogeny živočišného původu. Někteří paraziti nesplňují definici mikroba (jsou pozorovatelní pouhým okem), ale z praktických důvodů se zařazují do mikrobiologie.</w:t>
      </w:r>
    </w:p>
    <w:p w:rsidR="00521B96" w:rsidRDefault="00521B96">
      <w:r>
        <w:t>Paraziti mohou způsobovat nemoci prakticky všech orgánových soustav. To je dáno mj. jejich různorodostí. Parazity je možno členit podle různých kritérií. Souhrnem nejběžnějších členění je následující schéma:</w:t>
      </w:r>
    </w:p>
    <w:p w:rsidR="00521B96" w:rsidRDefault="00521B96">
      <w:pPr>
        <w:numPr>
          <w:ilvl w:val="0"/>
          <w:numId w:val="22"/>
        </w:numPr>
      </w:pPr>
      <w:r>
        <w:rPr>
          <w:b/>
          <w:bCs/>
          <w:u w:val="single"/>
        </w:rPr>
        <w:t>Paraziti vnitřní</w:t>
      </w:r>
      <w:r>
        <w:t xml:space="preserve"> (působí jako patogeny uvnitř těla)</w:t>
      </w:r>
    </w:p>
    <w:p w:rsidR="00521B96" w:rsidRDefault="00521B96">
      <w:pPr>
        <w:numPr>
          <w:ilvl w:val="1"/>
          <w:numId w:val="22"/>
        </w:numPr>
      </w:pPr>
      <w:r>
        <w:rPr>
          <w:b/>
          <w:bCs/>
        </w:rPr>
        <w:t xml:space="preserve">Prvoci </w:t>
      </w:r>
      <w:r>
        <w:t xml:space="preserve">(bičíkovci, výtrusovci, </w:t>
      </w:r>
      <w:proofErr w:type="gramStart"/>
      <w:r>
        <w:t>améby...) – např.</w:t>
      </w:r>
      <w:proofErr w:type="gramEnd"/>
      <w:r>
        <w:t xml:space="preserve"> toxoplasma</w:t>
      </w:r>
    </w:p>
    <w:p w:rsidR="00521B96" w:rsidRDefault="00521B96">
      <w:pPr>
        <w:numPr>
          <w:ilvl w:val="1"/>
          <w:numId w:val="22"/>
        </w:numPr>
        <w:rPr>
          <w:b/>
          <w:bCs/>
        </w:rPr>
      </w:pPr>
      <w:r>
        <w:rPr>
          <w:b/>
          <w:bCs/>
        </w:rPr>
        <w:t>Červi ploší (ploštěnci)</w:t>
      </w:r>
    </w:p>
    <w:p w:rsidR="00521B96" w:rsidRDefault="00521B96">
      <w:pPr>
        <w:numPr>
          <w:ilvl w:val="2"/>
          <w:numId w:val="22"/>
        </w:numPr>
      </w:pPr>
      <w:r>
        <w:t>Tasemnice (Cestoda) – např. tasemnice dlouhočlenná</w:t>
      </w:r>
    </w:p>
    <w:p w:rsidR="00521B96" w:rsidRDefault="00521B96">
      <w:pPr>
        <w:numPr>
          <w:ilvl w:val="2"/>
          <w:numId w:val="22"/>
        </w:numPr>
      </w:pPr>
      <w:r>
        <w:t>Motolice (Trematoda) – např. motolice jaterní</w:t>
      </w:r>
    </w:p>
    <w:p w:rsidR="00521B96" w:rsidRDefault="00521B96">
      <w:pPr>
        <w:numPr>
          <w:ilvl w:val="1"/>
          <w:numId w:val="22"/>
        </w:numPr>
      </w:pPr>
      <w:r>
        <w:rPr>
          <w:b/>
          <w:bCs/>
        </w:rPr>
        <w:t>Červi oblí (oblovci)</w:t>
      </w:r>
      <w:r>
        <w:t xml:space="preserve"> - Nematoda čili hlístice – např. škrkavka</w:t>
      </w:r>
    </w:p>
    <w:p w:rsidR="00521B96" w:rsidRDefault="00521B96">
      <w:pPr>
        <w:numPr>
          <w:ilvl w:val="0"/>
          <w:numId w:val="22"/>
        </w:numPr>
      </w:pPr>
      <w:r>
        <w:rPr>
          <w:b/>
          <w:bCs/>
          <w:u w:val="single"/>
        </w:rPr>
        <w:t>Paraziti vnější</w:t>
      </w:r>
      <w:r>
        <w:t xml:space="preserve"> (hmyz a roztoči) </w:t>
      </w:r>
      <w:r w:rsidR="00186F9F">
        <w:t>–</w:t>
      </w:r>
      <w:r>
        <w:t xml:space="preserve"> např. veš muňka</w:t>
      </w:r>
    </w:p>
    <w:p w:rsidR="00521B96" w:rsidRDefault="00521B96">
      <w:r>
        <w:t>Vnitřní parazity lze členit nejen systematicky, ale také podle orgánů, které napadají:</w:t>
      </w:r>
    </w:p>
    <w:p w:rsidR="00521B96" w:rsidRDefault="00521B96">
      <w:pPr>
        <w:numPr>
          <w:ilvl w:val="0"/>
          <w:numId w:val="23"/>
        </w:numPr>
      </w:pPr>
      <w:r>
        <w:rPr>
          <w:b/>
          <w:bCs/>
        </w:rPr>
        <w:t>střevní paraziti</w:t>
      </w:r>
      <w:r>
        <w:t xml:space="preserve"> – nejčastější (giardie/lamblie, entaméby, škrkavky, roupi, tasemnice apod.)</w:t>
      </w:r>
    </w:p>
    <w:p w:rsidR="00521B96" w:rsidRDefault="00521B96">
      <w:pPr>
        <w:numPr>
          <w:ilvl w:val="0"/>
          <w:numId w:val="23"/>
        </w:numPr>
      </w:pPr>
      <w:r>
        <w:rPr>
          <w:b/>
          <w:bCs/>
        </w:rPr>
        <w:t>urogenitální paraziti</w:t>
      </w:r>
      <w:r>
        <w:t xml:space="preserve"> – například trichomonády</w:t>
      </w:r>
    </w:p>
    <w:p w:rsidR="00521B96" w:rsidRDefault="00521B96">
      <w:pPr>
        <w:numPr>
          <w:ilvl w:val="0"/>
          <w:numId w:val="23"/>
        </w:numPr>
      </w:pPr>
      <w:r>
        <w:rPr>
          <w:b/>
          <w:bCs/>
        </w:rPr>
        <w:t>krevní paraziti</w:t>
      </w:r>
      <w:r>
        <w:t xml:space="preserve"> – například malarická plasmodia</w:t>
      </w:r>
    </w:p>
    <w:p w:rsidR="00521B96" w:rsidRDefault="00521B96">
      <w:pPr>
        <w:numPr>
          <w:ilvl w:val="0"/>
          <w:numId w:val="23"/>
        </w:numPr>
      </w:pPr>
      <w:r>
        <w:rPr>
          <w:b/>
          <w:bCs/>
        </w:rPr>
        <w:t>tkáňoví paraziti</w:t>
      </w:r>
      <w:r>
        <w:t xml:space="preserve"> – například toxoplasma</w:t>
      </w:r>
    </w:p>
    <w:p w:rsidR="00521B96" w:rsidRDefault="00521B96">
      <w:pPr>
        <w:pStyle w:val="Nadpis3"/>
      </w:pPr>
      <w:r>
        <w:t>4.4.1 Diagnostika parazitárních onemocnění</w:t>
      </w:r>
    </w:p>
    <w:p w:rsidR="00521B96" w:rsidRDefault="00521B96">
      <w:r>
        <w:t xml:space="preserve">Nejčastěji mikroskopická (průkaz prvoků, vajíček červů), méně často kultivační (např. </w:t>
      </w:r>
      <w:r>
        <w:rPr>
          <w:i/>
          <w:iCs/>
        </w:rPr>
        <w:t>Trichomonas</w:t>
      </w:r>
      <w:r>
        <w:t>) či nepřímá (serologická – hlavně u tkáňových parazitóz, kupříkladu u toxoplasmózy). Bývají též zvýšené protilátky třídy IgE. Mikroskopie často zahrnuje nebarvené preparáty (objekty jsou dost velké), speciální barvení se používají u menších, převážně jednobuněčných parazitů (střevní améby, trichomonády).</w:t>
      </w:r>
    </w:p>
    <w:p w:rsidR="00521B96" w:rsidRDefault="00521B96">
      <w:pPr>
        <w:pStyle w:val="Nadpis3"/>
      </w:pPr>
      <w:r>
        <w:t>4.4.2 Léčba parazitóz</w:t>
      </w:r>
    </w:p>
    <w:p w:rsidR="00521B96" w:rsidRDefault="00521B96">
      <w:r>
        <w:t>Bohužel, ne u všech parazitóz známe adekvátní léčbu. Až na výjimky se používají speciální léky, které neúčinkují na jiné mikroby (bakterie, plísně).</w:t>
      </w:r>
    </w:p>
    <w:p w:rsidR="00521B96" w:rsidRDefault="00521B96">
      <w:pPr>
        <w:pStyle w:val="Nadpis3"/>
        <w:rPr>
          <w:b w:val="0"/>
        </w:rPr>
      </w:pPr>
      <w:r>
        <w:t>4.4.3 Prvoci</w:t>
      </w:r>
    </w:p>
    <w:p w:rsidR="00521B96" w:rsidRDefault="00521B96">
      <w:r>
        <w:t>Někteří způsobují velmi závažné choroby</w:t>
      </w:r>
    </w:p>
    <w:p w:rsidR="00521B96" w:rsidRDefault="00521B96">
      <w:r>
        <w:rPr>
          <w:b/>
          <w:bCs/>
          <w:i/>
          <w:iCs/>
        </w:rPr>
        <w:t>Giardia lamblia</w:t>
      </w:r>
      <w:r>
        <w:rPr>
          <w:b/>
          <w:bCs/>
        </w:rPr>
        <w:t>.</w:t>
      </w:r>
      <w:r>
        <w:t xml:space="preserve"> Je to bičíkatý prvok. Šíří se fekálně orálně. Jde o průjmové onemocnění, celosvětově velmi časté. Ve vyspělých zemích je častost menší, ale o to horší bývají příznaky.</w:t>
      </w:r>
    </w:p>
    <w:p w:rsidR="00521B96" w:rsidRDefault="00521B96">
      <w:r>
        <w:rPr>
          <w:b/>
          <w:bCs/>
          <w:i/>
          <w:iCs/>
        </w:rPr>
        <w:t>Entamoeba histolytica</w:t>
      </w:r>
      <w:r>
        <w:rPr>
          <w:b/>
          <w:bCs/>
        </w:rPr>
        <w:t>.</w:t>
      </w:r>
      <w:r>
        <w:t xml:space="preserve"> Jedná se o amébu – měňavku. Za určitých okolností napadá střevní sliznici a tudy se dostává do nejrůznějších orgánů těla. Vedle tohoto druhu existují i druhy nepatogenní, které je třeba odlišit.</w:t>
      </w:r>
    </w:p>
    <w:p w:rsidR="00521B96" w:rsidRDefault="00521B96">
      <w:r>
        <w:rPr>
          <w:b/>
          <w:bCs/>
          <w:i/>
          <w:iCs/>
        </w:rPr>
        <w:t>Trichomonas vaginalis</w:t>
      </w:r>
      <w:r>
        <w:rPr>
          <w:b/>
          <w:bCs/>
        </w:rPr>
        <w:t>.</w:t>
      </w:r>
      <w:r>
        <w:t xml:space="preserve"> Je to bičíkovec stejně jako </w:t>
      </w:r>
      <w:r>
        <w:rPr>
          <w:i/>
          <w:iCs/>
        </w:rPr>
        <w:t>Giardia</w:t>
      </w:r>
      <w:r>
        <w:t>. Na rozdíl od giardií ale netvoří cysty. Postihuje pochvu, vulvu, děložní hrdlo, někdy močovou trubici. Typický je žlutozelený, sladce páchnoucí výtok a mikroskopický obraz. U mužů se často klinicky neprojevuje. Přenos zpravidla pohlavní, vzácně poševními sekrety či močí.</w:t>
      </w:r>
    </w:p>
    <w:p w:rsidR="00521B96" w:rsidRDefault="00521B96">
      <w:r>
        <w:rPr>
          <w:b/>
          <w:bCs/>
          <w:i/>
          <w:iCs/>
        </w:rPr>
        <w:t>Toxoplasma gondii</w:t>
      </w:r>
      <w:r>
        <w:t>. Tento parazit má dvě možnosti: buďto prodělá celý vývoj v kočce, nebo pro jeho část použije mezihostitele, přičemž nepohrdne člověkem. Bez kočky se ovšem neobejde. V  přenosu hrávají roli i potraviny (zejména špatně tepelně opracované maso). Naprostá většina případů je bezpříznakových, ale mohou nastat komplikace oční, CNS aj. Nebezpečné je onemocnění těhotných.</w:t>
      </w:r>
    </w:p>
    <w:p w:rsidR="00521B96" w:rsidRDefault="00521B96">
      <w:r>
        <w:rPr>
          <w:b/>
          <w:bCs/>
        </w:rPr>
        <w:t>Malarická plasmodia</w:t>
      </w:r>
      <w:r>
        <w:t xml:space="preserve">. Jsou čtyři: jedno vyvolává tzv. tropickou malárii, dvě vyvolávají malárii třídenní a čtvrté čtyřdenní. Tropická je nejhorší. Přenáší se komárem </w:t>
      </w:r>
      <w:r>
        <w:rPr>
          <w:i/>
          <w:iCs/>
        </w:rPr>
        <w:t>Anopheles</w:t>
      </w:r>
      <w:r>
        <w:t>. Projevuje se bolestmi hlavy a svalů, nevolností, později mrazením, třesavkou, horečkou a pocením.</w:t>
      </w:r>
    </w:p>
    <w:p w:rsidR="00521B96" w:rsidRDefault="00521B96">
      <w:r>
        <w:rPr>
          <w:b/>
        </w:rPr>
        <w:t xml:space="preserve">Léčba. </w:t>
      </w:r>
      <w:r>
        <w:t>Na mnohé prvoky (včetně trichomonád) platí metronidazol (AVRAZOR) a podobné preparáty. U malárie se také doporučuje prevence. Ta spočívá jednak v ochraně před komáry (dlouhé nohavice aj.), jednak v užívání antimalarik preventivně.</w:t>
      </w:r>
    </w:p>
    <w:p w:rsidR="00521B96" w:rsidRDefault="00521B96">
      <w:pPr>
        <w:pStyle w:val="Nadpis3"/>
      </w:pPr>
      <w:r>
        <w:lastRenderedPageBreak/>
        <w:t>4.4.4 Motolice</w:t>
      </w:r>
    </w:p>
    <w:p w:rsidR="00521B96" w:rsidRDefault="00521B96">
      <w:r>
        <w:t>jsou ploší „červi“ měřící několik mm až cm. Mají přísavky, někdy i trny.</w:t>
      </w:r>
    </w:p>
    <w:p w:rsidR="00521B96" w:rsidRDefault="00521B96">
      <w:r>
        <w:rPr>
          <w:b/>
          <w:bCs/>
        </w:rPr>
        <w:t>Schistosomy</w:t>
      </w:r>
      <w:r>
        <w:t xml:space="preserve">. Způsobují schistosomózy – dříve bilharziózy v subtropech a </w:t>
      </w:r>
      <w:proofErr w:type="gramStart"/>
      <w:r>
        <w:t>tropech..</w:t>
      </w:r>
      <w:proofErr w:type="gramEnd"/>
    </w:p>
    <w:p w:rsidR="00521B96" w:rsidRDefault="00521B96">
      <w:r>
        <w:rPr>
          <w:b/>
          <w:bCs/>
        </w:rPr>
        <w:t>Jaterní, plicní a střevní motolice.</w:t>
      </w:r>
      <w:r>
        <w:t xml:space="preserve"> Člověk se nakazí od mezihostitele, což může být vodní rostlina, ryba, krab apod. Příznaky velmi různé (horečky, žloutenky, postižení CNS a různé jiné). – </w:t>
      </w:r>
      <w:r>
        <w:rPr>
          <w:b/>
          <w:bCs/>
        </w:rPr>
        <w:t>Diagnostika motolic:</w:t>
      </w:r>
      <w:r>
        <w:t xml:space="preserve"> mikroskopická. </w:t>
      </w:r>
      <w:r>
        <w:rPr>
          <w:b/>
          <w:bCs/>
        </w:rPr>
        <w:t>Léčba:</w:t>
      </w:r>
      <w:r>
        <w:t xml:space="preserve"> praziquantel.</w:t>
      </w:r>
    </w:p>
    <w:p w:rsidR="00521B96" w:rsidRDefault="00521B96">
      <w:pPr>
        <w:pStyle w:val="Nadpis3"/>
      </w:pPr>
      <w:r>
        <w:t>4.4.5 Tasemnice</w:t>
      </w:r>
    </w:p>
    <w:p w:rsidR="00521B96" w:rsidRDefault="00521B96">
      <w:r>
        <w:rPr>
          <w:b/>
          <w:bCs/>
        </w:rPr>
        <w:t>Tasemnice dlouhočlenná</w:t>
      </w:r>
      <w:r>
        <w:t xml:space="preserve"> – </w:t>
      </w:r>
      <w:r>
        <w:rPr>
          <w:i/>
          <w:iCs/>
        </w:rPr>
        <w:t>Taenia solium</w:t>
      </w:r>
      <w:r>
        <w:t xml:space="preserve"> (2–3 m) a </w:t>
      </w:r>
      <w:r>
        <w:rPr>
          <w:b/>
          <w:bCs/>
        </w:rPr>
        <w:t>tasemnice bezbranná</w:t>
      </w:r>
      <w:r>
        <w:t xml:space="preserve"> –</w:t>
      </w:r>
      <w:r>
        <w:rPr>
          <w:i/>
          <w:iCs/>
        </w:rPr>
        <w:t xml:space="preserve"> Taenia saginata</w:t>
      </w:r>
      <w:r>
        <w:t xml:space="preserve"> (3–10 m) jsou klasické tasemnice: dlouhočlenná prasečí, saginata hovězí. U svých hlavních hostitelů dělají ve tkáních boubele (cysticerky). Prasečí je </w:t>
      </w:r>
      <w:proofErr w:type="gramStart"/>
      <w:r>
        <w:t>může u dělat</w:t>
      </w:r>
      <w:proofErr w:type="gramEnd"/>
      <w:r>
        <w:t xml:space="preserve"> i u člověka, hovězí nikoli. Obě jinak žijí s mírnými příznaky ve střevě. Člověk se nakazí obvykle snězením boubele.</w:t>
      </w:r>
    </w:p>
    <w:p w:rsidR="00521B96" w:rsidRDefault="00521B96">
      <w:r>
        <w:rPr>
          <w:b/>
          <w:bCs/>
        </w:rPr>
        <w:t>Další tasemnice</w:t>
      </w:r>
      <w:r>
        <w:t xml:space="preserve">: Škulovec </w:t>
      </w:r>
      <w:proofErr w:type="gramStart"/>
      <w:r>
        <w:t>široký– rybí</w:t>
      </w:r>
      <w:proofErr w:type="gramEnd"/>
      <w:r>
        <w:t xml:space="preserve"> tasemnice, tasemnice dětská – </w:t>
      </w:r>
      <w:r>
        <w:rPr>
          <w:i/>
          <w:iCs/>
        </w:rPr>
        <w:t>Hymenolepis nana</w:t>
      </w:r>
      <w:r>
        <w:t xml:space="preserve">, měchožil zhoubný – </w:t>
      </w:r>
      <w:r>
        <w:rPr>
          <w:i/>
          <w:iCs/>
        </w:rPr>
        <w:t>Echinococcus granulosus</w:t>
      </w:r>
      <w:r>
        <w:t>.</w:t>
      </w:r>
    </w:p>
    <w:p w:rsidR="00521B96" w:rsidRDefault="00521B96">
      <w:r>
        <w:rPr>
          <w:b/>
          <w:bCs/>
        </w:rPr>
        <w:t>Diagnostika:</w:t>
      </w:r>
      <w:r>
        <w:t xml:space="preserve"> mikroskopie, u měchožila serologie; </w:t>
      </w:r>
      <w:r>
        <w:rPr>
          <w:b/>
          <w:bCs/>
        </w:rPr>
        <w:t>léčba:</w:t>
      </w:r>
      <w:r>
        <w:t xml:space="preserve"> speciální preparáty.</w:t>
      </w:r>
    </w:p>
    <w:p w:rsidR="00521B96" w:rsidRDefault="00521B96">
      <w:pPr>
        <w:pStyle w:val="Nadpis3"/>
      </w:pPr>
      <w:r>
        <w:t>4.4.6 Hlístice</w:t>
      </w:r>
    </w:p>
    <w:p w:rsidR="00521B96" w:rsidRDefault="00521B96">
      <w:r>
        <w:t>Na rozdíl od „červů“ plochých (se kterými nejsou vůbec příbuzní) mají kruhový průřez. Nejsou článkovaní, mají oddělená pohlaví a mají ústa a střevo (na rozdíl od plochých červů, kteří přijímají potravu celým tělem).</w:t>
      </w:r>
    </w:p>
    <w:p w:rsidR="00521B96" w:rsidRDefault="00521B96">
      <w:r>
        <w:rPr>
          <w:b/>
          <w:bCs/>
        </w:rPr>
        <w:t>Roup dětský</w:t>
      </w:r>
      <w:r>
        <w:t xml:space="preserve"> – </w:t>
      </w:r>
      <w:r>
        <w:rPr>
          <w:i/>
          <w:iCs/>
        </w:rPr>
        <w:t>Enterobius vermicularis</w:t>
      </w:r>
      <w:r>
        <w:t>. Jeden z nejčastějších parazitů i u nás. Samička klade vajíčka do řas v okolí řiti dítěte. Zde vajíčka rychle dozrávají. Jsou-li pozřena (dítě se škrábe a pak si cucá prsty – autoinfekce), dospívají pak ve střevě. Projevuje se hlavně neklidem a nespavostí. Komplikací mohou být dívčí poševní výtoky. Diagnostika Grahamovou metodou, kdy se lepicí páska nalepí na řiť (respektive na perianální řasy v jejím okolí) a pak na podložní sklíčko. V laboratoři se pak prohlíží sklíčko s </w:t>
      </w:r>
      <w:proofErr w:type="gramStart"/>
      <w:r>
        <w:t>lepící</w:t>
      </w:r>
      <w:proofErr w:type="gramEnd"/>
      <w:r>
        <w:t xml:space="preserve"> páskou, aniž by se jakkoli dále zpracovávalo. Při profylaxi nutná dekontaminace osobních věcí.</w:t>
      </w:r>
    </w:p>
    <w:p w:rsidR="00521B96" w:rsidRDefault="00521B96">
      <w:r>
        <w:rPr>
          <w:b/>
          <w:bCs/>
        </w:rPr>
        <w:t>Škrkavka dětská</w:t>
      </w:r>
      <w:r>
        <w:t xml:space="preserve"> – </w:t>
      </w:r>
      <w:r>
        <w:rPr>
          <w:i/>
          <w:iCs/>
        </w:rPr>
        <w:t>Ascaris lumbricoides</w:t>
      </w:r>
      <w:r>
        <w:t>. Dlouhá 10 – 30 cm. Má složitý životní cyklus: člověk pozře vajíčko, larva se skrz stěnu střeva dostane do cév, jimi do plic, při kašlání pak do hltanu a odtud zpátky do střeva. Potíže mohou vznikat při migraci larev (kašel, bolesti hrudníku, krev ve sputu; event. postižení mozku, ledvin) či při pobytu ve střevě – možnost ucpání žlučovodů a vývodů pankreatu. Ve stolici se prokazují vajíčka.</w:t>
      </w:r>
    </w:p>
    <w:p w:rsidR="00521B96" w:rsidRDefault="00521B96">
      <w:r>
        <w:rPr>
          <w:b/>
          <w:bCs/>
        </w:rPr>
        <w:t>Háďátko střevní, měchovci, škrkavka psí a kočičí</w:t>
      </w:r>
      <w:r>
        <w:t xml:space="preserve"> jsou další zástupci této skupiny. Někteří se vyskytují nejen ve střevě, ale i ve tkáních.</w:t>
      </w:r>
    </w:p>
    <w:p w:rsidR="00521B96" w:rsidRDefault="00521B96">
      <w:r>
        <w:rPr>
          <w:b/>
        </w:rPr>
        <w:t xml:space="preserve">Léčba nákaz vyvolaných oblovci. </w:t>
      </w:r>
      <w:r>
        <w:t>Na roupy se používá Pyrvinium, na ostatní mebendazol a jiné.</w:t>
      </w:r>
    </w:p>
    <w:p w:rsidR="00521B96" w:rsidRDefault="00521B96">
      <w:pPr>
        <w:pStyle w:val="Nadpis3"/>
      </w:pPr>
      <w:r>
        <w:t>4.4.7 Ektoparaziti – členovci</w:t>
      </w:r>
    </w:p>
    <w:p w:rsidR="00521B96" w:rsidRDefault="00521B96">
      <w:r>
        <w:t>Členovci vlastně nepatří do mikrobiologie, protože jsou pozorovatelní pouhým okem nebo lupou. Z  praktických důvodů jsou ale do učebnic zařazováni.</w:t>
      </w:r>
    </w:p>
    <w:p w:rsidR="00521B96" w:rsidRDefault="00521B96">
      <w:r>
        <w:t>Členovci mají význam 1) jako obtěžující 2) jako vyvolávající druhotně choroby (alergie, ekzémy, bakteriální infekce poškozené kůže, zhnisání rány pro přisátí), 3) jako přenašeči infekcí. Někteří členovci se projevují jako pasivní přenašeči infekce, aniž by byli parazity v  pravém slova smyslu.</w:t>
      </w:r>
    </w:p>
    <w:p w:rsidR="00521B96" w:rsidRDefault="00521B96">
      <w:r>
        <w:rPr>
          <w:b/>
          <w:bCs/>
        </w:rPr>
        <w:t>Klíšťata</w:t>
      </w:r>
      <w:r>
        <w:t xml:space="preserve"> – čeleď </w:t>
      </w:r>
      <w:r>
        <w:rPr>
          <w:i/>
          <w:iCs/>
        </w:rPr>
        <w:t>Ixodidae</w:t>
      </w:r>
      <w:r>
        <w:t xml:space="preserve">. Měří 5 až 10 mm. Larvy mají tři páry nohou, dospělci čtyři. I larvy a nymfy sají s oblibou krev. Vyskytují se zpravidla ve smíšených a listnatých lesích s křovinami. Zpravidla se nevyskytují na horách. Rezervoárovými zvířaty jsou drobní hlodavci. </w:t>
      </w:r>
      <w:r>
        <w:rPr>
          <w:b/>
          <w:bCs/>
        </w:rPr>
        <w:t xml:space="preserve">Odstranění klíštěte </w:t>
      </w:r>
      <w:r>
        <w:t xml:space="preserve">se dnes doporučuje provádět pinzetou se skosenými konci nebo opatrně nehty v gumových rukavicích. Vhodné je desinfikovat ránu jódovým preparátem. Následkem štípnutí může být drobné zarudnutí, které je třeba odlišit od (plošně mnohem většího) zarudnutí u lymeské boreliózy. Ta je klíšťaty přenášena stejně jako klíšťová encefalitida a klíšťová ehrlichióza. Vedle klíšťat existují také </w:t>
      </w:r>
      <w:r>
        <w:rPr>
          <w:b/>
          <w:bCs/>
        </w:rPr>
        <w:t>klíšťáci</w:t>
      </w:r>
      <w:r>
        <w:t>.</w:t>
      </w:r>
    </w:p>
    <w:p w:rsidR="00521B96" w:rsidRDefault="00521B96">
      <w:r>
        <w:rPr>
          <w:b/>
          <w:bCs/>
        </w:rPr>
        <w:t>Zákožka svrabová</w:t>
      </w:r>
      <w:r>
        <w:t xml:space="preserve"> – </w:t>
      </w:r>
      <w:r>
        <w:rPr>
          <w:i/>
          <w:iCs/>
        </w:rPr>
        <w:t>Sarcoptes scabiei</w:t>
      </w:r>
      <w:r>
        <w:t xml:space="preserve">. Veliká 0,2 až 0,5 mm. Samičky si vyvrtávají chodbičky v kůži. Přenáší se mezilidským kontaktem (často v kolektivech – domovy důchodců, útulky pro </w:t>
      </w:r>
      <w:r>
        <w:lastRenderedPageBreak/>
        <w:t xml:space="preserve">bezdomovce apod.). Ekzém je prakticky nedílnou součástí choroby. Zákožky se s oblibou vyskytují na svraštělé kůži. </w:t>
      </w:r>
      <w:r>
        <w:rPr>
          <w:b/>
          <w:bCs/>
        </w:rPr>
        <w:t>Léčba:</w:t>
      </w:r>
      <w:r>
        <w:t xml:space="preserve"> potíraní kůže Jacutinem.</w:t>
      </w:r>
    </w:p>
    <w:p w:rsidR="00521B96" w:rsidRDefault="00521B96">
      <w:r>
        <w:rPr>
          <w:b/>
          <w:bCs/>
        </w:rPr>
        <w:t>Vši</w:t>
      </w:r>
      <w:r>
        <w:t xml:space="preserve"> – </w:t>
      </w:r>
      <w:r>
        <w:rPr>
          <w:i/>
          <w:iCs/>
        </w:rPr>
        <w:t>Anoplura</w:t>
      </w:r>
      <w:r>
        <w:t xml:space="preserve">. Veš dětská (hlavová) je běžná u dětí, které se snadno nakazí v kolektivu (školka, tábor). Veš šatní nežije na těle, ale v  šatstvu. U nás se často vyskytuje v útulcích bezdomovců apod. Veš muňka (lidově filcka) se vyskytuje výhradně v pubickém ochlupení a její nákaza je vlastně pohlavně přenosnou chorobou. Vši vyvolávají pupence, otoky, muňka namodralé skvrnky. Některé vši přenášejí choroby. K léčbě a prevenci se t. č. používá Diffusil H </w:t>
      </w:r>
      <w:proofErr w:type="gramStart"/>
      <w:r>
        <w:t>Forte</w:t>
      </w:r>
      <w:proofErr w:type="gramEnd"/>
      <w:r>
        <w:t>, Parasidose a Jacutin gel, ale může se vyvinout rezistence.</w:t>
      </w:r>
    </w:p>
    <w:tbl>
      <w:tblPr>
        <w:tblStyle w:val="Mkatabulky"/>
        <w:tblW w:w="0" w:type="auto"/>
        <w:tblInd w:w="113" w:type="dxa"/>
        <w:tblLook w:val="04A0"/>
      </w:tblPr>
      <w:tblGrid>
        <w:gridCol w:w="4784"/>
        <w:gridCol w:w="628"/>
      </w:tblGrid>
      <w:tr w:rsidR="00A04EFC" w:rsidTr="00A04EFC">
        <w:tc>
          <w:tcPr>
            <w:tcW w:w="4754" w:type="dxa"/>
          </w:tcPr>
          <w:p w:rsidR="00A04EFC" w:rsidRDefault="00A04EFC">
            <w:pPr>
              <w:ind w:left="0" w:firstLine="0"/>
            </w:pPr>
            <w:r>
              <w:rPr>
                <w:noProof/>
              </w:rPr>
              <w:drawing>
                <wp:inline distT="0" distB="0" distL="0" distR="0">
                  <wp:extent cx="2881099" cy="2262973"/>
                  <wp:effectExtent l="19050" t="0" r="0" b="0"/>
                  <wp:docPr id="81" name="Obrázek 80" descr="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01.jpg"/>
                          <pic:cNvPicPr/>
                        </pic:nvPicPr>
                        <pic:blipFill>
                          <a:blip r:embed="rId66"/>
                          <a:srcRect l="28787" t="11188" r="11468" b="18327"/>
                          <a:stretch>
                            <a:fillRect/>
                          </a:stretch>
                        </pic:blipFill>
                        <pic:spPr>
                          <a:xfrm>
                            <a:off x="0" y="0"/>
                            <a:ext cx="2884844" cy="2265914"/>
                          </a:xfrm>
                          <a:prstGeom prst="rect">
                            <a:avLst/>
                          </a:prstGeom>
                        </pic:spPr>
                      </pic:pic>
                    </a:graphicData>
                  </a:graphic>
                </wp:inline>
              </w:drawing>
            </w:r>
          </w:p>
        </w:tc>
        <w:tc>
          <w:tcPr>
            <w:tcW w:w="628" w:type="dxa"/>
          </w:tcPr>
          <w:p w:rsidR="00A04EFC" w:rsidRDefault="00A04EFC">
            <w:pPr>
              <w:ind w:left="0" w:firstLine="0"/>
            </w:pPr>
            <w:r>
              <w:t>Veš</w:t>
            </w:r>
          </w:p>
        </w:tc>
      </w:tr>
    </w:tbl>
    <w:p w:rsidR="00A04EFC" w:rsidRDefault="00A04EFC"/>
    <w:p w:rsidR="00521B96" w:rsidRDefault="00521B96">
      <w:r>
        <w:rPr>
          <w:b/>
          <w:bCs/>
        </w:rPr>
        <w:t>Štěnice</w:t>
      </w:r>
      <w:r>
        <w:t xml:space="preserve"> – </w:t>
      </w:r>
      <w:r>
        <w:rPr>
          <w:i/>
          <w:iCs/>
        </w:rPr>
        <w:t>Cimex lectularius</w:t>
      </w:r>
      <w:r>
        <w:t>. Je to vlastně ploštice. Ráda se ukrývá ve škvírách, za tapetami a obrazy podobně. Živí se výhradně krví.</w:t>
      </w:r>
    </w:p>
    <w:p w:rsidR="00521B96" w:rsidRDefault="00521B96">
      <w:r>
        <w:rPr>
          <w:b/>
          <w:bCs/>
        </w:rPr>
        <w:t>Dvoukřídlí</w:t>
      </w:r>
      <w:r>
        <w:t xml:space="preserve"> – </w:t>
      </w:r>
      <w:r>
        <w:rPr>
          <w:i/>
          <w:iCs/>
        </w:rPr>
        <w:t>Diptera</w:t>
      </w:r>
      <w:r>
        <w:t>. Komáři, komárci, muchničky apod. působí jako přenašeči různých chorob, obvykle pasivní. Při prevenci je důležité zničení přirozených líhnišť (zejména u komárů). Některé mouchy kladou larvy do ran či tělních dutin (do ucha, do oka apod.). Tomu se říká myiáza</w:t>
      </w:r>
    </w:p>
    <w:p w:rsidR="00521B96" w:rsidRDefault="00521B96">
      <w:r>
        <w:rPr>
          <w:b/>
          <w:bCs/>
        </w:rPr>
        <w:t>Blechy</w:t>
      </w:r>
      <w:r>
        <w:t xml:space="preserve"> – </w:t>
      </w:r>
      <w:r>
        <w:rPr>
          <w:i/>
          <w:iCs/>
        </w:rPr>
        <w:t>Siphonaptera</w:t>
      </w:r>
      <w:r>
        <w:t xml:space="preserve">. Blechy se významně uplatnily při morových epidemiích. Kromě typického lidského druhu </w:t>
      </w:r>
      <w:r>
        <w:rPr>
          <w:i/>
          <w:iCs/>
        </w:rPr>
        <w:t>Pulex irritans</w:t>
      </w:r>
      <w:r>
        <w:t xml:space="preserve"> napadají někdy člověka i zvířecí druhy.</w:t>
      </w:r>
    </w:p>
    <w:p w:rsidR="00521B96" w:rsidRDefault="00521B96">
      <w:pPr>
        <w:pStyle w:val="Nadpis3"/>
      </w:pPr>
      <w:r>
        <w:t>4.4.8 Kroužkovci</w:t>
      </w:r>
    </w:p>
    <w:p w:rsidR="00521B96" w:rsidRDefault="00521B96" w:rsidP="005A44CF">
      <w:r>
        <w:t xml:space="preserve">Ke kroužkovcům patří např. žížaly. Parazitem je pijavka lékařská </w:t>
      </w:r>
      <w:r>
        <w:rPr>
          <w:i/>
        </w:rPr>
        <w:t>(Hirudo medicinalis)</w:t>
      </w:r>
      <w:r>
        <w:t>, která se dříve používala k "pouštění žilou".</w:t>
      </w:r>
    </w:p>
    <w:p w:rsidR="00A04EFC" w:rsidRDefault="00A04EFC" w:rsidP="005A44CF"/>
    <w:p w:rsidR="00A04EFC" w:rsidRDefault="00A04EFC" w:rsidP="005A44CF">
      <w:r>
        <w:t xml:space="preserve">Všechny obrázky v tomto materiálu pocházejí z archivu Mikrobiologického ústavu LF MU a FN u sv. Anny v Brně. Autorem většiny fotografií je prof. MVDr. Boris Skalka, </w:t>
      </w:r>
      <w:r w:rsidR="000003BE">
        <w:t>DrSc., který vedle své hlavní profese veterinárního mikrobiologa na Fakultě veterinárního lékařství VFU Brno externě spolupracoval také s Mikrobiologickým ústavem LF MU a FN USA.</w:t>
      </w:r>
    </w:p>
    <w:p w:rsidR="000003BE" w:rsidRDefault="000003BE" w:rsidP="005A44CF">
      <w:r>
        <w:t>Obrázky byly digitalizovány Mgr. Markem Stehlíkem. Digitalizace se uskutečnila v rámci projektu Evropského sociálního fondu – OP VK.</w:t>
      </w:r>
    </w:p>
    <w:p w:rsidR="000003BE" w:rsidRPr="005A44CF" w:rsidRDefault="000003BE" w:rsidP="005A44CF">
      <w:r>
        <w:rPr>
          <w:noProof/>
        </w:rPr>
        <w:drawing>
          <wp:inline distT="0" distB="0" distL="0" distR="0">
            <wp:extent cx="5972810" cy="1240232"/>
            <wp:effectExtent l="19050" t="0" r="8890" b="0"/>
            <wp:docPr id="82" name="obrázek 1" descr="logolink OP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 OP VK"/>
                    <pic:cNvPicPr>
                      <a:picLocks noChangeAspect="1" noChangeArrowheads="1"/>
                    </pic:cNvPicPr>
                  </pic:nvPicPr>
                  <pic:blipFill>
                    <a:blip r:embed="rId67"/>
                    <a:srcRect/>
                    <a:stretch>
                      <a:fillRect/>
                    </a:stretch>
                  </pic:blipFill>
                  <pic:spPr bwMode="auto">
                    <a:xfrm>
                      <a:off x="0" y="0"/>
                      <a:ext cx="5972810" cy="1240232"/>
                    </a:xfrm>
                    <a:prstGeom prst="rect">
                      <a:avLst/>
                    </a:prstGeom>
                    <a:noFill/>
                    <a:ln w="9525">
                      <a:noFill/>
                      <a:miter lim="800000"/>
                      <a:headEnd/>
                      <a:tailEnd/>
                    </a:ln>
                  </pic:spPr>
                </pic:pic>
              </a:graphicData>
            </a:graphic>
          </wp:inline>
        </w:drawing>
      </w:r>
    </w:p>
    <w:sectPr w:rsidR="000003BE" w:rsidRPr="005A44CF" w:rsidSect="008D023B">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6886"/>
    <w:multiLevelType w:val="hybridMultilevel"/>
    <w:tmpl w:val="A052F8E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
    <w:nsid w:val="030F04EC"/>
    <w:multiLevelType w:val="hybridMultilevel"/>
    <w:tmpl w:val="025CD1BA"/>
    <w:lvl w:ilvl="0" w:tplc="913078D2">
      <w:start w:val="1"/>
      <w:numFmt w:val="bullet"/>
      <w:lvlText w:val=""/>
      <w:lvlJc w:val="left"/>
      <w:pPr>
        <w:tabs>
          <w:tab w:val="num" w:pos="737"/>
        </w:tabs>
        <w:ind w:left="737" w:hanging="377"/>
      </w:pPr>
      <w:rPr>
        <w:rFonts w:ascii="Symbol" w:hAnsi="Symbol" w:hint="default"/>
      </w:rPr>
    </w:lvl>
    <w:lvl w:ilvl="1" w:tplc="617A239C">
      <w:start w:val="1"/>
      <w:numFmt w:val="bullet"/>
      <w:lvlText w:val=""/>
      <w:lvlJc w:val="left"/>
      <w:pPr>
        <w:tabs>
          <w:tab w:val="num" w:pos="1647"/>
        </w:tabs>
        <w:ind w:left="1647" w:hanging="56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36C7007"/>
    <w:multiLevelType w:val="hybridMultilevel"/>
    <w:tmpl w:val="70F85F8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617A239C">
      <w:start w:val="1"/>
      <w:numFmt w:val="bullet"/>
      <w:lvlText w:val=""/>
      <w:lvlJc w:val="left"/>
      <w:pPr>
        <w:tabs>
          <w:tab w:val="num" w:pos="2367"/>
        </w:tabs>
        <w:ind w:left="2367" w:hanging="567"/>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41E109B"/>
    <w:multiLevelType w:val="hybridMultilevel"/>
    <w:tmpl w:val="658E8B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45971EA"/>
    <w:multiLevelType w:val="hybridMultilevel"/>
    <w:tmpl w:val="8C9268FC"/>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460799F"/>
    <w:multiLevelType w:val="hybridMultilevel"/>
    <w:tmpl w:val="166ED9A4"/>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63A2079"/>
    <w:multiLevelType w:val="hybridMultilevel"/>
    <w:tmpl w:val="FDE627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6B745E4"/>
    <w:multiLevelType w:val="hybridMultilevel"/>
    <w:tmpl w:val="F9B425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07445DA9"/>
    <w:multiLevelType w:val="hybridMultilevel"/>
    <w:tmpl w:val="BDE4623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08804A86"/>
    <w:multiLevelType w:val="hybridMultilevel"/>
    <w:tmpl w:val="E9389C98"/>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8C35038"/>
    <w:multiLevelType w:val="hybridMultilevel"/>
    <w:tmpl w:val="55B430EE"/>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9D15070"/>
    <w:multiLevelType w:val="hybridMultilevel"/>
    <w:tmpl w:val="3C1E9F7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0A53354F"/>
    <w:multiLevelType w:val="hybridMultilevel"/>
    <w:tmpl w:val="9B129EA0"/>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AF17ECC"/>
    <w:multiLevelType w:val="hybridMultilevel"/>
    <w:tmpl w:val="402AE370"/>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0B1547BB"/>
    <w:multiLevelType w:val="hybridMultilevel"/>
    <w:tmpl w:val="FC6A2AE2"/>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0B474AF8"/>
    <w:multiLevelType w:val="hybridMultilevel"/>
    <w:tmpl w:val="571E9358"/>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0B8D525C"/>
    <w:multiLevelType w:val="hybridMultilevel"/>
    <w:tmpl w:val="D8D871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0D603DB5"/>
    <w:multiLevelType w:val="hybridMultilevel"/>
    <w:tmpl w:val="FB2676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0EDC3241"/>
    <w:multiLevelType w:val="hybridMultilevel"/>
    <w:tmpl w:val="3AEE446E"/>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0F613357"/>
    <w:multiLevelType w:val="hybridMultilevel"/>
    <w:tmpl w:val="025CD1BA"/>
    <w:lvl w:ilvl="0" w:tplc="0405000F">
      <w:start w:val="1"/>
      <w:numFmt w:val="decimal"/>
      <w:lvlText w:val="%1."/>
      <w:lvlJc w:val="left"/>
      <w:pPr>
        <w:tabs>
          <w:tab w:val="num" w:pos="720"/>
        </w:tabs>
        <w:ind w:left="720" w:hanging="360"/>
      </w:pPr>
      <w:rPr>
        <w:rFonts w:hint="default"/>
      </w:rPr>
    </w:lvl>
    <w:lvl w:ilvl="1" w:tplc="617A239C">
      <w:start w:val="1"/>
      <w:numFmt w:val="bullet"/>
      <w:lvlText w:val=""/>
      <w:lvlJc w:val="left"/>
      <w:pPr>
        <w:tabs>
          <w:tab w:val="num" w:pos="1647"/>
        </w:tabs>
        <w:ind w:left="1647" w:hanging="56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0FAB5259"/>
    <w:multiLevelType w:val="hybridMultilevel"/>
    <w:tmpl w:val="C6A89DB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119114B3"/>
    <w:multiLevelType w:val="hybridMultilevel"/>
    <w:tmpl w:val="30B05D68"/>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139B4D8A"/>
    <w:multiLevelType w:val="hybridMultilevel"/>
    <w:tmpl w:val="FAF63D20"/>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144D0783"/>
    <w:multiLevelType w:val="hybridMultilevel"/>
    <w:tmpl w:val="BA5E2A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15300F60"/>
    <w:multiLevelType w:val="hybridMultilevel"/>
    <w:tmpl w:val="2B801C48"/>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15F21ED8"/>
    <w:multiLevelType w:val="hybridMultilevel"/>
    <w:tmpl w:val="912A767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174017F5"/>
    <w:multiLevelType w:val="hybridMultilevel"/>
    <w:tmpl w:val="BA5E2AFA"/>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179D26F1"/>
    <w:multiLevelType w:val="hybridMultilevel"/>
    <w:tmpl w:val="2B1080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18620B5B"/>
    <w:multiLevelType w:val="hybridMultilevel"/>
    <w:tmpl w:val="9CCCBC8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18DE2C4C"/>
    <w:multiLevelType w:val="hybridMultilevel"/>
    <w:tmpl w:val="0388CFD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19994716"/>
    <w:multiLevelType w:val="hybridMultilevel"/>
    <w:tmpl w:val="C394B3D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1A7952D5"/>
    <w:multiLevelType w:val="hybridMultilevel"/>
    <w:tmpl w:val="0E9499D2"/>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1C856300"/>
    <w:multiLevelType w:val="hybridMultilevel"/>
    <w:tmpl w:val="A48E73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1D2F51E3"/>
    <w:multiLevelType w:val="hybridMultilevel"/>
    <w:tmpl w:val="9690B6FE"/>
    <w:lvl w:ilvl="0" w:tplc="04050009">
      <w:start w:val="1"/>
      <w:numFmt w:val="bullet"/>
      <w:lvlText w:val=""/>
      <w:lvlJc w:val="left"/>
      <w:pPr>
        <w:tabs>
          <w:tab w:val="num" w:pos="720"/>
        </w:tabs>
        <w:ind w:left="720" w:hanging="360"/>
      </w:pPr>
      <w:rPr>
        <w:rFonts w:ascii="Wingdings" w:hAnsi="Wingdings" w:hint="default"/>
      </w:rPr>
    </w:lvl>
    <w:lvl w:ilvl="1" w:tplc="617A239C">
      <w:start w:val="1"/>
      <w:numFmt w:val="bullet"/>
      <w:lvlText w:val=""/>
      <w:lvlJc w:val="left"/>
      <w:pPr>
        <w:tabs>
          <w:tab w:val="num" w:pos="1647"/>
        </w:tabs>
        <w:ind w:left="1647" w:hanging="56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nsid w:val="1E043F95"/>
    <w:multiLevelType w:val="hybridMultilevel"/>
    <w:tmpl w:val="E4EA98C6"/>
    <w:lvl w:ilvl="0" w:tplc="BA9ED46E">
      <w:start w:val="1"/>
      <w:numFmt w:val="bullet"/>
      <w:lvlText w:val=""/>
      <w:lvlJc w:val="left"/>
      <w:pPr>
        <w:tabs>
          <w:tab w:val="num" w:pos="36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1E1004AF"/>
    <w:multiLevelType w:val="hybridMultilevel"/>
    <w:tmpl w:val="BCC6A1E8"/>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1EE90EF1"/>
    <w:multiLevelType w:val="hybridMultilevel"/>
    <w:tmpl w:val="B1F6B602"/>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1F3E3DEE"/>
    <w:multiLevelType w:val="hybridMultilevel"/>
    <w:tmpl w:val="05FE4B2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1FF072DD"/>
    <w:multiLevelType w:val="hybridMultilevel"/>
    <w:tmpl w:val="CCA8CDC8"/>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202F52EB"/>
    <w:multiLevelType w:val="hybridMultilevel"/>
    <w:tmpl w:val="87E011CA"/>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216443A9"/>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21711CF4"/>
    <w:multiLevelType w:val="hybridMultilevel"/>
    <w:tmpl w:val="F81E3728"/>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235C4B38"/>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243B244F"/>
    <w:multiLevelType w:val="hybridMultilevel"/>
    <w:tmpl w:val="76DEA060"/>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24DE1850"/>
    <w:multiLevelType w:val="hybridMultilevel"/>
    <w:tmpl w:val="B5621A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256F5E7F"/>
    <w:multiLevelType w:val="hybridMultilevel"/>
    <w:tmpl w:val="CBFE4AD4"/>
    <w:lvl w:ilvl="0" w:tplc="BA9ED46E">
      <w:start w:val="1"/>
      <w:numFmt w:val="bullet"/>
      <w:lvlText w:val=""/>
      <w:lvlJc w:val="left"/>
      <w:pPr>
        <w:tabs>
          <w:tab w:val="num" w:pos="36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9002032"/>
    <w:multiLevelType w:val="hybridMultilevel"/>
    <w:tmpl w:val="917237C8"/>
    <w:lvl w:ilvl="0" w:tplc="BA9ED46E">
      <w:start w:val="1"/>
      <w:numFmt w:val="bullet"/>
      <w:lvlText w:val=""/>
      <w:lvlJc w:val="left"/>
      <w:pPr>
        <w:tabs>
          <w:tab w:val="num" w:pos="360"/>
        </w:tabs>
        <w:ind w:left="170" w:hanging="17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2CEA3E1E"/>
    <w:multiLevelType w:val="hybridMultilevel"/>
    <w:tmpl w:val="7DEC32C0"/>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2D223DA3"/>
    <w:multiLevelType w:val="hybridMultilevel"/>
    <w:tmpl w:val="C34A6670"/>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2DFF4DDF"/>
    <w:multiLevelType w:val="hybridMultilevel"/>
    <w:tmpl w:val="A052F8E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0">
    <w:nsid w:val="2E204553"/>
    <w:multiLevelType w:val="hybridMultilevel"/>
    <w:tmpl w:val="88849458"/>
    <w:lvl w:ilvl="0" w:tplc="BA9ED46E">
      <w:start w:val="1"/>
      <w:numFmt w:val="bullet"/>
      <w:lvlText w:val=""/>
      <w:lvlJc w:val="left"/>
      <w:pPr>
        <w:tabs>
          <w:tab w:val="num" w:pos="36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2F3411D2"/>
    <w:multiLevelType w:val="hybridMultilevel"/>
    <w:tmpl w:val="4F000B1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2F434AD6"/>
    <w:multiLevelType w:val="hybridMultilevel"/>
    <w:tmpl w:val="BDEC9D6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2FE75AA7"/>
    <w:multiLevelType w:val="hybridMultilevel"/>
    <w:tmpl w:val="F19A3B02"/>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305866EB"/>
    <w:multiLevelType w:val="hybridMultilevel"/>
    <w:tmpl w:val="3AA05666"/>
    <w:lvl w:ilvl="0" w:tplc="BA9ED46E">
      <w:start w:val="1"/>
      <w:numFmt w:val="bullet"/>
      <w:lvlText w:val=""/>
      <w:lvlJc w:val="left"/>
      <w:pPr>
        <w:tabs>
          <w:tab w:val="num" w:pos="360"/>
        </w:tabs>
        <w:ind w:left="170" w:hanging="17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31554DF7"/>
    <w:multiLevelType w:val="hybridMultilevel"/>
    <w:tmpl w:val="B1300590"/>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9">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352A3DC0"/>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365B0E1C"/>
    <w:multiLevelType w:val="hybridMultilevel"/>
    <w:tmpl w:val="19A07EE2"/>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38305066"/>
    <w:multiLevelType w:val="hybridMultilevel"/>
    <w:tmpl w:val="A052F8EE"/>
    <w:lvl w:ilvl="0" w:tplc="617A239C">
      <w:start w:val="1"/>
      <w:numFmt w:val="bullet"/>
      <w:lvlText w:val=""/>
      <w:lvlJc w:val="left"/>
      <w:pPr>
        <w:tabs>
          <w:tab w:val="num" w:pos="927"/>
        </w:tabs>
        <w:ind w:left="927" w:hanging="567"/>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9">
    <w:nsid w:val="392D3B8E"/>
    <w:multiLevelType w:val="hybridMultilevel"/>
    <w:tmpl w:val="1E32D31A"/>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3ADD757E"/>
    <w:multiLevelType w:val="hybridMultilevel"/>
    <w:tmpl w:val="7C928240"/>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3C94285C"/>
    <w:multiLevelType w:val="hybridMultilevel"/>
    <w:tmpl w:val="1D583F34"/>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3CD039A4"/>
    <w:multiLevelType w:val="hybridMultilevel"/>
    <w:tmpl w:val="BDEC9D6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3E1A1C3C"/>
    <w:multiLevelType w:val="hybridMultilevel"/>
    <w:tmpl w:val="B99AE8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3F6419B3"/>
    <w:multiLevelType w:val="hybridMultilevel"/>
    <w:tmpl w:val="7DEC32C0"/>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3FEA3C87"/>
    <w:multiLevelType w:val="hybridMultilevel"/>
    <w:tmpl w:val="9C9A33D6"/>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41D300E8"/>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42F5012C"/>
    <w:multiLevelType w:val="hybridMultilevel"/>
    <w:tmpl w:val="2822F114"/>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44F41854"/>
    <w:multiLevelType w:val="hybridMultilevel"/>
    <w:tmpl w:val="2BFCDE64"/>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455044E4"/>
    <w:multiLevelType w:val="hybridMultilevel"/>
    <w:tmpl w:val="4246F4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497D7523"/>
    <w:multiLevelType w:val="multilevel"/>
    <w:tmpl w:val="ED1E3B9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484"/>
        </w:tabs>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1">
    <w:nsid w:val="4BA12D54"/>
    <w:multiLevelType w:val="hybridMultilevel"/>
    <w:tmpl w:val="7098E04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4BB34B03"/>
    <w:multiLevelType w:val="hybridMultilevel"/>
    <w:tmpl w:val="72161904"/>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4E613209"/>
    <w:multiLevelType w:val="hybridMultilevel"/>
    <w:tmpl w:val="A052F8EE"/>
    <w:lvl w:ilvl="0" w:tplc="617A239C">
      <w:start w:val="1"/>
      <w:numFmt w:val="bullet"/>
      <w:lvlText w:val=""/>
      <w:lvlJc w:val="left"/>
      <w:pPr>
        <w:tabs>
          <w:tab w:val="num" w:pos="927"/>
        </w:tabs>
        <w:ind w:left="927" w:hanging="567"/>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74">
    <w:nsid w:val="4E73609D"/>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4E777C87"/>
    <w:multiLevelType w:val="hybridMultilevel"/>
    <w:tmpl w:val="344229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51A85E43"/>
    <w:multiLevelType w:val="hybridMultilevel"/>
    <w:tmpl w:val="CFEC14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nsid w:val="52751719"/>
    <w:multiLevelType w:val="hybridMultilevel"/>
    <w:tmpl w:val="70F85F8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617A239C">
      <w:start w:val="1"/>
      <w:numFmt w:val="bullet"/>
      <w:lvlText w:val=""/>
      <w:lvlJc w:val="left"/>
      <w:pPr>
        <w:tabs>
          <w:tab w:val="num" w:pos="2367"/>
        </w:tabs>
        <w:ind w:left="2367" w:hanging="567"/>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52EF654B"/>
    <w:multiLevelType w:val="hybridMultilevel"/>
    <w:tmpl w:val="79204922"/>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53B3313A"/>
    <w:multiLevelType w:val="hybridMultilevel"/>
    <w:tmpl w:val="80B0722A"/>
    <w:lvl w:ilvl="0" w:tplc="617A239C">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53EE10E6"/>
    <w:multiLevelType w:val="hybridMultilevel"/>
    <w:tmpl w:val="BD7E41AC"/>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54644F18"/>
    <w:multiLevelType w:val="hybridMultilevel"/>
    <w:tmpl w:val="0A86F9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nsid w:val="558236EE"/>
    <w:multiLevelType w:val="hybridMultilevel"/>
    <w:tmpl w:val="21B43E1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597D61D3"/>
    <w:multiLevelType w:val="hybridMultilevel"/>
    <w:tmpl w:val="2F927C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nsid w:val="5ACA46A0"/>
    <w:multiLevelType w:val="hybridMultilevel"/>
    <w:tmpl w:val="BDEC9D6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5AE12965"/>
    <w:multiLevelType w:val="hybridMultilevel"/>
    <w:tmpl w:val="70F85F8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617A239C">
      <w:start w:val="1"/>
      <w:numFmt w:val="bullet"/>
      <w:lvlText w:val=""/>
      <w:lvlJc w:val="left"/>
      <w:pPr>
        <w:tabs>
          <w:tab w:val="num" w:pos="2367"/>
        </w:tabs>
        <w:ind w:left="2367" w:hanging="567"/>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nsid w:val="5B9A7E35"/>
    <w:multiLevelType w:val="hybridMultilevel"/>
    <w:tmpl w:val="D78A4DAC"/>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5CFC72A4"/>
    <w:multiLevelType w:val="hybridMultilevel"/>
    <w:tmpl w:val="70F85F8C"/>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617A239C">
      <w:start w:val="1"/>
      <w:numFmt w:val="bullet"/>
      <w:lvlText w:val=""/>
      <w:lvlJc w:val="left"/>
      <w:pPr>
        <w:tabs>
          <w:tab w:val="num" w:pos="2367"/>
        </w:tabs>
        <w:ind w:left="2367" w:hanging="567"/>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nsid w:val="5D6A7402"/>
    <w:multiLevelType w:val="hybridMultilevel"/>
    <w:tmpl w:val="A60CBFD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5E041359"/>
    <w:multiLevelType w:val="hybridMultilevel"/>
    <w:tmpl w:val="C6EE32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613B5515"/>
    <w:multiLevelType w:val="hybridMultilevel"/>
    <w:tmpl w:val="77FA29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61E146DE"/>
    <w:multiLevelType w:val="hybridMultilevel"/>
    <w:tmpl w:val="D102EC52"/>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62C31B00"/>
    <w:multiLevelType w:val="hybridMultilevel"/>
    <w:tmpl w:val="123CD4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nsid w:val="633C5222"/>
    <w:multiLevelType w:val="hybridMultilevel"/>
    <w:tmpl w:val="471EAE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nsid w:val="63B565FF"/>
    <w:multiLevelType w:val="hybridMultilevel"/>
    <w:tmpl w:val="2B52460C"/>
    <w:lvl w:ilvl="0" w:tplc="04050009">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nsid w:val="63E64527"/>
    <w:multiLevelType w:val="hybridMultilevel"/>
    <w:tmpl w:val="4178258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65CC12E0"/>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nsid w:val="66EC48B3"/>
    <w:multiLevelType w:val="hybridMultilevel"/>
    <w:tmpl w:val="7D465D34"/>
    <w:lvl w:ilvl="0" w:tplc="04050001">
      <w:start w:val="1"/>
      <w:numFmt w:val="bullet"/>
      <w:lvlText w:val=""/>
      <w:lvlJc w:val="left"/>
      <w:pPr>
        <w:tabs>
          <w:tab w:val="num" w:pos="720"/>
        </w:tabs>
        <w:ind w:left="720" w:hanging="360"/>
      </w:pPr>
      <w:rPr>
        <w:rFonts w:ascii="Symbol" w:hAnsi="Symbol" w:hint="default"/>
      </w:rPr>
    </w:lvl>
    <w:lvl w:ilvl="1" w:tplc="617A239C">
      <w:start w:val="1"/>
      <w:numFmt w:val="bullet"/>
      <w:lvlText w:val=""/>
      <w:lvlJc w:val="left"/>
      <w:pPr>
        <w:tabs>
          <w:tab w:val="num" w:pos="1647"/>
        </w:tabs>
        <w:ind w:left="1647" w:hanging="56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6A057EFD"/>
    <w:multiLevelType w:val="hybridMultilevel"/>
    <w:tmpl w:val="3D4044B6"/>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nsid w:val="6B15488B"/>
    <w:multiLevelType w:val="hybridMultilevel"/>
    <w:tmpl w:val="7DEC32C0"/>
    <w:lvl w:ilvl="0" w:tplc="04050009">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nsid w:val="6B3B1128"/>
    <w:multiLevelType w:val="hybridMultilevel"/>
    <w:tmpl w:val="C256D2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nsid w:val="6C2067EB"/>
    <w:multiLevelType w:val="hybridMultilevel"/>
    <w:tmpl w:val="FD764EF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6C4E299A"/>
    <w:multiLevelType w:val="hybridMultilevel"/>
    <w:tmpl w:val="4BEC11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70360D7E"/>
    <w:multiLevelType w:val="hybridMultilevel"/>
    <w:tmpl w:val="BDEC9D6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nsid w:val="70BC3B8C"/>
    <w:multiLevelType w:val="hybridMultilevel"/>
    <w:tmpl w:val="5088C998"/>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nsid w:val="71C601BF"/>
    <w:multiLevelType w:val="hybridMultilevel"/>
    <w:tmpl w:val="57781E54"/>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nsid w:val="743E4056"/>
    <w:multiLevelType w:val="hybridMultilevel"/>
    <w:tmpl w:val="B08EA4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nsid w:val="75AC1395"/>
    <w:multiLevelType w:val="hybridMultilevel"/>
    <w:tmpl w:val="D49CEF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nsid w:val="78343626"/>
    <w:multiLevelType w:val="hybridMultilevel"/>
    <w:tmpl w:val="2B52460C"/>
    <w:lvl w:ilvl="0" w:tplc="617A239C">
      <w:start w:val="1"/>
      <w:numFmt w:val="bullet"/>
      <w:lvlText w:val=""/>
      <w:lvlJc w:val="left"/>
      <w:pPr>
        <w:tabs>
          <w:tab w:val="num" w:pos="927"/>
        </w:tabs>
        <w:ind w:left="92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nsid w:val="78BB5F16"/>
    <w:multiLevelType w:val="hybridMultilevel"/>
    <w:tmpl w:val="0E5634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nsid w:val="7CCB49E5"/>
    <w:multiLevelType w:val="hybridMultilevel"/>
    <w:tmpl w:val="9690B6FE"/>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7D3D60F1"/>
    <w:multiLevelType w:val="hybridMultilevel"/>
    <w:tmpl w:val="FCB42ADA"/>
    <w:lvl w:ilvl="0" w:tplc="913078D2">
      <w:start w:val="1"/>
      <w:numFmt w:val="bullet"/>
      <w:lvlText w:val=""/>
      <w:lvlJc w:val="left"/>
      <w:pPr>
        <w:tabs>
          <w:tab w:val="num" w:pos="377"/>
        </w:tabs>
        <w:ind w:left="37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nsid w:val="7D8F2C35"/>
    <w:multiLevelType w:val="hybridMultilevel"/>
    <w:tmpl w:val="5232D13A"/>
    <w:lvl w:ilvl="0" w:tplc="913078D2">
      <w:start w:val="1"/>
      <w:numFmt w:val="bullet"/>
      <w:lvlText w:val=""/>
      <w:lvlJc w:val="left"/>
      <w:pPr>
        <w:tabs>
          <w:tab w:val="num" w:pos="737"/>
        </w:tabs>
        <w:ind w:left="737" w:hanging="37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nsid w:val="7EB070C9"/>
    <w:multiLevelType w:val="hybridMultilevel"/>
    <w:tmpl w:val="35B0EB64"/>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nsid w:val="7ED50D94"/>
    <w:multiLevelType w:val="hybridMultilevel"/>
    <w:tmpl w:val="3850C6DC"/>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7F3B469E"/>
    <w:multiLevelType w:val="hybridMultilevel"/>
    <w:tmpl w:val="BA04CF9A"/>
    <w:lvl w:ilvl="0" w:tplc="617A239C">
      <w:start w:val="1"/>
      <w:numFmt w:val="bullet"/>
      <w:lvlText w:val=""/>
      <w:lvlJc w:val="left"/>
      <w:pPr>
        <w:tabs>
          <w:tab w:val="num" w:pos="567"/>
        </w:tabs>
        <w:ind w:left="567" w:hanging="56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617A239C">
      <w:start w:val="1"/>
      <w:numFmt w:val="bullet"/>
      <w:lvlText w:val=""/>
      <w:lvlJc w:val="left"/>
      <w:pPr>
        <w:tabs>
          <w:tab w:val="num" w:pos="2367"/>
        </w:tabs>
        <w:ind w:left="2367" w:hanging="567"/>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6">
    <w:nsid w:val="7FC86D11"/>
    <w:multiLevelType w:val="hybridMultilevel"/>
    <w:tmpl w:val="2AC2DB8C"/>
    <w:lvl w:ilvl="0" w:tplc="913078D2">
      <w:start w:val="1"/>
      <w:numFmt w:val="bullet"/>
      <w:lvlText w:val=""/>
      <w:lvlJc w:val="left"/>
      <w:pPr>
        <w:tabs>
          <w:tab w:val="num" w:pos="737"/>
        </w:tabs>
        <w:ind w:left="737" w:hanging="37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1"/>
  </w:num>
  <w:num w:numId="3">
    <w:abstractNumId w:val="63"/>
  </w:num>
  <w:num w:numId="4">
    <w:abstractNumId w:val="97"/>
  </w:num>
  <w:num w:numId="5">
    <w:abstractNumId w:val="23"/>
  </w:num>
  <w:num w:numId="6">
    <w:abstractNumId w:val="7"/>
  </w:num>
  <w:num w:numId="7">
    <w:abstractNumId w:val="93"/>
  </w:num>
  <w:num w:numId="8">
    <w:abstractNumId w:val="28"/>
  </w:num>
  <w:num w:numId="9">
    <w:abstractNumId w:val="70"/>
  </w:num>
  <w:num w:numId="10">
    <w:abstractNumId w:val="101"/>
  </w:num>
  <w:num w:numId="11">
    <w:abstractNumId w:val="83"/>
  </w:num>
  <w:num w:numId="12">
    <w:abstractNumId w:val="90"/>
  </w:num>
  <w:num w:numId="13">
    <w:abstractNumId w:val="6"/>
  </w:num>
  <w:num w:numId="14">
    <w:abstractNumId w:val="76"/>
  </w:num>
  <w:num w:numId="15">
    <w:abstractNumId w:val="32"/>
  </w:num>
  <w:num w:numId="16">
    <w:abstractNumId w:val="44"/>
  </w:num>
  <w:num w:numId="17">
    <w:abstractNumId w:val="20"/>
  </w:num>
  <w:num w:numId="18">
    <w:abstractNumId w:val="17"/>
  </w:num>
  <w:num w:numId="19">
    <w:abstractNumId w:val="69"/>
  </w:num>
  <w:num w:numId="20">
    <w:abstractNumId w:val="106"/>
  </w:num>
  <w:num w:numId="21">
    <w:abstractNumId w:val="89"/>
  </w:num>
  <w:num w:numId="22">
    <w:abstractNumId w:val="8"/>
  </w:num>
  <w:num w:numId="23">
    <w:abstractNumId w:val="75"/>
  </w:num>
  <w:num w:numId="24">
    <w:abstractNumId w:val="100"/>
  </w:num>
  <w:num w:numId="25">
    <w:abstractNumId w:val="92"/>
  </w:num>
  <w:num w:numId="26">
    <w:abstractNumId w:val="46"/>
  </w:num>
  <w:num w:numId="27">
    <w:abstractNumId w:val="34"/>
  </w:num>
  <w:num w:numId="28">
    <w:abstractNumId w:val="45"/>
  </w:num>
  <w:num w:numId="29">
    <w:abstractNumId w:val="54"/>
  </w:num>
  <w:num w:numId="30">
    <w:abstractNumId w:val="50"/>
  </w:num>
  <w:num w:numId="31">
    <w:abstractNumId w:val="19"/>
  </w:num>
  <w:num w:numId="32">
    <w:abstractNumId w:val="35"/>
  </w:num>
  <w:num w:numId="33">
    <w:abstractNumId w:val="99"/>
  </w:num>
  <w:num w:numId="34">
    <w:abstractNumId w:val="94"/>
  </w:num>
  <w:num w:numId="35">
    <w:abstractNumId w:val="67"/>
  </w:num>
  <w:num w:numId="36">
    <w:abstractNumId w:val="57"/>
  </w:num>
  <w:num w:numId="37">
    <w:abstractNumId w:val="115"/>
  </w:num>
  <w:num w:numId="38">
    <w:abstractNumId w:val="33"/>
  </w:num>
  <w:num w:numId="39">
    <w:abstractNumId w:val="64"/>
  </w:num>
  <w:num w:numId="40">
    <w:abstractNumId w:val="47"/>
  </w:num>
  <w:num w:numId="41">
    <w:abstractNumId w:val="73"/>
  </w:num>
  <w:num w:numId="42">
    <w:abstractNumId w:val="58"/>
  </w:num>
  <w:num w:numId="43">
    <w:abstractNumId w:val="55"/>
  </w:num>
  <w:num w:numId="44">
    <w:abstractNumId w:val="56"/>
  </w:num>
  <w:num w:numId="45">
    <w:abstractNumId w:val="42"/>
  </w:num>
  <w:num w:numId="46">
    <w:abstractNumId w:val="96"/>
  </w:num>
  <w:num w:numId="47">
    <w:abstractNumId w:val="74"/>
  </w:num>
  <w:num w:numId="48">
    <w:abstractNumId w:val="66"/>
  </w:num>
  <w:num w:numId="49">
    <w:abstractNumId w:val="108"/>
  </w:num>
  <w:num w:numId="50">
    <w:abstractNumId w:val="40"/>
  </w:num>
  <w:num w:numId="51">
    <w:abstractNumId w:val="103"/>
  </w:num>
  <w:num w:numId="52">
    <w:abstractNumId w:val="84"/>
  </w:num>
  <w:num w:numId="53">
    <w:abstractNumId w:val="52"/>
  </w:num>
  <w:num w:numId="54">
    <w:abstractNumId w:val="62"/>
  </w:num>
  <w:num w:numId="55">
    <w:abstractNumId w:val="110"/>
  </w:num>
  <w:num w:numId="56">
    <w:abstractNumId w:val="18"/>
  </w:num>
  <w:num w:numId="57">
    <w:abstractNumId w:val="68"/>
  </w:num>
  <w:num w:numId="58">
    <w:abstractNumId w:val="4"/>
  </w:num>
  <w:num w:numId="59">
    <w:abstractNumId w:val="0"/>
  </w:num>
  <w:num w:numId="60">
    <w:abstractNumId w:val="49"/>
  </w:num>
  <w:num w:numId="61">
    <w:abstractNumId w:val="29"/>
  </w:num>
  <w:num w:numId="62">
    <w:abstractNumId w:val="41"/>
  </w:num>
  <w:num w:numId="63">
    <w:abstractNumId w:val="61"/>
  </w:num>
  <w:num w:numId="64">
    <w:abstractNumId w:val="26"/>
  </w:num>
  <w:num w:numId="65">
    <w:abstractNumId w:val="59"/>
  </w:num>
  <w:num w:numId="66">
    <w:abstractNumId w:val="91"/>
  </w:num>
  <w:num w:numId="67">
    <w:abstractNumId w:val="80"/>
  </w:num>
  <w:num w:numId="68">
    <w:abstractNumId w:val="1"/>
  </w:num>
  <w:num w:numId="69">
    <w:abstractNumId w:val="15"/>
  </w:num>
  <w:num w:numId="70">
    <w:abstractNumId w:val="86"/>
  </w:num>
  <w:num w:numId="71">
    <w:abstractNumId w:val="114"/>
  </w:num>
  <w:num w:numId="72">
    <w:abstractNumId w:val="53"/>
  </w:num>
  <w:num w:numId="73">
    <w:abstractNumId w:val="36"/>
  </w:num>
  <w:num w:numId="74">
    <w:abstractNumId w:val="10"/>
  </w:num>
  <w:num w:numId="75">
    <w:abstractNumId w:val="78"/>
  </w:num>
  <w:num w:numId="76">
    <w:abstractNumId w:val="113"/>
  </w:num>
  <w:num w:numId="77">
    <w:abstractNumId w:val="112"/>
  </w:num>
  <w:num w:numId="78">
    <w:abstractNumId w:val="43"/>
  </w:num>
  <w:num w:numId="79">
    <w:abstractNumId w:val="51"/>
  </w:num>
  <w:num w:numId="80">
    <w:abstractNumId w:val="65"/>
  </w:num>
  <w:num w:numId="81">
    <w:abstractNumId w:val="72"/>
  </w:num>
  <w:num w:numId="82">
    <w:abstractNumId w:val="5"/>
  </w:num>
  <w:num w:numId="83">
    <w:abstractNumId w:val="21"/>
  </w:num>
  <w:num w:numId="84">
    <w:abstractNumId w:val="14"/>
  </w:num>
  <w:num w:numId="85">
    <w:abstractNumId w:val="13"/>
  </w:num>
  <w:num w:numId="86">
    <w:abstractNumId w:val="87"/>
  </w:num>
  <w:num w:numId="87">
    <w:abstractNumId w:val="77"/>
  </w:num>
  <w:num w:numId="88">
    <w:abstractNumId w:val="85"/>
  </w:num>
  <w:num w:numId="89">
    <w:abstractNumId w:val="2"/>
  </w:num>
  <w:num w:numId="90">
    <w:abstractNumId w:val="98"/>
  </w:num>
  <w:num w:numId="91">
    <w:abstractNumId w:val="116"/>
  </w:num>
  <w:num w:numId="92">
    <w:abstractNumId w:val="104"/>
  </w:num>
  <w:num w:numId="93">
    <w:abstractNumId w:val="25"/>
  </w:num>
  <w:num w:numId="94">
    <w:abstractNumId w:val="9"/>
  </w:num>
  <w:num w:numId="95">
    <w:abstractNumId w:val="60"/>
  </w:num>
  <w:num w:numId="96">
    <w:abstractNumId w:val="111"/>
  </w:num>
  <w:num w:numId="97">
    <w:abstractNumId w:val="31"/>
  </w:num>
  <w:num w:numId="98">
    <w:abstractNumId w:val="22"/>
  </w:num>
  <w:num w:numId="99">
    <w:abstractNumId w:val="39"/>
  </w:num>
  <w:num w:numId="100">
    <w:abstractNumId w:val="105"/>
  </w:num>
  <w:num w:numId="101">
    <w:abstractNumId w:val="12"/>
  </w:num>
  <w:num w:numId="102">
    <w:abstractNumId w:val="95"/>
  </w:num>
  <w:num w:numId="103">
    <w:abstractNumId w:val="30"/>
  </w:num>
  <w:num w:numId="104">
    <w:abstractNumId w:val="79"/>
  </w:num>
  <w:num w:numId="105">
    <w:abstractNumId w:val="24"/>
  </w:num>
  <w:num w:numId="106">
    <w:abstractNumId w:val="48"/>
  </w:num>
  <w:num w:numId="107">
    <w:abstractNumId w:val="38"/>
  </w:num>
  <w:num w:numId="108">
    <w:abstractNumId w:val="88"/>
  </w:num>
  <w:num w:numId="109">
    <w:abstractNumId w:val="16"/>
  </w:num>
  <w:num w:numId="110">
    <w:abstractNumId w:val="37"/>
  </w:num>
  <w:num w:numId="111">
    <w:abstractNumId w:val="3"/>
  </w:num>
  <w:num w:numId="112">
    <w:abstractNumId w:val="27"/>
  </w:num>
  <w:num w:numId="113">
    <w:abstractNumId w:val="102"/>
  </w:num>
  <w:num w:numId="114">
    <w:abstractNumId w:val="81"/>
  </w:num>
  <w:num w:numId="115">
    <w:abstractNumId w:val="82"/>
  </w:num>
  <w:num w:numId="116">
    <w:abstractNumId w:val="109"/>
  </w:num>
  <w:num w:numId="117">
    <w:abstractNumId w:val="10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GrammaticalErrors/>
  <w:proofState w:spelling="clean" w:grammar="clean"/>
  <w:defaultTabStop w:val="708"/>
  <w:hyphenationZone w:val="425"/>
  <w:noPunctuationKerning/>
  <w:characterSpacingControl w:val="doNotCompress"/>
  <w:compat/>
  <w:rsids>
    <w:rsidRoot w:val="00EB7C24"/>
    <w:rsid w:val="000003BE"/>
    <w:rsid w:val="000E17DA"/>
    <w:rsid w:val="00107703"/>
    <w:rsid w:val="00186F9F"/>
    <w:rsid w:val="001A4B21"/>
    <w:rsid w:val="00253D00"/>
    <w:rsid w:val="002549D9"/>
    <w:rsid w:val="002F1A34"/>
    <w:rsid w:val="00316A4C"/>
    <w:rsid w:val="0037172A"/>
    <w:rsid w:val="0048592C"/>
    <w:rsid w:val="004F4BB2"/>
    <w:rsid w:val="00521B96"/>
    <w:rsid w:val="00522D1B"/>
    <w:rsid w:val="0052422E"/>
    <w:rsid w:val="00550EEC"/>
    <w:rsid w:val="0057016D"/>
    <w:rsid w:val="005A44CF"/>
    <w:rsid w:val="005C70F8"/>
    <w:rsid w:val="0063746C"/>
    <w:rsid w:val="00791C88"/>
    <w:rsid w:val="007C0C2E"/>
    <w:rsid w:val="0085762C"/>
    <w:rsid w:val="008D023B"/>
    <w:rsid w:val="008E5744"/>
    <w:rsid w:val="00971E1D"/>
    <w:rsid w:val="009C1E61"/>
    <w:rsid w:val="00A02AB1"/>
    <w:rsid w:val="00A04EFC"/>
    <w:rsid w:val="00AA0BDD"/>
    <w:rsid w:val="00AE509E"/>
    <w:rsid w:val="00AF506B"/>
    <w:rsid w:val="00B56D6E"/>
    <w:rsid w:val="00B60036"/>
    <w:rsid w:val="00C54253"/>
    <w:rsid w:val="00C63EB8"/>
    <w:rsid w:val="00CA1783"/>
    <w:rsid w:val="00D64129"/>
    <w:rsid w:val="00D76B42"/>
    <w:rsid w:val="00EA6FFE"/>
    <w:rsid w:val="00EB7C24"/>
    <w:rsid w:val="00EC449C"/>
    <w:rsid w:val="00EF0C26"/>
    <w:rsid w:val="00F0005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D023B"/>
    <w:pPr>
      <w:ind w:left="113" w:hanging="113"/>
    </w:pPr>
    <w:rPr>
      <w:rFonts w:ascii="Century Gothic" w:hAnsi="Century Gothic"/>
      <w:szCs w:val="24"/>
    </w:rPr>
  </w:style>
  <w:style w:type="paragraph" w:styleId="Nadpis1">
    <w:name w:val="heading 1"/>
    <w:basedOn w:val="Normln"/>
    <w:next w:val="Normln"/>
    <w:qFormat/>
    <w:rsid w:val="008D023B"/>
    <w:pPr>
      <w:keepNext/>
      <w:spacing w:before="240" w:after="60"/>
      <w:outlineLvl w:val="0"/>
    </w:pPr>
    <w:rPr>
      <w:rFonts w:cs="Arial"/>
      <w:b/>
      <w:bCs/>
      <w:kern w:val="32"/>
      <w:sz w:val="40"/>
      <w:szCs w:val="32"/>
    </w:rPr>
  </w:style>
  <w:style w:type="paragraph" w:styleId="Nadpis2">
    <w:name w:val="heading 2"/>
    <w:basedOn w:val="Normln"/>
    <w:next w:val="Normln"/>
    <w:qFormat/>
    <w:rsid w:val="008D023B"/>
    <w:pPr>
      <w:keepNext/>
      <w:spacing w:before="120"/>
      <w:ind w:left="0" w:firstLine="0"/>
      <w:outlineLvl w:val="1"/>
    </w:pPr>
    <w:rPr>
      <w:rFonts w:cs="Arial"/>
      <w:b/>
      <w:bCs/>
      <w:iCs/>
      <w:sz w:val="32"/>
      <w:szCs w:val="28"/>
    </w:rPr>
  </w:style>
  <w:style w:type="paragraph" w:styleId="Nadpis3">
    <w:name w:val="heading 3"/>
    <w:basedOn w:val="Normln"/>
    <w:next w:val="Normln"/>
    <w:qFormat/>
    <w:rsid w:val="008D023B"/>
    <w:pPr>
      <w:keepNext/>
      <w:spacing w:before="120"/>
      <w:outlineLvl w:val="2"/>
    </w:pPr>
    <w:rPr>
      <w:rFonts w:cs="Arial"/>
      <w:b/>
      <w:bCs/>
      <w:sz w:val="28"/>
      <w:szCs w:val="26"/>
    </w:rPr>
  </w:style>
  <w:style w:type="paragraph" w:styleId="Nadpis4">
    <w:name w:val="heading 4"/>
    <w:basedOn w:val="Normln"/>
    <w:next w:val="Normln"/>
    <w:qFormat/>
    <w:rsid w:val="008D023B"/>
    <w:pPr>
      <w:keepNext/>
      <w:spacing w:before="60"/>
      <w:outlineLvl w:val="3"/>
    </w:pPr>
    <w:rPr>
      <w:b/>
      <w:bCs/>
      <w:sz w:val="24"/>
      <w:szCs w:val="28"/>
    </w:rPr>
  </w:style>
  <w:style w:type="paragraph" w:styleId="Nadpis5">
    <w:name w:val="heading 5"/>
    <w:basedOn w:val="Normln"/>
    <w:next w:val="Normln"/>
    <w:qFormat/>
    <w:rsid w:val="008D023B"/>
    <w:pPr>
      <w:keepNext/>
      <w:outlineLvl w:val="4"/>
    </w:pPr>
    <w:rPr>
      <w:b/>
    </w:rPr>
  </w:style>
  <w:style w:type="paragraph" w:styleId="Nadpis6">
    <w:name w:val="heading 6"/>
    <w:basedOn w:val="Normln"/>
    <w:next w:val="Normln"/>
    <w:qFormat/>
    <w:rsid w:val="008D023B"/>
    <w:pPr>
      <w:keepNext/>
      <w:outlineLvl w:val="5"/>
    </w:pPr>
    <w:rPr>
      <w:b/>
      <w:bCs/>
      <w:u w:val="single"/>
    </w:rPr>
  </w:style>
  <w:style w:type="paragraph" w:styleId="Nadpis7">
    <w:name w:val="heading 7"/>
    <w:basedOn w:val="Normln"/>
    <w:next w:val="Normln"/>
    <w:qFormat/>
    <w:rsid w:val="008D023B"/>
    <w:pPr>
      <w:keepNext/>
      <w:outlineLvl w:val="6"/>
    </w:pPr>
    <w:rPr>
      <w:u w:val="single"/>
    </w:rPr>
  </w:style>
  <w:style w:type="paragraph" w:styleId="Nadpis8">
    <w:name w:val="heading 8"/>
    <w:basedOn w:val="Normln"/>
    <w:next w:val="Normln"/>
    <w:qFormat/>
    <w:rsid w:val="008D023B"/>
    <w:pPr>
      <w:keepNext/>
      <w:outlineLvl w:val="7"/>
    </w:pPr>
    <w:rPr>
      <w:b/>
      <w:bCs/>
      <w:color w:val="FFFFFF"/>
    </w:rPr>
  </w:style>
  <w:style w:type="paragraph" w:styleId="Nadpis9">
    <w:name w:val="heading 9"/>
    <w:basedOn w:val="Normln"/>
    <w:next w:val="Normln"/>
    <w:qFormat/>
    <w:rsid w:val="008D023B"/>
    <w:pPr>
      <w:keepNext/>
      <w:outlineLvl w:val="8"/>
    </w:pPr>
    <w:rPr>
      <w:sz w:val="24"/>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semiHidden/>
    <w:rsid w:val="008D023B"/>
  </w:style>
  <w:style w:type="paragraph" w:styleId="Zkladntextodsazen2">
    <w:name w:val="Body Text Indent 2"/>
    <w:basedOn w:val="Normln"/>
    <w:semiHidden/>
    <w:rsid w:val="008D023B"/>
    <w:pPr>
      <w:ind w:left="226"/>
    </w:pPr>
  </w:style>
  <w:style w:type="paragraph" w:styleId="Zkladntext">
    <w:name w:val="Body Text"/>
    <w:basedOn w:val="Normln"/>
    <w:semiHidden/>
    <w:rsid w:val="008D023B"/>
    <w:pPr>
      <w:ind w:left="0" w:firstLine="0"/>
    </w:pPr>
    <w:rPr>
      <w:szCs w:val="22"/>
    </w:rPr>
  </w:style>
  <w:style w:type="paragraph" w:customStyle="1" w:styleId="Petit">
    <w:name w:val="Petit"/>
    <w:basedOn w:val="Normln"/>
    <w:rsid w:val="008D023B"/>
    <w:rPr>
      <w:sz w:val="16"/>
    </w:rPr>
  </w:style>
  <w:style w:type="paragraph" w:styleId="Obsah1">
    <w:name w:val="toc 1"/>
    <w:basedOn w:val="Normln"/>
    <w:next w:val="Normln"/>
    <w:autoRedefine/>
    <w:semiHidden/>
    <w:rsid w:val="009C1E61"/>
    <w:pPr>
      <w:tabs>
        <w:tab w:val="right" w:leader="dot" w:pos="9396"/>
      </w:tabs>
      <w:ind w:left="0"/>
    </w:pPr>
    <w:rPr>
      <w:b/>
      <w:bCs/>
      <w:noProof/>
    </w:rPr>
  </w:style>
  <w:style w:type="paragraph" w:styleId="Obsah3">
    <w:name w:val="toc 3"/>
    <w:basedOn w:val="Normln"/>
    <w:next w:val="Normln"/>
    <w:autoRedefine/>
    <w:semiHidden/>
    <w:rsid w:val="009C1E61"/>
    <w:pPr>
      <w:ind w:left="400"/>
    </w:pPr>
  </w:style>
  <w:style w:type="paragraph" w:styleId="Obsah2">
    <w:name w:val="toc 2"/>
    <w:basedOn w:val="Normln"/>
    <w:next w:val="Normln"/>
    <w:autoRedefine/>
    <w:semiHidden/>
    <w:rsid w:val="009C1E61"/>
    <w:pPr>
      <w:ind w:left="200"/>
    </w:pPr>
  </w:style>
  <w:style w:type="character" w:styleId="Hypertextovodkaz">
    <w:name w:val="Hyperlink"/>
    <w:basedOn w:val="Standardnpsmoodstavce"/>
    <w:rsid w:val="009C1E61"/>
    <w:rPr>
      <w:color w:val="0000FF"/>
      <w:u w:val="single"/>
    </w:rPr>
  </w:style>
  <w:style w:type="paragraph" w:styleId="Textbubliny">
    <w:name w:val="Balloon Text"/>
    <w:basedOn w:val="Normln"/>
    <w:link w:val="TextbublinyChar"/>
    <w:uiPriority w:val="99"/>
    <w:semiHidden/>
    <w:unhideWhenUsed/>
    <w:rsid w:val="00550EEC"/>
    <w:rPr>
      <w:rFonts w:ascii="Tahoma" w:hAnsi="Tahoma" w:cs="Tahoma"/>
      <w:sz w:val="16"/>
      <w:szCs w:val="16"/>
    </w:rPr>
  </w:style>
  <w:style w:type="character" w:customStyle="1" w:styleId="TextbublinyChar">
    <w:name w:val="Text bubliny Char"/>
    <w:basedOn w:val="Standardnpsmoodstavce"/>
    <w:link w:val="Textbubliny"/>
    <w:uiPriority w:val="99"/>
    <w:semiHidden/>
    <w:rsid w:val="00550EEC"/>
    <w:rPr>
      <w:rFonts w:ascii="Tahoma" w:hAnsi="Tahoma" w:cs="Tahoma"/>
      <w:sz w:val="16"/>
      <w:szCs w:val="16"/>
    </w:rPr>
  </w:style>
  <w:style w:type="table" w:styleId="Mkatabulky">
    <w:name w:val="Table Grid"/>
    <w:basedOn w:val="Normlntabulka"/>
    <w:uiPriority w:val="59"/>
    <w:rsid w:val="004859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622</TotalTime>
  <Pages>21</Pages>
  <Words>5362</Words>
  <Characters>33419</Characters>
  <Application>Microsoft Office Word</Application>
  <DocSecurity>0</DocSecurity>
  <Lines>278</Lines>
  <Paragraphs>77</Paragraphs>
  <ScaleCrop>false</ScaleCrop>
  <HeadingPairs>
    <vt:vector size="2" baseType="variant">
      <vt:variant>
        <vt:lpstr>Název</vt:lpstr>
      </vt:variant>
      <vt:variant>
        <vt:i4>1</vt:i4>
      </vt:variant>
    </vt:vector>
  </HeadingPairs>
  <TitlesOfParts>
    <vt:vector size="1" baseType="lpstr">
      <vt:lpstr>Mikrobiologický ústav LF MU</vt:lpstr>
    </vt:vector>
  </TitlesOfParts>
  <Company>LF - MU</Company>
  <LinksUpToDate>false</LinksUpToDate>
  <CharactersWithSpaces>38704</CharactersWithSpaces>
  <SharedDoc>false</SharedDoc>
  <HLinks>
    <vt:vector size="450" baseType="variant">
      <vt:variant>
        <vt:i4>1638463</vt:i4>
      </vt:variant>
      <vt:variant>
        <vt:i4>446</vt:i4>
      </vt:variant>
      <vt:variant>
        <vt:i4>0</vt:i4>
      </vt:variant>
      <vt:variant>
        <vt:i4>5</vt:i4>
      </vt:variant>
      <vt:variant>
        <vt:lpwstr/>
      </vt:variant>
      <vt:variant>
        <vt:lpwstr>_Toc342466889</vt:lpwstr>
      </vt:variant>
      <vt:variant>
        <vt:i4>1638463</vt:i4>
      </vt:variant>
      <vt:variant>
        <vt:i4>440</vt:i4>
      </vt:variant>
      <vt:variant>
        <vt:i4>0</vt:i4>
      </vt:variant>
      <vt:variant>
        <vt:i4>5</vt:i4>
      </vt:variant>
      <vt:variant>
        <vt:lpwstr/>
      </vt:variant>
      <vt:variant>
        <vt:lpwstr>_Toc342466888</vt:lpwstr>
      </vt:variant>
      <vt:variant>
        <vt:i4>1638463</vt:i4>
      </vt:variant>
      <vt:variant>
        <vt:i4>434</vt:i4>
      </vt:variant>
      <vt:variant>
        <vt:i4>0</vt:i4>
      </vt:variant>
      <vt:variant>
        <vt:i4>5</vt:i4>
      </vt:variant>
      <vt:variant>
        <vt:lpwstr/>
      </vt:variant>
      <vt:variant>
        <vt:lpwstr>_Toc342466887</vt:lpwstr>
      </vt:variant>
      <vt:variant>
        <vt:i4>1638463</vt:i4>
      </vt:variant>
      <vt:variant>
        <vt:i4>428</vt:i4>
      </vt:variant>
      <vt:variant>
        <vt:i4>0</vt:i4>
      </vt:variant>
      <vt:variant>
        <vt:i4>5</vt:i4>
      </vt:variant>
      <vt:variant>
        <vt:lpwstr/>
      </vt:variant>
      <vt:variant>
        <vt:lpwstr>_Toc342466886</vt:lpwstr>
      </vt:variant>
      <vt:variant>
        <vt:i4>1638463</vt:i4>
      </vt:variant>
      <vt:variant>
        <vt:i4>422</vt:i4>
      </vt:variant>
      <vt:variant>
        <vt:i4>0</vt:i4>
      </vt:variant>
      <vt:variant>
        <vt:i4>5</vt:i4>
      </vt:variant>
      <vt:variant>
        <vt:lpwstr/>
      </vt:variant>
      <vt:variant>
        <vt:lpwstr>_Toc342466885</vt:lpwstr>
      </vt:variant>
      <vt:variant>
        <vt:i4>1638463</vt:i4>
      </vt:variant>
      <vt:variant>
        <vt:i4>416</vt:i4>
      </vt:variant>
      <vt:variant>
        <vt:i4>0</vt:i4>
      </vt:variant>
      <vt:variant>
        <vt:i4>5</vt:i4>
      </vt:variant>
      <vt:variant>
        <vt:lpwstr/>
      </vt:variant>
      <vt:variant>
        <vt:lpwstr>_Toc342466884</vt:lpwstr>
      </vt:variant>
      <vt:variant>
        <vt:i4>1638463</vt:i4>
      </vt:variant>
      <vt:variant>
        <vt:i4>410</vt:i4>
      </vt:variant>
      <vt:variant>
        <vt:i4>0</vt:i4>
      </vt:variant>
      <vt:variant>
        <vt:i4>5</vt:i4>
      </vt:variant>
      <vt:variant>
        <vt:lpwstr/>
      </vt:variant>
      <vt:variant>
        <vt:lpwstr>_Toc342466883</vt:lpwstr>
      </vt:variant>
      <vt:variant>
        <vt:i4>1638463</vt:i4>
      </vt:variant>
      <vt:variant>
        <vt:i4>404</vt:i4>
      </vt:variant>
      <vt:variant>
        <vt:i4>0</vt:i4>
      </vt:variant>
      <vt:variant>
        <vt:i4>5</vt:i4>
      </vt:variant>
      <vt:variant>
        <vt:lpwstr/>
      </vt:variant>
      <vt:variant>
        <vt:lpwstr>_Toc342466882</vt:lpwstr>
      </vt:variant>
      <vt:variant>
        <vt:i4>1638463</vt:i4>
      </vt:variant>
      <vt:variant>
        <vt:i4>398</vt:i4>
      </vt:variant>
      <vt:variant>
        <vt:i4>0</vt:i4>
      </vt:variant>
      <vt:variant>
        <vt:i4>5</vt:i4>
      </vt:variant>
      <vt:variant>
        <vt:lpwstr/>
      </vt:variant>
      <vt:variant>
        <vt:lpwstr>_Toc342466881</vt:lpwstr>
      </vt:variant>
      <vt:variant>
        <vt:i4>1638463</vt:i4>
      </vt:variant>
      <vt:variant>
        <vt:i4>392</vt:i4>
      </vt:variant>
      <vt:variant>
        <vt:i4>0</vt:i4>
      </vt:variant>
      <vt:variant>
        <vt:i4>5</vt:i4>
      </vt:variant>
      <vt:variant>
        <vt:lpwstr/>
      </vt:variant>
      <vt:variant>
        <vt:lpwstr>_Toc342466880</vt:lpwstr>
      </vt:variant>
      <vt:variant>
        <vt:i4>1441855</vt:i4>
      </vt:variant>
      <vt:variant>
        <vt:i4>386</vt:i4>
      </vt:variant>
      <vt:variant>
        <vt:i4>0</vt:i4>
      </vt:variant>
      <vt:variant>
        <vt:i4>5</vt:i4>
      </vt:variant>
      <vt:variant>
        <vt:lpwstr/>
      </vt:variant>
      <vt:variant>
        <vt:lpwstr>_Toc342466879</vt:lpwstr>
      </vt:variant>
      <vt:variant>
        <vt:i4>1441855</vt:i4>
      </vt:variant>
      <vt:variant>
        <vt:i4>380</vt:i4>
      </vt:variant>
      <vt:variant>
        <vt:i4>0</vt:i4>
      </vt:variant>
      <vt:variant>
        <vt:i4>5</vt:i4>
      </vt:variant>
      <vt:variant>
        <vt:lpwstr/>
      </vt:variant>
      <vt:variant>
        <vt:lpwstr>_Toc342466878</vt:lpwstr>
      </vt:variant>
      <vt:variant>
        <vt:i4>1441855</vt:i4>
      </vt:variant>
      <vt:variant>
        <vt:i4>374</vt:i4>
      </vt:variant>
      <vt:variant>
        <vt:i4>0</vt:i4>
      </vt:variant>
      <vt:variant>
        <vt:i4>5</vt:i4>
      </vt:variant>
      <vt:variant>
        <vt:lpwstr/>
      </vt:variant>
      <vt:variant>
        <vt:lpwstr>_Toc342466877</vt:lpwstr>
      </vt:variant>
      <vt:variant>
        <vt:i4>1441855</vt:i4>
      </vt:variant>
      <vt:variant>
        <vt:i4>368</vt:i4>
      </vt:variant>
      <vt:variant>
        <vt:i4>0</vt:i4>
      </vt:variant>
      <vt:variant>
        <vt:i4>5</vt:i4>
      </vt:variant>
      <vt:variant>
        <vt:lpwstr/>
      </vt:variant>
      <vt:variant>
        <vt:lpwstr>_Toc342466876</vt:lpwstr>
      </vt:variant>
      <vt:variant>
        <vt:i4>1441855</vt:i4>
      </vt:variant>
      <vt:variant>
        <vt:i4>362</vt:i4>
      </vt:variant>
      <vt:variant>
        <vt:i4>0</vt:i4>
      </vt:variant>
      <vt:variant>
        <vt:i4>5</vt:i4>
      </vt:variant>
      <vt:variant>
        <vt:lpwstr/>
      </vt:variant>
      <vt:variant>
        <vt:lpwstr>_Toc342466875</vt:lpwstr>
      </vt:variant>
      <vt:variant>
        <vt:i4>1441855</vt:i4>
      </vt:variant>
      <vt:variant>
        <vt:i4>356</vt:i4>
      </vt:variant>
      <vt:variant>
        <vt:i4>0</vt:i4>
      </vt:variant>
      <vt:variant>
        <vt:i4>5</vt:i4>
      </vt:variant>
      <vt:variant>
        <vt:lpwstr/>
      </vt:variant>
      <vt:variant>
        <vt:lpwstr>_Toc342466874</vt:lpwstr>
      </vt:variant>
      <vt:variant>
        <vt:i4>1441855</vt:i4>
      </vt:variant>
      <vt:variant>
        <vt:i4>350</vt:i4>
      </vt:variant>
      <vt:variant>
        <vt:i4>0</vt:i4>
      </vt:variant>
      <vt:variant>
        <vt:i4>5</vt:i4>
      </vt:variant>
      <vt:variant>
        <vt:lpwstr/>
      </vt:variant>
      <vt:variant>
        <vt:lpwstr>_Toc342466873</vt:lpwstr>
      </vt:variant>
      <vt:variant>
        <vt:i4>1441855</vt:i4>
      </vt:variant>
      <vt:variant>
        <vt:i4>344</vt:i4>
      </vt:variant>
      <vt:variant>
        <vt:i4>0</vt:i4>
      </vt:variant>
      <vt:variant>
        <vt:i4>5</vt:i4>
      </vt:variant>
      <vt:variant>
        <vt:lpwstr/>
      </vt:variant>
      <vt:variant>
        <vt:lpwstr>_Toc342466872</vt:lpwstr>
      </vt:variant>
      <vt:variant>
        <vt:i4>1441855</vt:i4>
      </vt:variant>
      <vt:variant>
        <vt:i4>338</vt:i4>
      </vt:variant>
      <vt:variant>
        <vt:i4>0</vt:i4>
      </vt:variant>
      <vt:variant>
        <vt:i4>5</vt:i4>
      </vt:variant>
      <vt:variant>
        <vt:lpwstr/>
      </vt:variant>
      <vt:variant>
        <vt:lpwstr>_Toc342466871</vt:lpwstr>
      </vt:variant>
      <vt:variant>
        <vt:i4>1441855</vt:i4>
      </vt:variant>
      <vt:variant>
        <vt:i4>332</vt:i4>
      </vt:variant>
      <vt:variant>
        <vt:i4>0</vt:i4>
      </vt:variant>
      <vt:variant>
        <vt:i4>5</vt:i4>
      </vt:variant>
      <vt:variant>
        <vt:lpwstr/>
      </vt:variant>
      <vt:variant>
        <vt:lpwstr>_Toc342466870</vt:lpwstr>
      </vt:variant>
      <vt:variant>
        <vt:i4>1507391</vt:i4>
      </vt:variant>
      <vt:variant>
        <vt:i4>326</vt:i4>
      </vt:variant>
      <vt:variant>
        <vt:i4>0</vt:i4>
      </vt:variant>
      <vt:variant>
        <vt:i4>5</vt:i4>
      </vt:variant>
      <vt:variant>
        <vt:lpwstr/>
      </vt:variant>
      <vt:variant>
        <vt:lpwstr>_Toc342466869</vt:lpwstr>
      </vt:variant>
      <vt:variant>
        <vt:i4>1507391</vt:i4>
      </vt:variant>
      <vt:variant>
        <vt:i4>320</vt:i4>
      </vt:variant>
      <vt:variant>
        <vt:i4>0</vt:i4>
      </vt:variant>
      <vt:variant>
        <vt:i4>5</vt:i4>
      </vt:variant>
      <vt:variant>
        <vt:lpwstr/>
      </vt:variant>
      <vt:variant>
        <vt:lpwstr>_Toc342466868</vt:lpwstr>
      </vt:variant>
      <vt:variant>
        <vt:i4>1507391</vt:i4>
      </vt:variant>
      <vt:variant>
        <vt:i4>314</vt:i4>
      </vt:variant>
      <vt:variant>
        <vt:i4>0</vt:i4>
      </vt:variant>
      <vt:variant>
        <vt:i4>5</vt:i4>
      </vt:variant>
      <vt:variant>
        <vt:lpwstr/>
      </vt:variant>
      <vt:variant>
        <vt:lpwstr>_Toc342466867</vt:lpwstr>
      </vt:variant>
      <vt:variant>
        <vt:i4>1507391</vt:i4>
      </vt:variant>
      <vt:variant>
        <vt:i4>308</vt:i4>
      </vt:variant>
      <vt:variant>
        <vt:i4>0</vt:i4>
      </vt:variant>
      <vt:variant>
        <vt:i4>5</vt:i4>
      </vt:variant>
      <vt:variant>
        <vt:lpwstr/>
      </vt:variant>
      <vt:variant>
        <vt:lpwstr>_Toc342466866</vt:lpwstr>
      </vt:variant>
      <vt:variant>
        <vt:i4>1507391</vt:i4>
      </vt:variant>
      <vt:variant>
        <vt:i4>302</vt:i4>
      </vt:variant>
      <vt:variant>
        <vt:i4>0</vt:i4>
      </vt:variant>
      <vt:variant>
        <vt:i4>5</vt:i4>
      </vt:variant>
      <vt:variant>
        <vt:lpwstr/>
      </vt:variant>
      <vt:variant>
        <vt:lpwstr>_Toc342466865</vt:lpwstr>
      </vt:variant>
      <vt:variant>
        <vt:i4>1507391</vt:i4>
      </vt:variant>
      <vt:variant>
        <vt:i4>296</vt:i4>
      </vt:variant>
      <vt:variant>
        <vt:i4>0</vt:i4>
      </vt:variant>
      <vt:variant>
        <vt:i4>5</vt:i4>
      </vt:variant>
      <vt:variant>
        <vt:lpwstr/>
      </vt:variant>
      <vt:variant>
        <vt:lpwstr>_Toc342466864</vt:lpwstr>
      </vt:variant>
      <vt:variant>
        <vt:i4>1507391</vt:i4>
      </vt:variant>
      <vt:variant>
        <vt:i4>290</vt:i4>
      </vt:variant>
      <vt:variant>
        <vt:i4>0</vt:i4>
      </vt:variant>
      <vt:variant>
        <vt:i4>5</vt:i4>
      </vt:variant>
      <vt:variant>
        <vt:lpwstr/>
      </vt:variant>
      <vt:variant>
        <vt:lpwstr>_Toc342466863</vt:lpwstr>
      </vt:variant>
      <vt:variant>
        <vt:i4>1507391</vt:i4>
      </vt:variant>
      <vt:variant>
        <vt:i4>284</vt:i4>
      </vt:variant>
      <vt:variant>
        <vt:i4>0</vt:i4>
      </vt:variant>
      <vt:variant>
        <vt:i4>5</vt:i4>
      </vt:variant>
      <vt:variant>
        <vt:lpwstr/>
      </vt:variant>
      <vt:variant>
        <vt:lpwstr>_Toc342466862</vt:lpwstr>
      </vt:variant>
      <vt:variant>
        <vt:i4>1507391</vt:i4>
      </vt:variant>
      <vt:variant>
        <vt:i4>278</vt:i4>
      </vt:variant>
      <vt:variant>
        <vt:i4>0</vt:i4>
      </vt:variant>
      <vt:variant>
        <vt:i4>5</vt:i4>
      </vt:variant>
      <vt:variant>
        <vt:lpwstr/>
      </vt:variant>
      <vt:variant>
        <vt:lpwstr>_Toc342466861</vt:lpwstr>
      </vt:variant>
      <vt:variant>
        <vt:i4>1507391</vt:i4>
      </vt:variant>
      <vt:variant>
        <vt:i4>272</vt:i4>
      </vt:variant>
      <vt:variant>
        <vt:i4>0</vt:i4>
      </vt:variant>
      <vt:variant>
        <vt:i4>5</vt:i4>
      </vt:variant>
      <vt:variant>
        <vt:lpwstr/>
      </vt:variant>
      <vt:variant>
        <vt:lpwstr>_Toc342466860</vt:lpwstr>
      </vt:variant>
      <vt:variant>
        <vt:i4>1310783</vt:i4>
      </vt:variant>
      <vt:variant>
        <vt:i4>266</vt:i4>
      </vt:variant>
      <vt:variant>
        <vt:i4>0</vt:i4>
      </vt:variant>
      <vt:variant>
        <vt:i4>5</vt:i4>
      </vt:variant>
      <vt:variant>
        <vt:lpwstr/>
      </vt:variant>
      <vt:variant>
        <vt:lpwstr>_Toc342466859</vt:lpwstr>
      </vt:variant>
      <vt:variant>
        <vt:i4>1310783</vt:i4>
      </vt:variant>
      <vt:variant>
        <vt:i4>260</vt:i4>
      </vt:variant>
      <vt:variant>
        <vt:i4>0</vt:i4>
      </vt:variant>
      <vt:variant>
        <vt:i4>5</vt:i4>
      </vt:variant>
      <vt:variant>
        <vt:lpwstr/>
      </vt:variant>
      <vt:variant>
        <vt:lpwstr>_Toc342466858</vt:lpwstr>
      </vt:variant>
      <vt:variant>
        <vt:i4>1310783</vt:i4>
      </vt:variant>
      <vt:variant>
        <vt:i4>254</vt:i4>
      </vt:variant>
      <vt:variant>
        <vt:i4>0</vt:i4>
      </vt:variant>
      <vt:variant>
        <vt:i4>5</vt:i4>
      </vt:variant>
      <vt:variant>
        <vt:lpwstr/>
      </vt:variant>
      <vt:variant>
        <vt:lpwstr>_Toc342466857</vt:lpwstr>
      </vt:variant>
      <vt:variant>
        <vt:i4>1310783</vt:i4>
      </vt:variant>
      <vt:variant>
        <vt:i4>248</vt:i4>
      </vt:variant>
      <vt:variant>
        <vt:i4>0</vt:i4>
      </vt:variant>
      <vt:variant>
        <vt:i4>5</vt:i4>
      </vt:variant>
      <vt:variant>
        <vt:lpwstr/>
      </vt:variant>
      <vt:variant>
        <vt:lpwstr>_Toc342466856</vt:lpwstr>
      </vt:variant>
      <vt:variant>
        <vt:i4>1310783</vt:i4>
      </vt:variant>
      <vt:variant>
        <vt:i4>242</vt:i4>
      </vt:variant>
      <vt:variant>
        <vt:i4>0</vt:i4>
      </vt:variant>
      <vt:variant>
        <vt:i4>5</vt:i4>
      </vt:variant>
      <vt:variant>
        <vt:lpwstr/>
      </vt:variant>
      <vt:variant>
        <vt:lpwstr>_Toc342466855</vt:lpwstr>
      </vt:variant>
      <vt:variant>
        <vt:i4>1310783</vt:i4>
      </vt:variant>
      <vt:variant>
        <vt:i4>236</vt:i4>
      </vt:variant>
      <vt:variant>
        <vt:i4>0</vt:i4>
      </vt:variant>
      <vt:variant>
        <vt:i4>5</vt:i4>
      </vt:variant>
      <vt:variant>
        <vt:lpwstr/>
      </vt:variant>
      <vt:variant>
        <vt:lpwstr>_Toc342466854</vt:lpwstr>
      </vt:variant>
      <vt:variant>
        <vt:i4>1310783</vt:i4>
      </vt:variant>
      <vt:variant>
        <vt:i4>230</vt:i4>
      </vt:variant>
      <vt:variant>
        <vt:i4>0</vt:i4>
      </vt:variant>
      <vt:variant>
        <vt:i4>5</vt:i4>
      </vt:variant>
      <vt:variant>
        <vt:lpwstr/>
      </vt:variant>
      <vt:variant>
        <vt:lpwstr>_Toc342466853</vt:lpwstr>
      </vt:variant>
      <vt:variant>
        <vt:i4>1310783</vt:i4>
      </vt:variant>
      <vt:variant>
        <vt:i4>224</vt:i4>
      </vt:variant>
      <vt:variant>
        <vt:i4>0</vt:i4>
      </vt:variant>
      <vt:variant>
        <vt:i4>5</vt:i4>
      </vt:variant>
      <vt:variant>
        <vt:lpwstr/>
      </vt:variant>
      <vt:variant>
        <vt:lpwstr>_Toc342466852</vt:lpwstr>
      </vt:variant>
      <vt:variant>
        <vt:i4>1310783</vt:i4>
      </vt:variant>
      <vt:variant>
        <vt:i4>218</vt:i4>
      </vt:variant>
      <vt:variant>
        <vt:i4>0</vt:i4>
      </vt:variant>
      <vt:variant>
        <vt:i4>5</vt:i4>
      </vt:variant>
      <vt:variant>
        <vt:lpwstr/>
      </vt:variant>
      <vt:variant>
        <vt:lpwstr>_Toc342466851</vt:lpwstr>
      </vt:variant>
      <vt:variant>
        <vt:i4>1310783</vt:i4>
      </vt:variant>
      <vt:variant>
        <vt:i4>212</vt:i4>
      </vt:variant>
      <vt:variant>
        <vt:i4>0</vt:i4>
      </vt:variant>
      <vt:variant>
        <vt:i4>5</vt:i4>
      </vt:variant>
      <vt:variant>
        <vt:lpwstr/>
      </vt:variant>
      <vt:variant>
        <vt:lpwstr>_Toc342466850</vt:lpwstr>
      </vt:variant>
      <vt:variant>
        <vt:i4>1376319</vt:i4>
      </vt:variant>
      <vt:variant>
        <vt:i4>206</vt:i4>
      </vt:variant>
      <vt:variant>
        <vt:i4>0</vt:i4>
      </vt:variant>
      <vt:variant>
        <vt:i4>5</vt:i4>
      </vt:variant>
      <vt:variant>
        <vt:lpwstr/>
      </vt:variant>
      <vt:variant>
        <vt:lpwstr>_Toc342466849</vt:lpwstr>
      </vt:variant>
      <vt:variant>
        <vt:i4>1376319</vt:i4>
      </vt:variant>
      <vt:variant>
        <vt:i4>200</vt:i4>
      </vt:variant>
      <vt:variant>
        <vt:i4>0</vt:i4>
      </vt:variant>
      <vt:variant>
        <vt:i4>5</vt:i4>
      </vt:variant>
      <vt:variant>
        <vt:lpwstr/>
      </vt:variant>
      <vt:variant>
        <vt:lpwstr>_Toc342466848</vt:lpwstr>
      </vt:variant>
      <vt:variant>
        <vt:i4>1376319</vt:i4>
      </vt:variant>
      <vt:variant>
        <vt:i4>194</vt:i4>
      </vt:variant>
      <vt:variant>
        <vt:i4>0</vt:i4>
      </vt:variant>
      <vt:variant>
        <vt:i4>5</vt:i4>
      </vt:variant>
      <vt:variant>
        <vt:lpwstr/>
      </vt:variant>
      <vt:variant>
        <vt:lpwstr>_Toc342466847</vt:lpwstr>
      </vt:variant>
      <vt:variant>
        <vt:i4>1376319</vt:i4>
      </vt:variant>
      <vt:variant>
        <vt:i4>188</vt:i4>
      </vt:variant>
      <vt:variant>
        <vt:i4>0</vt:i4>
      </vt:variant>
      <vt:variant>
        <vt:i4>5</vt:i4>
      </vt:variant>
      <vt:variant>
        <vt:lpwstr/>
      </vt:variant>
      <vt:variant>
        <vt:lpwstr>_Toc342466846</vt:lpwstr>
      </vt:variant>
      <vt:variant>
        <vt:i4>1376319</vt:i4>
      </vt:variant>
      <vt:variant>
        <vt:i4>182</vt:i4>
      </vt:variant>
      <vt:variant>
        <vt:i4>0</vt:i4>
      </vt:variant>
      <vt:variant>
        <vt:i4>5</vt:i4>
      </vt:variant>
      <vt:variant>
        <vt:lpwstr/>
      </vt:variant>
      <vt:variant>
        <vt:lpwstr>_Toc342466845</vt:lpwstr>
      </vt:variant>
      <vt:variant>
        <vt:i4>1376319</vt:i4>
      </vt:variant>
      <vt:variant>
        <vt:i4>176</vt:i4>
      </vt:variant>
      <vt:variant>
        <vt:i4>0</vt:i4>
      </vt:variant>
      <vt:variant>
        <vt:i4>5</vt:i4>
      </vt:variant>
      <vt:variant>
        <vt:lpwstr/>
      </vt:variant>
      <vt:variant>
        <vt:lpwstr>_Toc342466844</vt:lpwstr>
      </vt:variant>
      <vt:variant>
        <vt:i4>1376319</vt:i4>
      </vt:variant>
      <vt:variant>
        <vt:i4>170</vt:i4>
      </vt:variant>
      <vt:variant>
        <vt:i4>0</vt:i4>
      </vt:variant>
      <vt:variant>
        <vt:i4>5</vt:i4>
      </vt:variant>
      <vt:variant>
        <vt:lpwstr/>
      </vt:variant>
      <vt:variant>
        <vt:lpwstr>_Toc342466843</vt:lpwstr>
      </vt:variant>
      <vt:variant>
        <vt:i4>1376319</vt:i4>
      </vt:variant>
      <vt:variant>
        <vt:i4>164</vt:i4>
      </vt:variant>
      <vt:variant>
        <vt:i4>0</vt:i4>
      </vt:variant>
      <vt:variant>
        <vt:i4>5</vt:i4>
      </vt:variant>
      <vt:variant>
        <vt:lpwstr/>
      </vt:variant>
      <vt:variant>
        <vt:lpwstr>_Toc342466842</vt:lpwstr>
      </vt:variant>
      <vt:variant>
        <vt:i4>1376319</vt:i4>
      </vt:variant>
      <vt:variant>
        <vt:i4>158</vt:i4>
      </vt:variant>
      <vt:variant>
        <vt:i4>0</vt:i4>
      </vt:variant>
      <vt:variant>
        <vt:i4>5</vt:i4>
      </vt:variant>
      <vt:variant>
        <vt:lpwstr/>
      </vt:variant>
      <vt:variant>
        <vt:lpwstr>_Toc342466841</vt:lpwstr>
      </vt:variant>
      <vt:variant>
        <vt:i4>1376319</vt:i4>
      </vt:variant>
      <vt:variant>
        <vt:i4>152</vt:i4>
      </vt:variant>
      <vt:variant>
        <vt:i4>0</vt:i4>
      </vt:variant>
      <vt:variant>
        <vt:i4>5</vt:i4>
      </vt:variant>
      <vt:variant>
        <vt:lpwstr/>
      </vt:variant>
      <vt:variant>
        <vt:lpwstr>_Toc342466840</vt:lpwstr>
      </vt:variant>
      <vt:variant>
        <vt:i4>1179711</vt:i4>
      </vt:variant>
      <vt:variant>
        <vt:i4>146</vt:i4>
      </vt:variant>
      <vt:variant>
        <vt:i4>0</vt:i4>
      </vt:variant>
      <vt:variant>
        <vt:i4>5</vt:i4>
      </vt:variant>
      <vt:variant>
        <vt:lpwstr/>
      </vt:variant>
      <vt:variant>
        <vt:lpwstr>_Toc342466839</vt:lpwstr>
      </vt:variant>
      <vt:variant>
        <vt:i4>1179711</vt:i4>
      </vt:variant>
      <vt:variant>
        <vt:i4>140</vt:i4>
      </vt:variant>
      <vt:variant>
        <vt:i4>0</vt:i4>
      </vt:variant>
      <vt:variant>
        <vt:i4>5</vt:i4>
      </vt:variant>
      <vt:variant>
        <vt:lpwstr/>
      </vt:variant>
      <vt:variant>
        <vt:lpwstr>_Toc342466838</vt:lpwstr>
      </vt:variant>
      <vt:variant>
        <vt:i4>1179711</vt:i4>
      </vt:variant>
      <vt:variant>
        <vt:i4>134</vt:i4>
      </vt:variant>
      <vt:variant>
        <vt:i4>0</vt:i4>
      </vt:variant>
      <vt:variant>
        <vt:i4>5</vt:i4>
      </vt:variant>
      <vt:variant>
        <vt:lpwstr/>
      </vt:variant>
      <vt:variant>
        <vt:lpwstr>_Toc342466837</vt:lpwstr>
      </vt:variant>
      <vt:variant>
        <vt:i4>1179711</vt:i4>
      </vt:variant>
      <vt:variant>
        <vt:i4>128</vt:i4>
      </vt:variant>
      <vt:variant>
        <vt:i4>0</vt:i4>
      </vt:variant>
      <vt:variant>
        <vt:i4>5</vt:i4>
      </vt:variant>
      <vt:variant>
        <vt:lpwstr/>
      </vt:variant>
      <vt:variant>
        <vt:lpwstr>_Toc342466836</vt:lpwstr>
      </vt:variant>
      <vt:variant>
        <vt:i4>1179711</vt:i4>
      </vt:variant>
      <vt:variant>
        <vt:i4>122</vt:i4>
      </vt:variant>
      <vt:variant>
        <vt:i4>0</vt:i4>
      </vt:variant>
      <vt:variant>
        <vt:i4>5</vt:i4>
      </vt:variant>
      <vt:variant>
        <vt:lpwstr/>
      </vt:variant>
      <vt:variant>
        <vt:lpwstr>_Toc342466835</vt:lpwstr>
      </vt:variant>
      <vt:variant>
        <vt:i4>1179711</vt:i4>
      </vt:variant>
      <vt:variant>
        <vt:i4>116</vt:i4>
      </vt:variant>
      <vt:variant>
        <vt:i4>0</vt:i4>
      </vt:variant>
      <vt:variant>
        <vt:i4>5</vt:i4>
      </vt:variant>
      <vt:variant>
        <vt:lpwstr/>
      </vt:variant>
      <vt:variant>
        <vt:lpwstr>_Toc342466834</vt:lpwstr>
      </vt:variant>
      <vt:variant>
        <vt:i4>1179711</vt:i4>
      </vt:variant>
      <vt:variant>
        <vt:i4>110</vt:i4>
      </vt:variant>
      <vt:variant>
        <vt:i4>0</vt:i4>
      </vt:variant>
      <vt:variant>
        <vt:i4>5</vt:i4>
      </vt:variant>
      <vt:variant>
        <vt:lpwstr/>
      </vt:variant>
      <vt:variant>
        <vt:lpwstr>_Toc342466833</vt:lpwstr>
      </vt:variant>
      <vt:variant>
        <vt:i4>1179711</vt:i4>
      </vt:variant>
      <vt:variant>
        <vt:i4>104</vt:i4>
      </vt:variant>
      <vt:variant>
        <vt:i4>0</vt:i4>
      </vt:variant>
      <vt:variant>
        <vt:i4>5</vt:i4>
      </vt:variant>
      <vt:variant>
        <vt:lpwstr/>
      </vt:variant>
      <vt:variant>
        <vt:lpwstr>_Toc342466832</vt:lpwstr>
      </vt:variant>
      <vt:variant>
        <vt:i4>1179711</vt:i4>
      </vt:variant>
      <vt:variant>
        <vt:i4>98</vt:i4>
      </vt:variant>
      <vt:variant>
        <vt:i4>0</vt:i4>
      </vt:variant>
      <vt:variant>
        <vt:i4>5</vt:i4>
      </vt:variant>
      <vt:variant>
        <vt:lpwstr/>
      </vt:variant>
      <vt:variant>
        <vt:lpwstr>_Toc342466831</vt:lpwstr>
      </vt:variant>
      <vt:variant>
        <vt:i4>1179711</vt:i4>
      </vt:variant>
      <vt:variant>
        <vt:i4>92</vt:i4>
      </vt:variant>
      <vt:variant>
        <vt:i4>0</vt:i4>
      </vt:variant>
      <vt:variant>
        <vt:i4>5</vt:i4>
      </vt:variant>
      <vt:variant>
        <vt:lpwstr/>
      </vt:variant>
      <vt:variant>
        <vt:lpwstr>_Toc342466830</vt:lpwstr>
      </vt:variant>
      <vt:variant>
        <vt:i4>1245247</vt:i4>
      </vt:variant>
      <vt:variant>
        <vt:i4>86</vt:i4>
      </vt:variant>
      <vt:variant>
        <vt:i4>0</vt:i4>
      </vt:variant>
      <vt:variant>
        <vt:i4>5</vt:i4>
      </vt:variant>
      <vt:variant>
        <vt:lpwstr/>
      </vt:variant>
      <vt:variant>
        <vt:lpwstr>_Toc342466829</vt:lpwstr>
      </vt:variant>
      <vt:variant>
        <vt:i4>1245247</vt:i4>
      </vt:variant>
      <vt:variant>
        <vt:i4>80</vt:i4>
      </vt:variant>
      <vt:variant>
        <vt:i4>0</vt:i4>
      </vt:variant>
      <vt:variant>
        <vt:i4>5</vt:i4>
      </vt:variant>
      <vt:variant>
        <vt:lpwstr/>
      </vt:variant>
      <vt:variant>
        <vt:lpwstr>_Toc342466828</vt:lpwstr>
      </vt:variant>
      <vt:variant>
        <vt:i4>1245247</vt:i4>
      </vt:variant>
      <vt:variant>
        <vt:i4>74</vt:i4>
      </vt:variant>
      <vt:variant>
        <vt:i4>0</vt:i4>
      </vt:variant>
      <vt:variant>
        <vt:i4>5</vt:i4>
      </vt:variant>
      <vt:variant>
        <vt:lpwstr/>
      </vt:variant>
      <vt:variant>
        <vt:lpwstr>_Toc342466827</vt:lpwstr>
      </vt:variant>
      <vt:variant>
        <vt:i4>1245247</vt:i4>
      </vt:variant>
      <vt:variant>
        <vt:i4>68</vt:i4>
      </vt:variant>
      <vt:variant>
        <vt:i4>0</vt:i4>
      </vt:variant>
      <vt:variant>
        <vt:i4>5</vt:i4>
      </vt:variant>
      <vt:variant>
        <vt:lpwstr/>
      </vt:variant>
      <vt:variant>
        <vt:lpwstr>_Toc342466826</vt:lpwstr>
      </vt:variant>
      <vt:variant>
        <vt:i4>1245247</vt:i4>
      </vt:variant>
      <vt:variant>
        <vt:i4>62</vt:i4>
      </vt:variant>
      <vt:variant>
        <vt:i4>0</vt:i4>
      </vt:variant>
      <vt:variant>
        <vt:i4>5</vt:i4>
      </vt:variant>
      <vt:variant>
        <vt:lpwstr/>
      </vt:variant>
      <vt:variant>
        <vt:lpwstr>_Toc342466825</vt:lpwstr>
      </vt:variant>
      <vt:variant>
        <vt:i4>1245247</vt:i4>
      </vt:variant>
      <vt:variant>
        <vt:i4>56</vt:i4>
      </vt:variant>
      <vt:variant>
        <vt:i4>0</vt:i4>
      </vt:variant>
      <vt:variant>
        <vt:i4>5</vt:i4>
      </vt:variant>
      <vt:variant>
        <vt:lpwstr/>
      </vt:variant>
      <vt:variant>
        <vt:lpwstr>_Toc342466824</vt:lpwstr>
      </vt:variant>
      <vt:variant>
        <vt:i4>1245247</vt:i4>
      </vt:variant>
      <vt:variant>
        <vt:i4>50</vt:i4>
      </vt:variant>
      <vt:variant>
        <vt:i4>0</vt:i4>
      </vt:variant>
      <vt:variant>
        <vt:i4>5</vt:i4>
      </vt:variant>
      <vt:variant>
        <vt:lpwstr/>
      </vt:variant>
      <vt:variant>
        <vt:lpwstr>_Toc342466823</vt:lpwstr>
      </vt:variant>
      <vt:variant>
        <vt:i4>1245247</vt:i4>
      </vt:variant>
      <vt:variant>
        <vt:i4>44</vt:i4>
      </vt:variant>
      <vt:variant>
        <vt:i4>0</vt:i4>
      </vt:variant>
      <vt:variant>
        <vt:i4>5</vt:i4>
      </vt:variant>
      <vt:variant>
        <vt:lpwstr/>
      </vt:variant>
      <vt:variant>
        <vt:lpwstr>_Toc342466822</vt:lpwstr>
      </vt:variant>
      <vt:variant>
        <vt:i4>1245247</vt:i4>
      </vt:variant>
      <vt:variant>
        <vt:i4>38</vt:i4>
      </vt:variant>
      <vt:variant>
        <vt:i4>0</vt:i4>
      </vt:variant>
      <vt:variant>
        <vt:i4>5</vt:i4>
      </vt:variant>
      <vt:variant>
        <vt:lpwstr/>
      </vt:variant>
      <vt:variant>
        <vt:lpwstr>_Toc342466821</vt:lpwstr>
      </vt:variant>
      <vt:variant>
        <vt:i4>1245247</vt:i4>
      </vt:variant>
      <vt:variant>
        <vt:i4>32</vt:i4>
      </vt:variant>
      <vt:variant>
        <vt:i4>0</vt:i4>
      </vt:variant>
      <vt:variant>
        <vt:i4>5</vt:i4>
      </vt:variant>
      <vt:variant>
        <vt:lpwstr/>
      </vt:variant>
      <vt:variant>
        <vt:lpwstr>_Toc342466820</vt:lpwstr>
      </vt:variant>
      <vt:variant>
        <vt:i4>1048639</vt:i4>
      </vt:variant>
      <vt:variant>
        <vt:i4>26</vt:i4>
      </vt:variant>
      <vt:variant>
        <vt:i4>0</vt:i4>
      </vt:variant>
      <vt:variant>
        <vt:i4>5</vt:i4>
      </vt:variant>
      <vt:variant>
        <vt:lpwstr/>
      </vt:variant>
      <vt:variant>
        <vt:lpwstr>_Toc342466819</vt:lpwstr>
      </vt:variant>
      <vt:variant>
        <vt:i4>1048639</vt:i4>
      </vt:variant>
      <vt:variant>
        <vt:i4>20</vt:i4>
      </vt:variant>
      <vt:variant>
        <vt:i4>0</vt:i4>
      </vt:variant>
      <vt:variant>
        <vt:i4>5</vt:i4>
      </vt:variant>
      <vt:variant>
        <vt:lpwstr/>
      </vt:variant>
      <vt:variant>
        <vt:lpwstr>_Toc342466818</vt:lpwstr>
      </vt:variant>
      <vt:variant>
        <vt:i4>1048639</vt:i4>
      </vt:variant>
      <vt:variant>
        <vt:i4>14</vt:i4>
      </vt:variant>
      <vt:variant>
        <vt:i4>0</vt:i4>
      </vt:variant>
      <vt:variant>
        <vt:i4>5</vt:i4>
      </vt:variant>
      <vt:variant>
        <vt:lpwstr/>
      </vt:variant>
      <vt:variant>
        <vt:lpwstr>_Toc342466817</vt:lpwstr>
      </vt:variant>
      <vt:variant>
        <vt:i4>1048639</vt:i4>
      </vt:variant>
      <vt:variant>
        <vt:i4>8</vt:i4>
      </vt:variant>
      <vt:variant>
        <vt:i4>0</vt:i4>
      </vt:variant>
      <vt:variant>
        <vt:i4>5</vt:i4>
      </vt:variant>
      <vt:variant>
        <vt:lpwstr/>
      </vt:variant>
      <vt:variant>
        <vt:lpwstr>_Toc342466816</vt:lpwstr>
      </vt:variant>
      <vt:variant>
        <vt:i4>1048639</vt:i4>
      </vt:variant>
      <vt:variant>
        <vt:i4>2</vt:i4>
      </vt:variant>
      <vt:variant>
        <vt:i4>0</vt:i4>
      </vt:variant>
      <vt:variant>
        <vt:i4>5</vt:i4>
      </vt:variant>
      <vt:variant>
        <vt:lpwstr/>
      </vt:variant>
      <vt:variant>
        <vt:lpwstr>_Toc342466815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Mikrobiologický ústav LF MU</dc:title>
  <dc:subject/>
  <dc:creator>zahradnicek</dc:creator>
  <cp:keywords/>
  <dc:description/>
  <cp:lastModifiedBy>Rodina</cp:lastModifiedBy>
  <cp:revision>11</cp:revision>
  <dcterms:created xsi:type="dcterms:W3CDTF">2014-12-06T23:47:00Z</dcterms:created>
  <dcterms:modified xsi:type="dcterms:W3CDTF">2014-12-07T23:03:00Z</dcterms:modified>
</cp:coreProperties>
</file>