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0097" w:rsidRPr="000D0097" w:rsidRDefault="000D0097" w:rsidP="000D0097">
      <w:pPr>
        <w:jc w:val="center"/>
        <w:rPr>
          <w:b/>
          <w:bCs/>
          <w:color w:val="002060"/>
          <w:sz w:val="36"/>
          <w:szCs w:val="36"/>
        </w:rPr>
      </w:pPr>
      <w:proofErr w:type="spellStart"/>
      <w:r w:rsidRPr="000D0097">
        <w:rPr>
          <w:b/>
          <w:bCs/>
          <w:color w:val="002060"/>
          <w:sz w:val="36"/>
          <w:szCs w:val="36"/>
        </w:rPr>
        <w:t>The</w:t>
      </w:r>
      <w:proofErr w:type="spellEnd"/>
      <w:r w:rsidRPr="000D0097">
        <w:rPr>
          <w:b/>
          <w:bCs/>
          <w:color w:val="002060"/>
          <w:sz w:val="36"/>
          <w:szCs w:val="36"/>
        </w:rPr>
        <w:t xml:space="preserve"> </w:t>
      </w:r>
      <w:proofErr w:type="spellStart"/>
      <w:r w:rsidRPr="000D0097">
        <w:rPr>
          <w:b/>
          <w:bCs/>
          <w:color w:val="002060"/>
          <w:sz w:val="36"/>
          <w:szCs w:val="36"/>
        </w:rPr>
        <w:t>locative</w:t>
      </w:r>
      <w:proofErr w:type="spellEnd"/>
      <w:r w:rsidRPr="000D0097">
        <w:rPr>
          <w:b/>
          <w:bCs/>
          <w:color w:val="002060"/>
          <w:sz w:val="36"/>
          <w:szCs w:val="36"/>
        </w:rPr>
        <w:t xml:space="preserve"> </w:t>
      </w:r>
      <w:proofErr w:type="spellStart"/>
      <w:r w:rsidRPr="000D0097">
        <w:rPr>
          <w:b/>
          <w:bCs/>
          <w:color w:val="002060"/>
          <w:sz w:val="36"/>
          <w:szCs w:val="36"/>
        </w:rPr>
        <w:t>singular</w:t>
      </w:r>
      <w:proofErr w:type="spellEnd"/>
    </w:p>
    <w:p w:rsidR="000D0097" w:rsidRDefault="000D0097" w:rsidP="000D0097">
      <w:pPr>
        <w:jc w:val="center"/>
      </w:pPr>
    </w:p>
    <w:tbl>
      <w:tblPr>
        <w:tblStyle w:val="Svtltabulkasmkou1zvraznn5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769"/>
        <w:gridCol w:w="894"/>
        <w:gridCol w:w="1456"/>
        <w:gridCol w:w="865"/>
        <w:gridCol w:w="2253"/>
      </w:tblGrid>
      <w:tr w:rsidR="009975D7" w:rsidTr="009975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A03FC9" w:rsidRDefault="00A03FC9"/>
        </w:tc>
        <w:tc>
          <w:tcPr>
            <w:tcW w:w="769" w:type="dxa"/>
          </w:tcPr>
          <w:p w:rsidR="00A03FC9" w:rsidRPr="00A03FC9" w:rsidRDefault="00A03F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A03FC9">
              <w:rPr>
                <w:sz w:val="16"/>
                <w:szCs w:val="16"/>
              </w:rPr>
              <w:t>Nom</w:t>
            </w:r>
            <w:proofErr w:type="spellEnd"/>
            <w:r w:rsidRPr="00A03FC9">
              <w:rPr>
                <w:sz w:val="16"/>
                <w:szCs w:val="16"/>
              </w:rPr>
              <w:t>.</w:t>
            </w:r>
          </w:p>
        </w:tc>
        <w:tc>
          <w:tcPr>
            <w:tcW w:w="2350" w:type="dxa"/>
            <w:gridSpan w:val="2"/>
          </w:tcPr>
          <w:p w:rsidR="00A03FC9" w:rsidRDefault="00A03F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Locative</w:t>
            </w:r>
            <w:proofErr w:type="spellEnd"/>
            <w:r>
              <w:t xml:space="preserve"> - </w:t>
            </w:r>
            <w:proofErr w:type="spellStart"/>
            <w:r>
              <w:t>adjectives</w:t>
            </w:r>
            <w:proofErr w:type="spellEnd"/>
            <w:proofErr w:type="gramEnd"/>
          </w:p>
        </w:tc>
        <w:tc>
          <w:tcPr>
            <w:tcW w:w="865" w:type="dxa"/>
          </w:tcPr>
          <w:p w:rsidR="00A03FC9" w:rsidRPr="00A03FC9" w:rsidRDefault="00A03F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proofErr w:type="spellStart"/>
            <w:r w:rsidRPr="00A03FC9">
              <w:rPr>
                <w:sz w:val="15"/>
                <w:szCs w:val="15"/>
              </w:rPr>
              <w:t>Nom</w:t>
            </w:r>
            <w:proofErr w:type="spellEnd"/>
            <w:r w:rsidRPr="00A03FC9">
              <w:rPr>
                <w:sz w:val="15"/>
                <w:szCs w:val="15"/>
              </w:rPr>
              <w:t>.</w:t>
            </w:r>
          </w:p>
        </w:tc>
        <w:tc>
          <w:tcPr>
            <w:tcW w:w="2253" w:type="dxa"/>
          </w:tcPr>
          <w:p w:rsidR="00A03FC9" w:rsidRDefault="00A03F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Locative</w:t>
            </w:r>
            <w:proofErr w:type="spellEnd"/>
            <w:r>
              <w:t xml:space="preserve"> - </w:t>
            </w:r>
            <w:proofErr w:type="spellStart"/>
            <w:r>
              <w:t>nouns</w:t>
            </w:r>
            <w:proofErr w:type="spellEnd"/>
            <w:proofErr w:type="gramEnd"/>
          </w:p>
        </w:tc>
      </w:tr>
      <w:tr w:rsidR="009975D7" w:rsidTr="009975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A03FC9" w:rsidRDefault="00A03FC9">
            <w:proofErr w:type="spellStart"/>
            <w:r w:rsidRPr="00A03FC9">
              <w:rPr>
                <w:color w:val="1F3864" w:themeColor="accent1" w:themeShade="80"/>
              </w:rPr>
              <w:t>Ma</w:t>
            </w:r>
            <w:proofErr w:type="spellEnd"/>
          </w:p>
        </w:tc>
        <w:tc>
          <w:tcPr>
            <w:tcW w:w="769" w:type="dxa"/>
          </w:tcPr>
          <w:p w:rsid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A03FC9">
              <w:rPr>
                <w:sz w:val="16"/>
                <w:szCs w:val="16"/>
              </w:rPr>
              <w:t>ový</w:t>
            </w:r>
          </w:p>
          <w:p w:rsidR="00A03FC9" w:rsidRP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moderní</w:t>
            </w:r>
          </w:p>
        </w:tc>
        <w:tc>
          <w:tcPr>
            <w:tcW w:w="894" w:type="dxa"/>
          </w:tcPr>
          <w:p w:rsid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</w:t>
            </w:r>
            <w:r w:rsidRPr="009E42AD">
              <w:rPr>
                <w:b/>
                <w:bCs/>
                <w:color w:val="1F3864" w:themeColor="accent1" w:themeShade="80"/>
              </w:rPr>
              <w:t>ém</w:t>
            </w:r>
          </w:p>
        </w:tc>
        <w:tc>
          <w:tcPr>
            <w:tcW w:w="1456" w:type="dxa"/>
          </w:tcPr>
          <w:p w:rsid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moderní</w:t>
            </w:r>
            <w:r w:rsidRPr="009E42AD">
              <w:rPr>
                <w:b/>
                <w:bCs/>
                <w:color w:val="1F3864" w:themeColor="accent1" w:themeShade="80"/>
              </w:rPr>
              <w:t>m</w:t>
            </w:r>
          </w:p>
        </w:tc>
        <w:tc>
          <w:tcPr>
            <w:tcW w:w="865" w:type="dxa"/>
          </w:tcPr>
          <w:p w:rsidR="00A03FC9" w:rsidRPr="00A03FC9" w:rsidRDefault="00A03FC9" w:rsidP="00A03FC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  <w:r w:rsidRPr="00A03FC9">
              <w:rPr>
                <w:sz w:val="15"/>
                <w:szCs w:val="15"/>
              </w:rPr>
              <w:t>oktor</w:t>
            </w:r>
          </w:p>
          <w:p w:rsidR="00A03FC9" w:rsidRPr="00A03FC9" w:rsidRDefault="00A03FC9" w:rsidP="00A03FC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</w:t>
            </w:r>
            <w:r w:rsidRPr="00A03FC9">
              <w:rPr>
                <w:sz w:val="15"/>
                <w:szCs w:val="15"/>
              </w:rPr>
              <w:t>ékař</w:t>
            </w:r>
          </w:p>
          <w:p w:rsidR="00A03FC9" w:rsidRPr="00A03FC9" w:rsidRDefault="00A03FC9" w:rsidP="00A03FC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</w:t>
            </w:r>
            <w:r w:rsidRPr="00A03FC9">
              <w:rPr>
                <w:sz w:val="15"/>
                <w:szCs w:val="15"/>
              </w:rPr>
              <w:t>olega</w:t>
            </w:r>
          </w:p>
        </w:tc>
        <w:tc>
          <w:tcPr>
            <w:tcW w:w="2253" w:type="dxa"/>
          </w:tcPr>
          <w:p w:rsidR="00A03FC9" w:rsidRP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>
              <w:t>doktor</w:t>
            </w:r>
            <w:r w:rsidRPr="009E42AD">
              <w:rPr>
                <w:b/>
                <w:bCs/>
                <w:color w:val="1F3864" w:themeColor="accent1" w:themeShade="80"/>
              </w:rPr>
              <w:t>ovi</w:t>
            </w:r>
            <w:r>
              <w:t>/doktor</w:t>
            </w:r>
            <w:r w:rsidRPr="009E42AD">
              <w:rPr>
                <w:b/>
                <w:bCs/>
                <w:color w:val="1F3864" w:themeColor="accent1" w:themeShade="80"/>
              </w:rPr>
              <w:t>u</w:t>
            </w:r>
            <w:r>
              <w:rPr>
                <w:b/>
                <w:bCs/>
                <w:color w:val="1F3864" w:themeColor="accent1" w:themeShade="80"/>
                <w:vertAlign w:val="superscript"/>
              </w:rPr>
              <w:t>1</w:t>
            </w:r>
          </w:p>
          <w:p w:rsidR="00A03FC9" w:rsidRP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>
              <w:t>lékař</w:t>
            </w:r>
            <w:r w:rsidRPr="009E42AD">
              <w:rPr>
                <w:b/>
                <w:bCs/>
                <w:color w:val="1F3864" w:themeColor="accent1" w:themeShade="80"/>
              </w:rPr>
              <w:t>ovi</w:t>
            </w:r>
            <w:r>
              <w:t>/lékař</w:t>
            </w:r>
            <w:r w:rsidRPr="009E42AD">
              <w:rPr>
                <w:b/>
                <w:bCs/>
                <w:color w:val="1F3864" w:themeColor="accent1" w:themeShade="80"/>
              </w:rPr>
              <w:t>i</w:t>
            </w:r>
            <w:r>
              <w:rPr>
                <w:b/>
                <w:bCs/>
                <w:color w:val="1F3864" w:themeColor="accent1" w:themeShade="80"/>
                <w:vertAlign w:val="superscript"/>
              </w:rPr>
              <w:t>1</w:t>
            </w:r>
          </w:p>
          <w:p w:rsid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koleg</w:t>
            </w:r>
            <w:r w:rsidRPr="009E42AD">
              <w:rPr>
                <w:b/>
                <w:bCs/>
                <w:color w:val="1F3864" w:themeColor="accent1" w:themeShade="80"/>
              </w:rPr>
              <w:t>ovi</w:t>
            </w:r>
          </w:p>
        </w:tc>
      </w:tr>
      <w:tr w:rsidR="009975D7" w:rsidTr="009975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A03FC9" w:rsidRDefault="00A03FC9">
            <w:r w:rsidRPr="00A03FC9">
              <w:rPr>
                <w:color w:val="2E74B5" w:themeColor="accent5" w:themeShade="BF"/>
              </w:rPr>
              <w:t>Mi</w:t>
            </w:r>
          </w:p>
        </w:tc>
        <w:tc>
          <w:tcPr>
            <w:tcW w:w="769" w:type="dxa"/>
          </w:tcPr>
          <w:p w:rsid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A03FC9">
              <w:rPr>
                <w:sz w:val="16"/>
                <w:szCs w:val="16"/>
              </w:rPr>
              <w:t>ový</w:t>
            </w:r>
          </w:p>
          <w:p w:rsidR="00A03FC9" w:rsidRP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moderní</w:t>
            </w:r>
          </w:p>
        </w:tc>
        <w:tc>
          <w:tcPr>
            <w:tcW w:w="894" w:type="dxa"/>
          </w:tcPr>
          <w:p w:rsid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</w:t>
            </w:r>
            <w:r w:rsidRPr="009E42AD">
              <w:rPr>
                <w:b/>
                <w:bCs/>
                <w:color w:val="2E74B5" w:themeColor="accent5" w:themeShade="BF"/>
              </w:rPr>
              <w:t>ém</w:t>
            </w:r>
          </w:p>
        </w:tc>
        <w:tc>
          <w:tcPr>
            <w:tcW w:w="1456" w:type="dxa"/>
          </w:tcPr>
          <w:p w:rsid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moderní</w:t>
            </w:r>
            <w:r w:rsidRPr="009E42AD">
              <w:rPr>
                <w:b/>
                <w:bCs/>
                <w:color w:val="2E74B5" w:themeColor="accent5" w:themeShade="BF"/>
              </w:rPr>
              <w:t>m</w:t>
            </w:r>
          </w:p>
        </w:tc>
        <w:tc>
          <w:tcPr>
            <w:tcW w:w="865" w:type="dxa"/>
          </w:tcPr>
          <w:p w:rsidR="00A03FC9" w:rsidRPr="00A03FC9" w:rsidRDefault="00A03FC9" w:rsidP="00A03FC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</w:t>
            </w:r>
            <w:r w:rsidRPr="00A03FC9">
              <w:rPr>
                <w:sz w:val="15"/>
                <w:szCs w:val="15"/>
              </w:rPr>
              <w:t>bchod</w:t>
            </w:r>
          </w:p>
          <w:p w:rsidR="00A03FC9" w:rsidRPr="00A03FC9" w:rsidRDefault="00A03FC9" w:rsidP="00A03FC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</w:t>
            </w:r>
            <w:r w:rsidRPr="00A03FC9">
              <w:rPr>
                <w:sz w:val="15"/>
                <w:szCs w:val="15"/>
              </w:rPr>
              <w:t>očítač</w:t>
            </w:r>
          </w:p>
        </w:tc>
        <w:tc>
          <w:tcPr>
            <w:tcW w:w="2253" w:type="dxa"/>
          </w:tcPr>
          <w:p w:rsidR="00A03FC9" w:rsidRPr="009D68C3" w:rsidRDefault="00997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>
              <w:t>o</w:t>
            </w:r>
            <w:r w:rsidR="00A03FC9">
              <w:t>bchod</w:t>
            </w:r>
            <w:r w:rsidR="00A03FC9" w:rsidRPr="009E42AD">
              <w:rPr>
                <w:b/>
                <w:bCs/>
                <w:color w:val="2E74B5" w:themeColor="accent5" w:themeShade="BF"/>
              </w:rPr>
              <w:t>ě</w:t>
            </w:r>
            <w:r w:rsidR="009D68C3">
              <w:rPr>
                <w:b/>
                <w:bCs/>
                <w:color w:val="2E74B5" w:themeColor="accent5" w:themeShade="BF"/>
                <w:vertAlign w:val="superscript"/>
              </w:rPr>
              <w:t>3</w:t>
            </w:r>
            <w:r w:rsidR="00A03FC9">
              <w:t>/obchod</w:t>
            </w:r>
            <w:r w:rsidR="00A03FC9" w:rsidRPr="009E42AD">
              <w:rPr>
                <w:b/>
                <w:bCs/>
                <w:color w:val="2E74B5" w:themeColor="accent5" w:themeShade="BF"/>
              </w:rPr>
              <w:t>u</w:t>
            </w:r>
            <w:r w:rsidR="009D68C3">
              <w:rPr>
                <w:b/>
                <w:bCs/>
                <w:color w:val="2E74B5" w:themeColor="accent5" w:themeShade="BF"/>
                <w:vertAlign w:val="superscript"/>
              </w:rPr>
              <w:t>2</w:t>
            </w:r>
          </w:p>
          <w:p w:rsid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počítač</w:t>
            </w:r>
            <w:r w:rsidRPr="009E42AD">
              <w:rPr>
                <w:b/>
                <w:bCs/>
                <w:color w:val="2E74B5" w:themeColor="accent5" w:themeShade="BF"/>
              </w:rPr>
              <w:t>i</w:t>
            </w:r>
          </w:p>
        </w:tc>
      </w:tr>
      <w:tr w:rsidR="009975D7" w:rsidTr="009975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A03FC9" w:rsidRDefault="00A03FC9">
            <w:r w:rsidRPr="00A03FC9">
              <w:rPr>
                <w:color w:val="C00000"/>
              </w:rPr>
              <w:t>F</w:t>
            </w:r>
          </w:p>
        </w:tc>
        <w:tc>
          <w:tcPr>
            <w:tcW w:w="769" w:type="dxa"/>
          </w:tcPr>
          <w:p w:rsid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A03FC9">
              <w:rPr>
                <w:sz w:val="16"/>
                <w:szCs w:val="16"/>
              </w:rPr>
              <w:t>ová</w:t>
            </w:r>
          </w:p>
          <w:p w:rsidR="00A03FC9" w:rsidRP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moderní</w:t>
            </w:r>
          </w:p>
        </w:tc>
        <w:tc>
          <w:tcPr>
            <w:tcW w:w="894" w:type="dxa"/>
          </w:tcPr>
          <w:p w:rsidR="00A03FC9" w:rsidRPr="009E42AD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>
              <w:t>nov</w:t>
            </w:r>
            <w:r w:rsidRPr="009E42AD">
              <w:rPr>
                <w:b/>
                <w:bCs/>
                <w:color w:val="C00000"/>
              </w:rPr>
              <w:t>é</w:t>
            </w:r>
          </w:p>
        </w:tc>
        <w:tc>
          <w:tcPr>
            <w:tcW w:w="1456" w:type="dxa"/>
          </w:tcPr>
          <w:p w:rsid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modern</w:t>
            </w:r>
            <w:r w:rsidRPr="009E42AD">
              <w:rPr>
                <w:b/>
                <w:bCs/>
                <w:color w:val="C00000"/>
              </w:rPr>
              <w:t>í</w:t>
            </w:r>
          </w:p>
        </w:tc>
        <w:tc>
          <w:tcPr>
            <w:tcW w:w="865" w:type="dxa"/>
          </w:tcPr>
          <w:p w:rsidR="00A03FC9" w:rsidRDefault="00A03FC9" w:rsidP="00A03FC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š</w:t>
            </w:r>
            <w:r w:rsidRPr="00A03FC9">
              <w:rPr>
                <w:sz w:val="15"/>
                <w:szCs w:val="15"/>
              </w:rPr>
              <w:t>kola</w:t>
            </w:r>
          </w:p>
          <w:p w:rsidR="000D0097" w:rsidRPr="00A03FC9" w:rsidRDefault="000D0097" w:rsidP="00A03FC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Praha</w:t>
            </w:r>
          </w:p>
          <w:p w:rsidR="00A03FC9" w:rsidRPr="00A03FC9" w:rsidRDefault="00A03FC9" w:rsidP="00A03FC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</w:t>
            </w:r>
            <w:r w:rsidRPr="00A03FC9">
              <w:rPr>
                <w:sz w:val="15"/>
                <w:szCs w:val="15"/>
              </w:rPr>
              <w:t>estaurace</w:t>
            </w:r>
          </w:p>
          <w:p w:rsidR="00A03FC9" w:rsidRPr="00A03FC9" w:rsidRDefault="00A03FC9" w:rsidP="00A03FC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</w:t>
            </w:r>
            <w:r w:rsidRPr="00A03FC9">
              <w:rPr>
                <w:sz w:val="15"/>
                <w:szCs w:val="15"/>
              </w:rPr>
              <w:t>ancelář</w:t>
            </w:r>
          </w:p>
          <w:p w:rsidR="00A03FC9" w:rsidRPr="00A03FC9" w:rsidRDefault="00A03FC9" w:rsidP="00A03FC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</w:t>
            </w:r>
            <w:r w:rsidRPr="00A03FC9">
              <w:rPr>
                <w:sz w:val="15"/>
                <w:szCs w:val="15"/>
              </w:rPr>
              <w:t>ístnost</w:t>
            </w:r>
          </w:p>
        </w:tc>
        <w:tc>
          <w:tcPr>
            <w:tcW w:w="2253" w:type="dxa"/>
          </w:tcPr>
          <w:p w:rsidR="00A03FC9" w:rsidRPr="000D0097" w:rsidRDefault="00997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vertAlign w:val="superscript"/>
              </w:rPr>
            </w:pPr>
            <w:r>
              <w:t>š</w:t>
            </w:r>
            <w:r w:rsidR="00A03FC9">
              <w:t>kol</w:t>
            </w:r>
            <w:r w:rsidR="00A03FC9" w:rsidRPr="009E42AD">
              <w:rPr>
                <w:b/>
                <w:bCs/>
                <w:color w:val="C00000"/>
              </w:rPr>
              <w:t>e</w:t>
            </w:r>
            <w:r w:rsidR="000D0097">
              <w:rPr>
                <w:b/>
                <w:bCs/>
                <w:color w:val="C00000"/>
                <w:vertAlign w:val="superscript"/>
              </w:rPr>
              <w:t>3</w:t>
            </w:r>
          </w:p>
          <w:p w:rsidR="000D0097" w:rsidRPr="000D0097" w:rsidRDefault="00997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>
              <w:t>p</w:t>
            </w:r>
            <w:r w:rsidR="000D0097">
              <w:t>raz</w:t>
            </w:r>
            <w:r w:rsidR="000D0097" w:rsidRPr="000D0097">
              <w:rPr>
                <w:b/>
                <w:bCs/>
                <w:color w:val="C00000"/>
              </w:rPr>
              <w:t>e</w:t>
            </w:r>
            <w:r w:rsidR="000D0097">
              <w:rPr>
                <w:b/>
                <w:bCs/>
                <w:color w:val="C00000"/>
                <w:vertAlign w:val="superscript"/>
              </w:rPr>
              <w:t>4</w:t>
            </w:r>
          </w:p>
          <w:p w:rsid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restaurac</w:t>
            </w:r>
            <w:r w:rsidRPr="009E42AD">
              <w:rPr>
                <w:b/>
                <w:bCs/>
                <w:color w:val="C00000"/>
              </w:rPr>
              <w:t>i</w:t>
            </w:r>
          </w:p>
          <w:p w:rsid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kancelář</w:t>
            </w:r>
            <w:r w:rsidRPr="009E42AD">
              <w:rPr>
                <w:b/>
                <w:bCs/>
                <w:color w:val="C00000"/>
              </w:rPr>
              <w:t>i</w:t>
            </w:r>
          </w:p>
          <w:p w:rsid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místnost</w:t>
            </w:r>
            <w:r w:rsidRPr="009E42AD">
              <w:rPr>
                <w:b/>
                <w:bCs/>
                <w:color w:val="C00000"/>
              </w:rPr>
              <w:t>i</w:t>
            </w:r>
          </w:p>
        </w:tc>
      </w:tr>
      <w:tr w:rsidR="009975D7" w:rsidTr="009975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A03FC9" w:rsidRDefault="00A03FC9">
            <w:r w:rsidRPr="00A03FC9">
              <w:rPr>
                <w:color w:val="538135" w:themeColor="accent6" w:themeShade="BF"/>
              </w:rPr>
              <w:t>N</w:t>
            </w:r>
          </w:p>
        </w:tc>
        <w:tc>
          <w:tcPr>
            <w:tcW w:w="769" w:type="dxa"/>
          </w:tcPr>
          <w:p w:rsid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A03FC9">
              <w:rPr>
                <w:sz w:val="16"/>
                <w:szCs w:val="16"/>
              </w:rPr>
              <w:t>ové</w:t>
            </w:r>
          </w:p>
          <w:p w:rsidR="00A03FC9" w:rsidRP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moderní</w:t>
            </w:r>
          </w:p>
        </w:tc>
        <w:tc>
          <w:tcPr>
            <w:tcW w:w="894" w:type="dxa"/>
          </w:tcPr>
          <w:p w:rsid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</w:t>
            </w:r>
            <w:r w:rsidRPr="00A03FC9">
              <w:rPr>
                <w:b/>
                <w:bCs/>
                <w:color w:val="538135" w:themeColor="accent6" w:themeShade="BF"/>
              </w:rPr>
              <w:t>m</w:t>
            </w:r>
          </w:p>
        </w:tc>
        <w:tc>
          <w:tcPr>
            <w:tcW w:w="1456" w:type="dxa"/>
          </w:tcPr>
          <w:p w:rsid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moderní</w:t>
            </w:r>
            <w:r w:rsidRPr="00A03FC9">
              <w:rPr>
                <w:b/>
                <w:bCs/>
                <w:color w:val="538135" w:themeColor="accent6" w:themeShade="BF"/>
              </w:rPr>
              <w:t>m</w:t>
            </w:r>
          </w:p>
        </w:tc>
        <w:tc>
          <w:tcPr>
            <w:tcW w:w="865" w:type="dxa"/>
          </w:tcPr>
          <w:p w:rsidR="00A03FC9" w:rsidRPr="00A03FC9" w:rsidRDefault="00A03FC9" w:rsidP="00A03FC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03FC9">
              <w:rPr>
                <w:sz w:val="15"/>
                <w:szCs w:val="15"/>
              </w:rPr>
              <w:t>kino</w:t>
            </w:r>
          </w:p>
          <w:p w:rsidR="00A03FC9" w:rsidRPr="00A03FC9" w:rsidRDefault="00A03FC9" w:rsidP="00A03FC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03FC9">
              <w:rPr>
                <w:sz w:val="15"/>
                <w:szCs w:val="15"/>
              </w:rPr>
              <w:t>letiště</w:t>
            </w:r>
          </w:p>
          <w:p w:rsidR="00A03FC9" w:rsidRPr="00A03FC9" w:rsidRDefault="00A03FC9" w:rsidP="00A03FC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A03FC9">
              <w:rPr>
                <w:sz w:val="15"/>
                <w:szCs w:val="15"/>
              </w:rPr>
              <w:t>nádraží</w:t>
            </w:r>
          </w:p>
        </w:tc>
        <w:tc>
          <w:tcPr>
            <w:tcW w:w="2253" w:type="dxa"/>
          </w:tcPr>
          <w:p w:rsidR="00A03FC9" w:rsidRPr="009D68C3" w:rsidRDefault="00997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>
              <w:t>k</w:t>
            </w:r>
            <w:r w:rsidR="00A03FC9">
              <w:t>in</w:t>
            </w:r>
            <w:r w:rsidR="00A03FC9" w:rsidRPr="00A03FC9">
              <w:rPr>
                <w:b/>
                <w:bCs/>
                <w:color w:val="538135" w:themeColor="accent6" w:themeShade="BF"/>
              </w:rPr>
              <w:t>ě</w:t>
            </w:r>
            <w:r w:rsidR="009D68C3">
              <w:rPr>
                <w:b/>
                <w:bCs/>
                <w:color w:val="538135" w:themeColor="accent6" w:themeShade="BF"/>
                <w:vertAlign w:val="superscript"/>
              </w:rPr>
              <w:t>3</w:t>
            </w:r>
            <w:r w:rsidR="00A03FC9">
              <w:t>/kin</w:t>
            </w:r>
            <w:r w:rsidR="00A03FC9" w:rsidRPr="00A03FC9">
              <w:rPr>
                <w:b/>
                <w:bCs/>
                <w:color w:val="538135" w:themeColor="accent6" w:themeShade="BF"/>
              </w:rPr>
              <w:t>u</w:t>
            </w:r>
            <w:r w:rsidR="009D68C3">
              <w:rPr>
                <w:b/>
                <w:bCs/>
                <w:color w:val="538135" w:themeColor="accent6" w:themeShade="BF"/>
                <w:vertAlign w:val="superscript"/>
              </w:rPr>
              <w:t>2</w:t>
            </w:r>
          </w:p>
          <w:p w:rsid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letišt</w:t>
            </w:r>
            <w:r w:rsidRPr="00A03FC9">
              <w:rPr>
                <w:b/>
                <w:bCs/>
                <w:color w:val="538135" w:themeColor="accent6" w:themeShade="BF"/>
              </w:rPr>
              <w:t>i</w:t>
            </w:r>
          </w:p>
          <w:p w:rsidR="00A03FC9" w:rsidRDefault="00A03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nádraž</w:t>
            </w:r>
            <w:r w:rsidRPr="00A03FC9">
              <w:rPr>
                <w:b/>
                <w:bCs/>
                <w:color w:val="538135" w:themeColor="accent6" w:themeShade="BF"/>
              </w:rPr>
              <w:t>í</w:t>
            </w:r>
          </w:p>
        </w:tc>
      </w:tr>
    </w:tbl>
    <w:p w:rsidR="004C428C" w:rsidRDefault="009975D7"/>
    <w:p w:rsidR="00A03FC9" w:rsidRDefault="00A03FC9">
      <w:r>
        <w:rPr>
          <w:vertAlign w:val="superscript"/>
        </w:rPr>
        <w:t>1</w:t>
      </w:r>
      <w:r>
        <w:t xml:space="preserve"> In </w:t>
      </w:r>
      <w:proofErr w:type="spellStart"/>
      <w:r>
        <w:t>phrases</w:t>
      </w:r>
      <w:proofErr w:type="spellEnd"/>
      <w:r>
        <w:t xml:space="preserve"> </w:t>
      </w:r>
      <w:proofErr w:type="spellStart"/>
      <w:r>
        <w:t>comprised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ending</w:t>
      </w:r>
      <w:proofErr w:type="spellEnd"/>
      <w:r>
        <w:t xml:space="preserve"> </w:t>
      </w:r>
      <w:r w:rsidRPr="009D68C3">
        <w:rPr>
          <w:i/>
          <w:iCs/>
        </w:rPr>
        <w:t>-</w:t>
      </w:r>
      <w:proofErr w:type="spellStart"/>
      <w:r w:rsidRPr="009D68C3">
        <w:rPr>
          <w:i/>
          <w:iCs/>
        </w:rPr>
        <w:t>ovi</w:t>
      </w:r>
      <w:proofErr w:type="spellEnd"/>
      <w:proofErr w:type="gramEnd"/>
      <w:r>
        <w:t xml:space="preserve"> </w:t>
      </w:r>
      <w:proofErr w:type="spellStart"/>
      <w:r>
        <w:t>alterates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ending</w:t>
      </w:r>
      <w:proofErr w:type="spellEnd"/>
      <w:r>
        <w:t xml:space="preserve"> </w:t>
      </w:r>
      <w:r w:rsidRPr="009D68C3">
        <w:rPr>
          <w:i/>
          <w:iCs/>
        </w:rPr>
        <w:t>-u</w:t>
      </w:r>
      <w:r>
        <w:t xml:space="preserve"> </w:t>
      </w:r>
      <w:proofErr w:type="spellStart"/>
      <w:r>
        <w:t>or</w:t>
      </w:r>
      <w:proofErr w:type="spellEnd"/>
      <w:r>
        <w:t xml:space="preserve"> </w:t>
      </w:r>
      <w:r w:rsidRPr="009D68C3">
        <w:rPr>
          <w:i/>
          <w:iCs/>
        </w:rPr>
        <w:t>-i</w:t>
      </w:r>
      <w:r>
        <w:t>: Mluvíme o pan</w:t>
      </w:r>
      <w:r w:rsidRPr="009D68C3">
        <w:rPr>
          <w:b/>
          <w:bCs/>
        </w:rPr>
        <w:t>u</w:t>
      </w:r>
      <w:r>
        <w:t xml:space="preserve"> doktor</w:t>
      </w:r>
      <w:r w:rsidRPr="009D68C3">
        <w:rPr>
          <w:b/>
          <w:bCs/>
        </w:rPr>
        <w:t>ovi</w:t>
      </w:r>
      <w:r>
        <w:t xml:space="preserve">. </w:t>
      </w:r>
      <w:r w:rsidR="009D68C3">
        <w:t>Mluvíme o Petr</w:t>
      </w:r>
      <w:r w:rsidR="009D68C3" w:rsidRPr="009D68C3">
        <w:rPr>
          <w:b/>
          <w:bCs/>
        </w:rPr>
        <w:t>u</w:t>
      </w:r>
      <w:r w:rsidR="009D68C3">
        <w:t xml:space="preserve"> Novák</w:t>
      </w:r>
      <w:r w:rsidR="009D68C3" w:rsidRPr="009D68C3">
        <w:rPr>
          <w:b/>
          <w:bCs/>
        </w:rPr>
        <w:t>ovi</w:t>
      </w:r>
      <w:r w:rsidR="009D68C3">
        <w:rPr>
          <w:b/>
          <w:bCs/>
        </w:rPr>
        <w:t>.</w:t>
      </w:r>
    </w:p>
    <w:p w:rsidR="009D68C3" w:rsidRDefault="009D68C3"/>
    <w:p w:rsidR="009D68C3" w:rsidRDefault="009D68C3">
      <w:r>
        <w:rPr>
          <w:vertAlign w:val="superscript"/>
        </w:rPr>
        <w:t xml:space="preserve">2 </w:t>
      </w:r>
      <w:r>
        <w:t xml:space="preserve">Mi + N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1st </w:t>
      </w:r>
      <w:proofErr w:type="spellStart"/>
      <w:r>
        <w:t>declension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také </w:t>
      </w:r>
      <w:proofErr w:type="spellStart"/>
      <w:r>
        <w:t>either</w:t>
      </w:r>
      <w:proofErr w:type="spellEnd"/>
      <w:r>
        <w:t xml:space="preserve"> </w:t>
      </w:r>
      <w:proofErr w:type="spellStart"/>
      <w:proofErr w:type="gramStart"/>
      <w:r>
        <w:t>the</w:t>
      </w:r>
      <w:proofErr w:type="spellEnd"/>
      <w:r>
        <w:t xml:space="preserve"> </w:t>
      </w:r>
      <w:r w:rsidRPr="009D68C3">
        <w:rPr>
          <w:i/>
          <w:iCs/>
        </w:rPr>
        <w:t>-ě</w:t>
      </w:r>
      <w:proofErr w:type="gramEnd"/>
      <w:r w:rsidRPr="009D68C3">
        <w:rPr>
          <w:i/>
          <w:iCs/>
        </w:rPr>
        <w:t>/-e</w:t>
      </w:r>
      <w:r>
        <w:t xml:space="preserve"> </w:t>
      </w:r>
      <w:proofErr w:type="spellStart"/>
      <w:r>
        <w:t>or</w:t>
      </w:r>
      <w:proofErr w:type="spellEnd"/>
      <w:r>
        <w:t xml:space="preserve"> </w:t>
      </w:r>
      <w:r w:rsidRPr="009D68C3">
        <w:rPr>
          <w:i/>
          <w:iCs/>
        </w:rPr>
        <w:t>-u</w:t>
      </w:r>
      <w:r>
        <w:t xml:space="preserve"> </w:t>
      </w:r>
      <w:proofErr w:type="spellStart"/>
      <w:r>
        <w:t>ending</w:t>
      </w:r>
      <w:proofErr w:type="spellEnd"/>
      <w:r>
        <w:t>.</w:t>
      </w:r>
    </w:p>
    <w:p w:rsidR="009D68C3" w:rsidRPr="009D68C3" w:rsidRDefault="009D68C3" w:rsidP="009D68C3">
      <w:pPr>
        <w:pStyle w:val="Odstavecseseznamem"/>
        <w:numPr>
          <w:ilvl w:val="0"/>
          <w:numId w:val="1"/>
        </w:numPr>
      </w:pPr>
      <w:proofErr w:type="spellStart"/>
      <w:proofErr w:type="gramStart"/>
      <w:r>
        <w:t>only</w:t>
      </w:r>
      <w:proofErr w:type="spellEnd"/>
      <w:r>
        <w:t xml:space="preserve"> </w:t>
      </w:r>
      <w:r w:rsidRPr="009D68C3">
        <w:rPr>
          <w:b/>
          <w:bCs/>
        </w:rPr>
        <w:t>-u</w:t>
      </w:r>
      <w:proofErr w:type="gramEnd"/>
      <w:r w:rsidRPr="009D68C3">
        <w:rPr>
          <w:b/>
          <w:bCs/>
        </w:rPr>
        <w:t>:</w:t>
      </w:r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origin</w:t>
      </w:r>
      <w:proofErr w:type="spellEnd"/>
      <w:r>
        <w:t>: v klub</w:t>
      </w:r>
      <w:r w:rsidRPr="009D68C3">
        <w:rPr>
          <w:b/>
          <w:bCs/>
        </w:rPr>
        <w:t>u</w:t>
      </w:r>
      <w:r>
        <w:t>, v supermarket</w:t>
      </w:r>
      <w:r w:rsidRPr="009D68C3">
        <w:rPr>
          <w:b/>
          <w:bCs/>
        </w:rPr>
        <w:t>u</w:t>
      </w:r>
    </w:p>
    <w:p w:rsidR="009D68C3" w:rsidRPr="009D68C3" w:rsidRDefault="009D68C3" w:rsidP="009D68C3">
      <w:pPr>
        <w:pStyle w:val="Odstavecseseznamem"/>
        <w:numPr>
          <w:ilvl w:val="0"/>
          <w:numId w:val="1"/>
        </w:numPr>
      </w:pPr>
      <w:proofErr w:type="spellStart"/>
      <w:proofErr w:type="gramStart"/>
      <w:r w:rsidRPr="009D68C3">
        <w:t>only</w:t>
      </w:r>
      <w:proofErr w:type="spellEnd"/>
      <w:r>
        <w:rPr>
          <w:b/>
          <w:bCs/>
        </w:rPr>
        <w:t xml:space="preserve"> </w:t>
      </w:r>
      <w:r w:rsidRPr="009D68C3">
        <w:rPr>
          <w:b/>
          <w:bCs/>
        </w:rPr>
        <w:t>-u</w:t>
      </w:r>
      <w:proofErr w:type="gramEnd"/>
      <w:r>
        <w:t xml:space="preserve">: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consonants</w:t>
      </w:r>
      <w:proofErr w:type="spellEnd"/>
      <w:r>
        <w:t xml:space="preserve"> h, ch, k, r, g: v centr</w:t>
      </w:r>
      <w:r w:rsidRPr="009D68C3">
        <w:rPr>
          <w:b/>
          <w:bCs/>
        </w:rPr>
        <w:t>u</w:t>
      </w:r>
      <w:r>
        <w:t>, v Haag</w:t>
      </w:r>
      <w:r w:rsidRPr="009D68C3">
        <w:rPr>
          <w:b/>
          <w:bCs/>
        </w:rPr>
        <w:t>u</w:t>
      </w:r>
    </w:p>
    <w:p w:rsidR="000D0097" w:rsidRDefault="000D0097" w:rsidP="009D68C3">
      <w:pPr>
        <w:rPr>
          <w:vertAlign w:val="superscript"/>
        </w:rPr>
      </w:pPr>
    </w:p>
    <w:p w:rsidR="009D68C3" w:rsidRDefault="009D68C3" w:rsidP="009D68C3">
      <w:pPr>
        <w:rPr>
          <w:b/>
          <w:bCs/>
        </w:rPr>
      </w:pPr>
      <w:r>
        <w:rPr>
          <w:vertAlign w:val="superscript"/>
        </w:rPr>
        <w:t>3</w:t>
      </w:r>
      <w:r>
        <w:t xml:space="preserve"> </w:t>
      </w:r>
      <w:proofErr w:type="spellStart"/>
      <w:r>
        <w:t>Nouns</w:t>
      </w:r>
      <w:proofErr w:type="spellEnd"/>
      <w:r>
        <w:t xml:space="preserve"> (Mi, F, N) </w:t>
      </w:r>
      <w:proofErr w:type="spellStart"/>
      <w:r>
        <w:t>ending</w:t>
      </w:r>
      <w:proofErr w:type="spellEnd"/>
      <w:r>
        <w:t xml:space="preserve"> in d, t, n, b, p, v, m, f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gramStart"/>
      <w:r>
        <w:t>not -e</w:t>
      </w:r>
      <w:proofErr w:type="gramEnd"/>
      <w:r>
        <w:t xml:space="preserve"> but </w:t>
      </w:r>
      <w:r w:rsidRPr="009D68C3">
        <w:rPr>
          <w:b/>
          <w:bCs/>
        </w:rPr>
        <w:t>-ě</w:t>
      </w:r>
      <w:r>
        <w:t>: kavárn</w:t>
      </w:r>
      <w:r w:rsidRPr="009D68C3">
        <w:rPr>
          <w:b/>
          <w:bCs/>
        </w:rPr>
        <w:t>ě</w:t>
      </w:r>
      <w:r>
        <w:rPr>
          <w:b/>
          <w:bCs/>
        </w:rPr>
        <w:t xml:space="preserve">, </w:t>
      </w:r>
      <w:r w:rsidR="000D0097">
        <w:t>kin</w:t>
      </w:r>
      <w:r w:rsidR="000D0097" w:rsidRPr="000D0097">
        <w:rPr>
          <w:b/>
          <w:bCs/>
        </w:rPr>
        <w:t>ě</w:t>
      </w:r>
      <w:r w:rsidR="000D0097">
        <w:t>, obchod</w:t>
      </w:r>
      <w:r w:rsidR="000D0097" w:rsidRPr="000D0097">
        <w:rPr>
          <w:b/>
          <w:bCs/>
        </w:rPr>
        <w:t>ě</w:t>
      </w:r>
    </w:p>
    <w:p w:rsidR="000D0097" w:rsidRDefault="000D0097" w:rsidP="009D68C3">
      <w:pPr>
        <w:rPr>
          <w:vertAlign w:val="superscript"/>
        </w:rPr>
      </w:pPr>
    </w:p>
    <w:p w:rsidR="000D0097" w:rsidRDefault="000D0097" w:rsidP="009D68C3">
      <w:proofErr w:type="gramStart"/>
      <w:r>
        <w:rPr>
          <w:vertAlign w:val="superscript"/>
        </w:rPr>
        <w:t>4</w:t>
      </w:r>
      <w:r>
        <w:t>F</w:t>
      </w:r>
      <w:proofErr w:type="gramEnd"/>
      <w:r>
        <w:t xml:space="preserve"> </w:t>
      </w:r>
      <w:proofErr w:type="spellStart"/>
      <w:r>
        <w:t>nouns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1st </w:t>
      </w:r>
      <w:proofErr w:type="spellStart"/>
      <w:r>
        <w:t>declension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end in -ha, -cha, -</w:t>
      </w:r>
      <w:proofErr w:type="spellStart"/>
      <w:r>
        <w:t>ka</w:t>
      </w:r>
      <w:proofErr w:type="spellEnd"/>
      <w:r>
        <w:t>, -</w:t>
      </w:r>
      <w:proofErr w:type="spellStart"/>
      <w:r>
        <w:t>ra</w:t>
      </w:r>
      <w:proofErr w:type="spellEnd"/>
      <w:r>
        <w:t>, -</w:t>
      </w:r>
      <w:proofErr w:type="spellStart"/>
      <w:r>
        <w:t>ga</w:t>
      </w:r>
      <w:proofErr w:type="spellEnd"/>
      <w:r>
        <w:t>:</w:t>
      </w:r>
    </w:p>
    <w:p w:rsidR="009975D7" w:rsidRDefault="000D0097" w:rsidP="000D0097">
      <w:pPr>
        <w:pStyle w:val="Odstavecseseznamem"/>
        <w:numPr>
          <w:ilvl w:val="0"/>
          <w:numId w:val="3"/>
        </w:numPr>
      </w:pPr>
      <w:r>
        <w:t xml:space="preserve">a </w:t>
      </w:r>
      <w:proofErr w:type="spellStart"/>
      <w:r>
        <w:t>consonant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: </w:t>
      </w:r>
    </w:p>
    <w:p w:rsidR="009975D7" w:rsidRDefault="000D0097" w:rsidP="009975D7">
      <w:pPr>
        <w:pStyle w:val="Odstavecseseznamem"/>
        <w:numPr>
          <w:ilvl w:val="3"/>
          <w:numId w:val="3"/>
        </w:numPr>
      </w:pPr>
      <w:r>
        <w:t>Pra</w:t>
      </w:r>
      <w:r w:rsidRPr="009975D7">
        <w:rPr>
          <w:u w:val="single"/>
        </w:rPr>
        <w:t>ha</w:t>
      </w:r>
      <w:r>
        <w:t xml:space="preserve"> – v</w:t>
      </w:r>
      <w:r w:rsidR="009975D7">
        <w:t> </w:t>
      </w:r>
      <w:r>
        <w:t>Pra</w:t>
      </w:r>
      <w:r w:rsidRPr="000D0097">
        <w:rPr>
          <w:b/>
          <w:bCs/>
        </w:rPr>
        <w:t>z</w:t>
      </w:r>
      <w:r>
        <w:t>e</w:t>
      </w:r>
    </w:p>
    <w:p w:rsidR="009975D7" w:rsidRDefault="009975D7" w:rsidP="009975D7">
      <w:pPr>
        <w:pStyle w:val="Odstavecseseznamem"/>
        <w:numPr>
          <w:ilvl w:val="3"/>
          <w:numId w:val="3"/>
        </w:numPr>
      </w:pPr>
      <w:r>
        <w:t>Stře</w:t>
      </w:r>
      <w:r w:rsidRPr="009975D7">
        <w:rPr>
          <w:u w:val="single"/>
        </w:rPr>
        <w:t>cha</w:t>
      </w:r>
      <w:r>
        <w:t xml:space="preserve"> – na stře</w:t>
      </w:r>
      <w:r w:rsidRPr="009975D7">
        <w:rPr>
          <w:b/>
          <w:bCs/>
        </w:rPr>
        <w:t>š</w:t>
      </w:r>
      <w:r>
        <w:t>e</w:t>
      </w:r>
    </w:p>
    <w:p w:rsidR="009975D7" w:rsidRDefault="000D0097" w:rsidP="009975D7">
      <w:pPr>
        <w:pStyle w:val="Odstavecseseznamem"/>
        <w:numPr>
          <w:ilvl w:val="3"/>
          <w:numId w:val="3"/>
        </w:numPr>
      </w:pPr>
      <w:r>
        <w:t>ban</w:t>
      </w:r>
      <w:r w:rsidRPr="009975D7">
        <w:rPr>
          <w:u w:val="single"/>
        </w:rPr>
        <w:t>ka</w:t>
      </w:r>
      <w:r>
        <w:t xml:space="preserve"> – v</w:t>
      </w:r>
      <w:r w:rsidR="009975D7">
        <w:t> </w:t>
      </w:r>
      <w:r>
        <w:t>ban</w:t>
      </w:r>
      <w:r w:rsidRPr="000D0097">
        <w:rPr>
          <w:b/>
          <w:bCs/>
        </w:rPr>
        <w:t>c</w:t>
      </w:r>
      <w:r>
        <w:t>e</w:t>
      </w:r>
    </w:p>
    <w:p w:rsidR="009975D7" w:rsidRDefault="009975D7" w:rsidP="009975D7">
      <w:pPr>
        <w:pStyle w:val="Odstavecseseznamem"/>
        <w:numPr>
          <w:ilvl w:val="3"/>
          <w:numId w:val="3"/>
        </w:numPr>
      </w:pPr>
      <w:r>
        <w:t>sest</w:t>
      </w:r>
      <w:r w:rsidRPr="009975D7">
        <w:rPr>
          <w:u w:val="single"/>
        </w:rPr>
        <w:t>ra</w:t>
      </w:r>
      <w:r>
        <w:t xml:space="preserve"> – o sest</w:t>
      </w:r>
      <w:r w:rsidRPr="009975D7">
        <w:rPr>
          <w:b/>
          <w:bCs/>
        </w:rPr>
        <w:t>ř</w:t>
      </w:r>
      <w:r>
        <w:t xml:space="preserve">e </w:t>
      </w:r>
    </w:p>
    <w:p w:rsidR="000D0097" w:rsidRPr="000D0097" w:rsidRDefault="000D0097" w:rsidP="009975D7">
      <w:pPr>
        <w:pStyle w:val="Odstavecseseznamem"/>
        <w:numPr>
          <w:ilvl w:val="3"/>
          <w:numId w:val="3"/>
        </w:numPr>
      </w:pPr>
      <w:r>
        <w:t>Ol</w:t>
      </w:r>
      <w:r w:rsidRPr="009975D7">
        <w:rPr>
          <w:u w:val="single"/>
        </w:rPr>
        <w:t>ga</w:t>
      </w:r>
      <w:r>
        <w:t xml:space="preserve"> – o Ol</w:t>
      </w:r>
      <w:r w:rsidRPr="000D0097">
        <w:rPr>
          <w:b/>
          <w:bCs/>
        </w:rPr>
        <w:t>z</w:t>
      </w:r>
      <w:r>
        <w:t>e</w:t>
      </w:r>
    </w:p>
    <w:sectPr w:rsidR="000D0097" w:rsidRPr="000D0097" w:rsidSect="00C811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75576D"/>
    <w:multiLevelType w:val="hybridMultilevel"/>
    <w:tmpl w:val="813688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0D60B8F"/>
    <w:multiLevelType w:val="hybridMultilevel"/>
    <w:tmpl w:val="3D9051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AA44254"/>
    <w:multiLevelType w:val="hybridMultilevel"/>
    <w:tmpl w:val="A850AFE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AD"/>
    <w:rsid w:val="000D0097"/>
    <w:rsid w:val="009975D7"/>
    <w:rsid w:val="009D68C3"/>
    <w:rsid w:val="009E42AD"/>
    <w:rsid w:val="00A03FC9"/>
    <w:rsid w:val="00C8112D"/>
    <w:rsid w:val="00EB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E181E5"/>
  <w14:defaultImageDpi w14:val="32767"/>
  <w15:chartTrackingRefBased/>
  <w15:docId w15:val="{19AEFF61-417A-1846-A6C1-DA992D80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E4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9E42A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9E42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tavecseseznamem">
    <w:name w:val="List Paragraph"/>
    <w:basedOn w:val="Normln"/>
    <w:uiPriority w:val="34"/>
    <w:qFormat/>
    <w:rsid w:val="009D68C3"/>
    <w:pPr>
      <w:ind w:left="720"/>
      <w:contextualSpacing/>
    </w:pPr>
  </w:style>
  <w:style w:type="table" w:styleId="Prosttabulka1">
    <w:name w:val="Plain Table 1"/>
    <w:basedOn w:val="Normlntabulka"/>
    <w:uiPriority w:val="41"/>
    <w:rsid w:val="000D00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4">
    <w:name w:val="Plain Table 4"/>
    <w:basedOn w:val="Normlntabulka"/>
    <w:uiPriority w:val="44"/>
    <w:rsid w:val="000D009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ulkasmkou2zvraznn4">
    <w:name w:val="Grid Table 2 Accent 4"/>
    <w:basedOn w:val="Normlntabulka"/>
    <w:uiPriority w:val="47"/>
    <w:rsid w:val="000D0097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mkou1zvraznn5">
    <w:name w:val="Grid Table 1 Light Accent 5"/>
    <w:basedOn w:val="Normlntabulka"/>
    <w:uiPriority w:val="46"/>
    <w:rsid w:val="000D009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Němcová</dc:creator>
  <cp:keywords/>
  <dc:description/>
  <cp:lastModifiedBy>Michaela Němcová</cp:lastModifiedBy>
  <cp:revision>1</cp:revision>
  <dcterms:created xsi:type="dcterms:W3CDTF">2020-10-31T16:04:00Z</dcterms:created>
  <dcterms:modified xsi:type="dcterms:W3CDTF">2020-10-31T16:53:00Z</dcterms:modified>
</cp:coreProperties>
</file>