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6BA5" w14:textId="07961B2C" w:rsidR="00EE6855" w:rsidRPr="003C29B7" w:rsidRDefault="00E96C74" w:rsidP="007F4321">
      <w:pPr>
        <w:pStyle w:val="Nzev"/>
        <w:rPr>
          <w:b/>
          <w:bCs/>
        </w:rPr>
      </w:pPr>
      <w:r w:rsidRPr="003C29B7">
        <w:rPr>
          <w:b/>
          <w:bCs/>
        </w:rPr>
        <w:t xml:space="preserve">Minerální </w:t>
      </w:r>
      <w:r w:rsidR="00EE6855" w:rsidRPr="003C29B7">
        <w:rPr>
          <w:b/>
          <w:bCs/>
        </w:rPr>
        <w:t>látky – Makroelementy</w:t>
      </w:r>
    </w:p>
    <w:p w14:paraId="18971D31" w14:textId="619C4640" w:rsidR="00895104" w:rsidRDefault="00DC51E7" w:rsidP="00A02248">
      <w:r>
        <w:t>Minerální látky jsou anorganické složky potravy</w:t>
      </w:r>
      <w:r w:rsidR="00A02248">
        <w:t xml:space="preserve"> nezbytné pro správné fungování živých organismů. Jelikož jsou součástí mnoha reakcí a pochodů v lidském těle (např. ovlivňují kontrakci svalů, přenos nervového impulsu či </w:t>
      </w:r>
      <w:r w:rsidR="008E49D5">
        <w:t xml:space="preserve">acidobazickou rovnováhu), je nutné je denně přijímat z potravy. Při jejich vyloučení ze stravy hrozí fyziologické abnormality, při dlouhodobé eliminaci pak nevratné změny až zánik organismu. </w:t>
      </w:r>
      <w:r w:rsidR="008E49D5" w:rsidRPr="00141EC2">
        <w:t xml:space="preserve">Podle množství, které </w:t>
      </w:r>
      <w:r w:rsidR="00655874" w:rsidRPr="00141EC2">
        <w:t>naše tělo potřebuje, je dělíme do dvou kategorií. Makroelementy, jejichž potřeba je vyšší než 50 mg denně, a</w:t>
      </w:r>
      <w:r w:rsidR="00EE6855" w:rsidRPr="00141EC2">
        <w:t> </w:t>
      </w:r>
      <w:r w:rsidR="00655874" w:rsidRPr="00141EC2">
        <w:t>stopové prvky</w:t>
      </w:r>
      <w:r w:rsidR="00EE6855" w:rsidRPr="00141EC2">
        <w:t>, jejichž potřeba je nižší než 50 mg denně</w:t>
      </w:r>
      <w:r w:rsidR="00141EC2">
        <w:rPr>
          <w:rStyle w:val="Znakapoznpodarou"/>
        </w:rPr>
        <w:footnoteReference w:id="1"/>
      </w:r>
      <w:r w:rsidR="00EE6855" w:rsidRPr="00141EC2">
        <w:t>.</w:t>
      </w:r>
      <w:r w:rsidR="00EE6855" w:rsidRPr="00CB77B5">
        <w:rPr>
          <w:color w:val="FF0000"/>
        </w:rPr>
        <w:t xml:space="preserve"> </w:t>
      </w:r>
      <w:r w:rsidR="008E49D5" w:rsidRPr="00CB77B5">
        <w:rPr>
          <w:color w:val="FF0000"/>
        </w:rPr>
        <w:t xml:space="preserve"> </w:t>
      </w:r>
      <w:r w:rsidR="00A02248" w:rsidRPr="00CB77B5">
        <w:rPr>
          <w:color w:val="FF0000"/>
        </w:rPr>
        <w:t xml:space="preserve"> </w:t>
      </w:r>
    </w:p>
    <w:p w14:paraId="358A5FBD" w14:textId="77777777" w:rsidR="00941654" w:rsidRDefault="00941654" w:rsidP="00A02248"/>
    <w:p w14:paraId="3CF08E10" w14:textId="2BF6E044" w:rsidR="00EE6855" w:rsidRPr="00EE6855" w:rsidRDefault="00123B45" w:rsidP="00EE6855">
      <w:r>
        <w:t>S minerálními látkami se pojí následující pojmy, které je nutné rozlišovat.</w:t>
      </w:r>
    </w:p>
    <w:p w14:paraId="1771CD5A" w14:textId="11669956" w:rsidR="00EE6855" w:rsidRDefault="00153BEB" w:rsidP="00EE6855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b/>
          <w:lang w:eastAsia="cs-CZ"/>
        </w:rPr>
        <w:t>P</w:t>
      </w:r>
      <w:r w:rsidR="00EE6855" w:rsidRPr="00EE6855">
        <w:rPr>
          <w:b/>
          <w:lang w:eastAsia="cs-CZ"/>
        </w:rPr>
        <w:t>řívod</w:t>
      </w:r>
      <w:r w:rsidR="00EE6855">
        <w:rPr>
          <w:lang w:eastAsia="cs-CZ"/>
        </w:rPr>
        <w:t xml:space="preserve"> (</w:t>
      </w:r>
      <w:proofErr w:type="spellStart"/>
      <w:r w:rsidR="00EE6855" w:rsidRPr="00941654">
        <w:rPr>
          <w:i/>
          <w:iCs/>
          <w:lang w:eastAsia="cs-CZ"/>
        </w:rPr>
        <w:t>intake</w:t>
      </w:r>
      <w:proofErr w:type="spellEnd"/>
      <w:r w:rsidR="00EE6855">
        <w:rPr>
          <w:lang w:eastAsia="cs-CZ"/>
        </w:rPr>
        <w:t xml:space="preserve">) = </w:t>
      </w:r>
      <w:r w:rsidR="008301E3">
        <w:rPr>
          <w:lang w:eastAsia="cs-CZ"/>
        </w:rPr>
        <w:t>konzumace potraviny (to, co sním)</w:t>
      </w:r>
    </w:p>
    <w:p w14:paraId="6CCD9EFD" w14:textId="7C25688A" w:rsidR="00646EF6" w:rsidRPr="00646EF6" w:rsidRDefault="00646EF6" w:rsidP="00646EF6">
      <w:pPr>
        <w:pStyle w:val="Odstavecseseznamem"/>
        <w:ind w:left="1416"/>
        <w:rPr>
          <w:bCs/>
          <w:lang w:eastAsia="cs-CZ"/>
        </w:rPr>
      </w:pPr>
      <w:r>
        <w:rPr>
          <w:bCs/>
          <w:lang w:eastAsia="cs-CZ"/>
        </w:rPr>
        <w:t xml:space="preserve">Např. </w:t>
      </w:r>
      <w:r w:rsidR="00153BEB">
        <w:rPr>
          <w:bCs/>
          <w:lang w:eastAsia="cs-CZ"/>
        </w:rPr>
        <w:t xml:space="preserve">Nadměrný </w:t>
      </w:r>
      <w:r>
        <w:rPr>
          <w:bCs/>
          <w:lang w:eastAsia="cs-CZ"/>
        </w:rPr>
        <w:t xml:space="preserve">přívod nasycených tuků </w:t>
      </w:r>
      <w:r w:rsidR="00153BEB">
        <w:rPr>
          <w:bCs/>
          <w:lang w:eastAsia="cs-CZ"/>
        </w:rPr>
        <w:t>přispívá ke vzniku řady onemocnění.</w:t>
      </w:r>
    </w:p>
    <w:p w14:paraId="03DFB371" w14:textId="4DDC534B" w:rsidR="00EE6855" w:rsidRDefault="00153BEB" w:rsidP="00EE6855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b/>
          <w:lang w:eastAsia="cs-CZ"/>
        </w:rPr>
        <w:t>P</w:t>
      </w:r>
      <w:r w:rsidR="00EE6855" w:rsidRPr="00EE6855">
        <w:rPr>
          <w:b/>
          <w:lang w:eastAsia="cs-CZ"/>
        </w:rPr>
        <w:t>říjem</w:t>
      </w:r>
      <w:r w:rsidR="00EE6855">
        <w:rPr>
          <w:lang w:eastAsia="cs-CZ"/>
        </w:rPr>
        <w:t xml:space="preserve"> (</w:t>
      </w:r>
      <w:proofErr w:type="spellStart"/>
      <w:r w:rsidR="00EE6855" w:rsidRPr="00941654">
        <w:rPr>
          <w:i/>
          <w:iCs/>
          <w:lang w:eastAsia="cs-CZ"/>
        </w:rPr>
        <w:t>uptake</w:t>
      </w:r>
      <w:proofErr w:type="spellEnd"/>
      <w:r w:rsidR="00EE6855">
        <w:rPr>
          <w:lang w:eastAsia="cs-CZ"/>
        </w:rPr>
        <w:t xml:space="preserve">) = </w:t>
      </w:r>
      <w:r w:rsidR="008301E3">
        <w:rPr>
          <w:lang w:eastAsia="cs-CZ"/>
        </w:rPr>
        <w:t>absorpce ze střeva</w:t>
      </w:r>
      <w:r>
        <w:rPr>
          <w:lang w:eastAsia="cs-CZ"/>
        </w:rPr>
        <w:t xml:space="preserve"> (množství, které se vstřebá do krve)</w:t>
      </w:r>
    </w:p>
    <w:p w14:paraId="46581801" w14:textId="0ED76E15" w:rsidR="00646EF6" w:rsidRPr="00646EF6" w:rsidRDefault="00646EF6" w:rsidP="00646EF6">
      <w:pPr>
        <w:pStyle w:val="Odstavecseseznamem"/>
        <w:ind w:left="1416"/>
        <w:rPr>
          <w:bCs/>
          <w:lang w:eastAsia="cs-CZ"/>
        </w:rPr>
      </w:pPr>
      <w:r>
        <w:rPr>
          <w:bCs/>
          <w:lang w:eastAsia="cs-CZ"/>
        </w:rPr>
        <w:t xml:space="preserve">Např. </w:t>
      </w:r>
      <w:r w:rsidR="00153BEB">
        <w:rPr>
          <w:bCs/>
          <w:lang w:eastAsia="cs-CZ"/>
        </w:rPr>
        <w:t>U seniorů je nutné dbát na dostatečná příjem energie.</w:t>
      </w:r>
    </w:p>
    <w:p w14:paraId="37F39CF0" w14:textId="29866EB9" w:rsidR="00EE6855" w:rsidRDefault="00153BEB" w:rsidP="00123B45">
      <w:pPr>
        <w:rPr>
          <w:lang w:eastAsia="cs-CZ"/>
        </w:rPr>
      </w:pPr>
      <w:r>
        <w:rPr>
          <w:bCs/>
          <w:lang w:eastAsia="cs-CZ"/>
        </w:rPr>
        <w:t xml:space="preserve">Dalším důležitým pojmem je tzv. </w:t>
      </w:r>
      <w:proofErr w:type="spellStart"/>
      <w:r w:rsidRPr="00CE7393">
        <w:rPr>
          <w:b/>
          <w:lang w:eastAsia="cs-CZ"/>
        </w:rPr>
        <w:t>b</w:t>
      </w:r>
      <w:r w:rsidR="00EE6855" w:rsidRPr="00123B45">
        <w:rPr>
          <w:b/>
          <w:lang w:eastAsia="cs-CZ"/>
        </w:rPr>
        <w:t>iodostupnost</w:t>
      </w:r>
      <w:proofErr w:type="spellEnd"/>
      <w:r w:rsidR="00EE6855">
        <w:rPr>
          <w:lang w:eastAsia="cs-CZ"/>
        </w:rPr>
        <w:t xml:space="preserve"> (</w:t>
      </w:r>
      <w:proofErr w:type="spellStart"/>
      <w:r w:rsidR="00EE6855" w:rsidRPr="00941654">
        <w:rPr>
          <w:i/>
          <w:iCs/>
          <w:lang w:eastAsia="cs-CZ"/>
        </w:rPr>
        <w:t>bioavalability</w:t>
      </w:r>
      <w:proofErr w:type="spellEnd"/>
      <w:r w:rsidR="00EE6855">
        <w:rPr>
          <w:lang w:eastAsia="cs-CZ"/>
        </w:rPr>
        <w:t>)</w:t>
      </w:r>
      <w:r w:rsidR="00CE7393">
        <w:rPr>
          <w:lang w:eastAsia="cs-CZ"/>
        </w:rPr>
        <w:t>, která stanovuje rychlost</w:t>
      </w:r>
      <w:r w:rsidR="003B428A">
        <w:rPr>
          <w:lang w:eastAsia="cs-CZ"/>
        </w:rPr>
        <w:t>,</w:t>
      </w:r>
      <w:r w:rsidR="00CE7393">
        <w:rPr>
          <w:lang w:eastAsia="cs-CZ"/>
        </w:rPr>
        <w:t xml:space="preserve"> rozsah absorpce a využití daného nutrientu. </w:t>
      </w:r>
      <w:proofErr w:type="spellStart"/>
      <w:r w:rsidR="00CE7393">
        <w:rPr>
          <w:lang w:eastAsia="cs-CZ"/>
        </w:rPr>
        <w:t>Biodostupnost</w:t>
      </w:r>
      <w:proofErr w:type="spellEnd"/>
      <w:r w:rsidR="00CE7393">
        <w:rPr>
          <w:lang w:eastAsia="cs-CZ"/>
        </w:rPr>
        <w:t xml:space="preserve"> ovlivňují:</w:t>
      </w:r>
    </w:p>
    <w:p w14:paraId="634F0881" w14:textId="5997279C" w:rsidR="00CE7393" w:rsidRDefault="00CE7393" w:rsidP="00CE739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Účinnost trávícího systému</w:t>
      </w:r>
    </w:p>
    <w:p w14:paraId="16D7771F" w14:textId="4CED0039" w:rsidR="00CE7393" w:rsidRDefault="00CE7393" w:rsidP="00CE739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Nutriční stav a předchozí nutriční přívod</w:t>
      </w:r>
    </w:p>
    <w:p w14:paraId="3B2E66B6" w14:textId="73672369" w:rsidR="00CE7393" w:rsidRDefault="00CE7393" w:rsidP="00CE739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Jiné současně konzumované potraviny</w:t>
      </w:r>
    </w:p>
    <w:p w14:paraId="56C67525" w14:textId="1906030A" w:rsidR="00CE7393" w:rsidRDefault="00CE7393" w:rsidP="00CE7393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Technologická úprava (vařené x syrové)</w:t>
      </w:r>
    </w:p>
    <w:p w14:paraId="16AF5175" w14:textId="19927135" w:rsidR="00CE7393" w:rsidRDefault="00CE7393" w:rsidP="00CE7393">
      <w:pPr>
        <w:pStyle w:val="Odstavecseseznamem"/>
        <w:numPr>
          <w:ilvl w:val="0"/>
          <w:numId w:val="6"/>
        </w:numPr>
        <w:rPr>
          <w:lang w:eastAsia="cs-CZ"/>
        </w:rPr>
      </w:pPr>
      <w:r w:rsidRPr="049C5AC5">
        <w:rPr>
          <w:lang w:eastAsia="cs-CZ"/>
        </w:rPr>
        <w:t>Zdroje nutrientu (přirozené, fortifikované, syntetické)</w:t>
      </w:r>
    </w:p>
    <w:p w14:paraId="220DB6C1" w14:textId="77777777" w:rsidR="00941654" w:rsidRPr="00470828" w:rsidRDefault="00941654" w:rsidP="00941654">
      <w:pPr>
        <w:pStyle w:val="Odstavecseseznamem"/>
        <w:rPr>
          <w:lang w:eastAsia="cs-CZ"/>
        </w:rPr>
      </w:pPr>
    </w:p>
    <w:p w14:paraId="3BFDD687" w14:textId="34640DF8" w:rsidR="00277768" w:rsidRDefault="00277768" w:rsidP="00277768">
      <w:r>
        <w:t>Mezi makroelementy patří vápník, hořčík, fosfor,</w:t>
      </w:r>
      <w:r w:rsidR="00D350D3">
        <w:t xml:space="preserve"> síra,</w:t>
      </w:r>
      <w:r>
        <w:t xml:space="preserve"> chlór, draslík a sodík. </w:t>
      </w:r>
    </w:p>
    <w:p w14:paraId="3F4C0E34" w14:textId="1ECBE574" w:rsidR="00EF39D8" w:rsidRDefault="00EF39D8" w:rsidP="001429A1">
      <w:pPr>
        <w:pStyle w:val="Podnadpis"/>
        <w:rPr>
          <w:lang w:eastAsia="cs-CZ"/>
        </w:rPr>
      </w:pPr>
      <w:r w:rsidRPr="500A5541">
        <w:rPr>
          <w:lang w:eastAsia="cs-CZ"/>
        </w:rPr>
        <w:t>Vápník</w:t>
      </w:r>
    </w:p>
    <w:p w14:paraId="54840CEF" w14:textId="1260FE77" w:rsidR="7843C9F6" w:rsidRDefault="7843C9F6" w:rsidP="500A5541">
      <w:pPr>
        <w:rPr>
          <w:b/>
          <w:bCs/>
          <w:caps/>
          <w:lang w:eastAsia="cs-CZ"/>
        </w:rPr>
      </w:pPr>
      <w:r w:rsidRPr="500A5541">
        <w:rPr>
          <w:lang w:eastAsia="cs-CZ"/>
        </w:rPr>
        <w:t xml:space="preserve">Vápník je nejhojněji zastoupenou minerální látkou v lidském těle, kde se podílí především na tvorbě a udržování tvrdých tkání. Přibližně 98 % veškerého vápníku je uloženo v kostech, které slouží jako zásobárna vápníku a pomáhají udržovat jeho hladinu v těle, což je klíčové pro zachování homeostázy (rovnováhy). Více než 99 % vápníku je v těle přítomno ve formě </w:t>
      </w:r>
      <w:proofErr w:type="spellStart"/>
      <w:r w:rsidRPr="500A5541">
        <w:rPr>
          <w:lang w:eastAsia="cs-CZ"/>
        </w:rPr>
        <w:t>hydroxyapatitu</w:t>
      </w:r>
      <w:proofErr w:type="spellEnd"/>
      <w:r w:rsidRPr="500A5541">
        <w:rPr>
          <w:lang w:eastAsia="cs-CZ"/>
        </w:rPr>
        <w:t xml:space="preserve">, což je anorganická sloučenina vápníku a fosfátu uložená v kostech a zubech. Zatímco zuby zůstávají většinou stabilní, kosti procházejí neustálou </w:t>
      </w:r>
      <w:proofErr w:type="spellStart"/>
      <w:r w:rsidRPr="500A5541">
        <w:rPr>
          <w:lang w:eastAsia="cs-CZ"/>
        </w:rPr>
        <w:t>remodelací</w:t>
      </w:r>
      <w:proofErr w:type="spellEnd"/>
      <w:r w:rsidRPr="500A5541">
        <w:rPr>
          <w:lang w:eastAsia="cs-CZ"/>
        </w:rPr>
        <w:t xml:space="preserve">, při které se </w:t>
      </w:r>
      <w:r w:rsidRPr="500A5541">
        <w:rPr>
          <w:lang w:eastAsia="cs-CZ"/>
        </w:rPr>
        <w:lastRenderedPageBreak/>
        <w:t>stará kostní hmota odbourává (resorpce) a nová se tvoří. Tento proces je důležitý pro růst, opravy poškození kostí a udržování optimální hladiny vápníku v krvi.</w:t>
      </w:r>
    </w:p>
    <w:p w14:paraId="0A0202E8" w14:textId="241CDDF0" w:rsidR="7843C9F6" w:rsidRDefault="7843C9F6" w:rsidP="500A5541">
      <w:r w:rsidRPr="500A5541">
        <w:rPr>
          <w:lang w:eastAsia="cs-CZ"/>
        </w:rPr>
        <w:t>Kromě toho má vápník důležité funkce mimo kostní systém. Podílí se na kontrakci hladkého svalstva a srdečního svalu (myokardu), reguluje nervosvalovou dráždivost, zajišťuje přenos signálů mezi buňkami a je nezbytný pro proces srážení krve.</w:t>
      </w:r>
    </w:p>
    <w:p w14:paraId="5FD7EF5B" w14:textId="2091867F" w:rsidR="500A5541" w:rsidRDefault="500A5541" w:rsidP="500A5541">
      <w:pPr>
        <w:rPr>
          <w:lang w:eastAsia="cs-CZ"/>
        </w:rPr>
      </w:pPr>
    </w:p>
    <w:p w14:paraId="11FFE6E7" w14:textId="46B2934B" w:rsidR="00F35B00" w:rsidRPr="00383A36" w:rsidRDefault="00F35B00" w:rsidP="00F35B00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2149E59D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srážlivosti krve</w:t>
      </w:r>
      <w:r w:rsidRPr="00383A36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2AFA8CA1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normálnímu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energetickému metabolismu</w:t>
      </w:r>
      <w:r w:rsidRPr="00383A36">
        <w:rPr>
          <w:lang w:eastAsia="cs-CZ"/>
        </w:rPr>
        <w:t>.</w:t>
      </w:r>
      <w:r>
        <w:rPr>
          <w:lang w:eastAsia="cs-CZ"/>
        </w:rPr>
        <w:t xml:space="preserve"> </w:t>
      </w:r>
    </w:p>
    <w:p w14:paraId="68F1D919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činnosti svalů</w:t>
      </w:r>
      <w:r>
        <w:rPr>
          <w:lang w:eastAsia="cs-CZ"/>
        </w:rPr>
        <w:t>.</w:t>
      </w:r>
    </w:p>
    <w:p w14:paraId="21228168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funkci nervových přenosů</w:t>
      </w:r>
      <w:r>
        <w:rPr>
          <w:lang w:eastAsia="cs-CZ"/>
        </w:rPr>
        <w:t>.</w:t>
      </w:r>
    </w:p>
    <w:p w14:paraId="43CB26C8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funkci trávicích enzymů</w:t>
      </w:r>
      <w:r>
        <w:rPr>
          <w:lang w:eastAsia="cs-CZ"/>
        </w:rPr>
        <w:t>.</w:t>
      </w:r>
    </w:p>
    <w:p w14:paraId="639BA2BE" w14:textId="77777777" w:rsidR="00F35B00" w:rsidRPr="00383A36" w:rsidRDefault="00F35B00" w:rsidP="00F35B00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se</w:t>
      </w:r>
      <w:r>
        <w:rPr>
          <w:lang w:eastAsia="cs-CZ"/>
        </w:rPr>
        <w:t xml:space="preserve"> </w:t>
      </w:r>
      <w:r w:rsidRPr="00383A36">
        <w:rPr>
          <w:lang w:eastAsia="cs-CZ"/>
        </w:rPr>
        <w:t>podílí</w:t>
      </w:r>
      <w:r>
        <w:rPr>
          <w:lang w:eastAsia="cs-CZ"/>
        </w:rPr>
        <w:t xml:space="preserve"> </w:t>
      </w:r>
      <w:r w:rsidRPr="00383A36">
        <w:rPr>
          <w:lang w:eastAsia="cs-CZ"/>
        </w:rPr>
        <w:t>na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procesu dělení a specializace buněk</w:t>
      </w:r>
      <w:r>
        <w:rPr>
          <w:lang w:eastAsia="cs-CZ"/>
        </w:rPr>
        <w:t>.</w:t>
      </w:r>
    </w:p>
    <w:p w14:paraId="5F852596" w14:textId="5A64D739" w:rsidR="00F35B00" w:rsidRPr="00383A36" w:rsidRDefault="00F35B00" w:rsidP="00DD05C5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Vápník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je</w:t>
      </w:r>
      <w:r>
        <w:rPr>
          <w:lang w:eastAsia="cs-CZ"/>
        </w:rPr>
        <w:t xml:space="preserve"> </w:t>
      </w:r>
      <w:r w:rsidRPr="00383A36">
        <w:rPr>
          <w:lang w:eastAsia="cs-CZ"/>
        </w:rPr>
        <w:t>potřebný</w:t>
      </w:r>
      <w:r>
        <w:rPr>
          <w:lang w:eastAsia="cs-CZ"/>
        </w:rPr>
        <w:t xml:space="preserve"> </w:t>
      </w:r>
      <w:r w:rsidRPr="00383A36">
        <w:rPr>
          <w:lang w:eastAsia="cs-CZ"/>
        </w:rPr>
        <w:t>pro</w:t>
      </w:r>
      <w:r>
        <w:rPr>
          <w:lang w:eastAsia="cs-CZ"/>
        </w:rPr>
        <w:t xml:space="preserve"> </w:t>
      </w:r>
      <w:r w:rsidRPr="00383A36">
        <w:rPr>
          <w:lang w:eastAsia="cs-CZ"/>
        </w:rPr>
        <w:t>udržení</w:t>
      </w:r>
      <w:r>
        <w:rPr>
          <w:lang w:eastAsia="cs-CZ"/>
        </w:rPr>
        <w:t xml:space="preserve"> </w:t>
      </w:r>
      <w:r w:rsidRPr="00F35B00">
        <w:rPr>
          <w:b/>
          <w:bCs/>
          <w:lang w:eastAsia="cs-CZ"/>
        </w:rPr>
        <w:t>normálního stavu kostí a zubů</w:t>
      </w:r>
      <w:r>
        <w:rPr>
          <w:lang w:eastAsia="cs-CZ"/>
        </w:rPr>
        <w:t>.</w:t>
      </w:r>
    </w:p>
    <w:p w14:paraId="74FC905F" w14:textId="77777777" w:rsidR="00DD05C5" w:rsidRDefault="00DD05C5" w:rsidP="00DD05C5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Výživová doporučená dávka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842"/>
        <w:gridCol w:w="2220"/>
      </w:tblGrid>
      <w:tr w:rsidR="00DD05C5" w14:paraId="50CE2082" w14:textId="77777777" w:rsidTr="009A59ED">
        <w:trPr>
          <w:trHeight w:val="454"/>
        </w:trPr>
        <w:tc>
          <w:tcPr>
            <w:tcW w:w="3775" w:type="pct"/>
          </w:tcPr>
          <w:p w14:paraId="183B8C45" w14:textId="77777777" w:rsidR="00DD05C5" w:rsidRPr="009335E2" w:rsidRDefault="00DD05C5" w:rsidP="00B044EC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Věk</w:t>
            </w:r>
          </w:p>
        </w:tc>
        <w:tc>
          <w:tcPr>
            <w:tcW w:w="1225" w:type="pct"/>
          </w:tcPr>
          <w:p w14:paraId="3F80F1EE" w14:textId="77777777" w:rsidR="00DD05C5" w:rsidRPr="009335E2" w:rsidRDefault="00DD05C5" w:rsidP="00B044EC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VDD</w:t>
            </w:r>
          </w:p>
        </w:tc>
      </w:tr>
      <w:tr w:rsidR="00DD05C5" w14:paraId="63B25344" w14:textId="77777777" w:rsidTr="009A59ED">
        <w:trPr>
          <w:trHeight w:val="454"/>
        </w:trPr>
        <w:tc>
          <w:tcPr>
            <w:tcW w:w="3775" w:type="pct"/>
          </w:tcPr>
          <w:p w14:paraId="0EC20E65" w14:textId="77777777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7–11 měsíců</w:t>
            </w:r>
          </w:p>
        </w:tc>
        <w:tc>
          <w:tcPr>
            <w:tcW w:w="1225" w:type="pct"/>
          </w:tcPr>
          <w:p w14:paraId="45AEF323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280 mg</w:t>
            </w:r>
          </w:p>
        </w:tc>
      </w:tr>
      <w:tr w:rsidR="00DD05C5" w14:paraId="7076A81E" w14:textId="77777777" w:rsidTr="009A59ED">
        <w:trPr>
          <w:trHeight w:val="454"/>
        </w:trPr>
        <w:tc>
          <w:tcPr>
            <w:tcW w:w="3775" w:type="pct"/>
          </w:tcPr>
          <w:p w14:paraId="4B313178" w14:textId="77777777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1–3 roky</w:t>
            </w:r>
          </w:p>
        </w:tc>
        <w:tc>
          <w:tcPr>
            <w:tcW w:w="1225" w:type="pct"/>
          </w:tcPr>
          <w:p w14:paraId="3943934C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450 mg</w:t>
            </w:r>
          </w:p>
        </w:tc>
      </w:tr>
      <w:tr w:rsidR="00DD05C5" w14:paraId="495F83A7" w14:textId="77777777" w:rsidTr="009A59ED">
        <w:trPr>
          <w:trHeight w:val="454"/>
        </w:trPr>
        <w:tc>
          <w:tcPr>
            <w:tcW w:w="3775" w:type="pct"/>
          </w:tcPr>
          <w:p w14:paraId="131C7B1E" w14:textId="1D57C5B5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4–</w:t>
            </w:r>
            <w:r w:rsidR="001E0766">
              <w:rPr>
                <w:lang w:eastAsia="cs-CZ"/>
              </w:rPr>
              <w:t>10</w:t>
            </w:r>
            <w:r w:rsidRPr="009335E2">
              <w:rPr>
                <w:lang w:eastAsia="cs-CZ"/>
              </w:rPr>
              <w:t xml:space="preserve"> let</w:t>
            </w:r>
          </w:p>
        </w:tc>
        <w:tc>
          <w:tcPr>
            <w:tcW w:w="1225" w:type="pct"/>
          </w:tcPr>
          <w:p w14:paraId="46ABD6E2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800 mg</w:t>
            </w:r>
          </w:p>
        </w:tc>
      </w:tr>
      <w:tr w:rsidR="00DD05C5" w14:paraId="224A2317" w14:textId="77777777" w:rsidTr="009A59ED">
        <w:trPr>
          <w:trHeight w:val="454"/>
        </w:trPr>
        <w:tc>
          <w:tcPr>
            <w:tcW w:w="3775" w:type="pct"/>
          </w:tcPr>
          <w:p w14:paraId="7B51840D" w14:textId="77777777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11–17 let</w:t>
            </w:r>
          </w:p>
        </w:tc>
        <w:tc>
          <w:tcPr>
            <w:tcW w:w="1225" w:type="pct"/>
          </w:tcPr>
          <w:p w14:paraId="0143D4DF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1 150 mg</w:t>
            </w:r>
          </w:p>
        </w:tc>
      </w:tr>
      <w:tr w:rsidR="00DD05C5" w14:paraId="51B44DD0" w14:textId="77777777" w:rsidTr="009A59ED">
        <w:trPr>
          <w:trHeight w:val="454"/>
        </w:trPr>
        <w:tc>
          <w:tcPr>
            <w:tcW w:w="3775" w:type="pct"/>
          </w:tcPr>
          <w:p w14:paraId="1130E60D" w14:textId="77777777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18–24let</w:t>
            </w:r>
          </w:p>
        </w:tc>
        <w:tc>
          <w:tcPr>
            <w:tcW w:w="1225" w:type="pct"/>
          </w:tcPr>
          <w:p w14:paraId="1BF644A6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1 000 mg</w:t>
            </w:r>
          </w:p>
        </w:tc>
      </w:tr>
      <w:tr w:rsidR="00DD05C5" w14:paraId="1A1F8AC4" w14:textId="77777777" w:rsidTr="009A59ED">
        <w:trPr>
          <w:trHeight w:val="454"/>
        </w:trPr>
        <w:tc>
          <w:tcPr>
            <w:tcW w:w="3775" w:type="pct"/>
          </w:tcPr>
          <w:p w14:paraId="0D19FAEC" w14:textId="77777777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rFonts w:cs="Times New Roman"/>
                <w:lang w:eastAsia="cs-CZ"/>
              </w:rPr>
              <w:t>≥ 25</w:t>
            </w:r>
            <w:r w:rsidRPr="009335E2">
              <w:rPr>
                <w:lang w:eastAsia="cs-CZ"/>
              </w:rPr>
              <w:t xml:space="preserve"> let</w:t>
            </w:r>
          </w:p>
        </w:tc>
        <w:tc>
          <w:tcPr>
            <w:tcW w:w="1225" w:type="pct"/>
          </w:tcPr>
          <w:p w14:paraId="38BBDD24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950 mg</w:t>
            </w:r>
          </w:p>
        </w:tc>
      </w:tr>
      <w:tr w:rsidR="00DD05C5" w14:paraId="02FF62E6" w14:textId="77777777" w:rsidTr="009A59ED">
        <w:trPr>
          <w:trHeight w:val="454"/>
        </w:trPr>
        <w:tc>
          <w:tcPr>
            <w:tcW w:w="3775" w:type="pct"/>
          </w:tcPr>
          <w:p w14:paraId="471B4F21" w14:textId="13C80664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 xml:space="preserve">Těhotné </w:t>
            </w:r>
            <w:r w:rsidR="001E0766" w:rsidRPr="00B70CB8">
              <w:rPr>
                <w:lang w:eastAsia="cs-CZ"/>
              </w:rPr>
              <w:t>a kojící</w:t>
            </w:r>
            <w:r w:rsidR="001E0766">
              <w:rPr>
                <w:lang w:eastAsia="cs-CZ"/>
              </w:rPr>
              <w:t xml:space="preserve"> </w:t>
            </w:r>
            <w:r w:rsidRPr="009335E2">
              <w:rPr>
                <w:lang w:eastAsia="cs-CZ"/>
              </w:rPr>
              <w:t>ženy (18–24 let)</w:t>
            </w:r>
          </w:p>
        </w:tc>
        <w:tc>
          <w:tcPr>
            <w:tcW w:w="1225" w:type="pct"/>
          </w:tcPr>
          <w:p w14:paraId="7DB77B3A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1 000 mg</w:t>
            </w:r>
          </w:p>
        </w:tc>
      </w:tr>
      <w:tr w:rsidR="00DD05C5" w14:paraId="5A0EAED9" w14:textId="77777777" w:rsidTr="009A59ED">
        <w:trPr>
          <w:trHeight w:val="454"/>
        </w:trPr>
        <w:tc>
          <w:tcPr>
            <w:tcW w:w="3775" w:type="pct"/>
          </w:tcPr>
          <w:p w14:paraId="1A81CABA" w14:textId="2B9EBCA5" w:rsidR="00DD05C5" w:rsidRPr="009335E2" w:rsidRDefault="00DD05C5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Těhotné</w:t>
            </w:r>
            <w:r w:rsidR="001E0766">
              <w:rPr>
                <w:lang w:eastAsia="cs-CZ"/>
              </w:rPr>
              <w:t xml:space="preserve"> </w:t>
            </w:r>
            <w:r w:rsidR="001E0766" w:rsidRPr="00B70CB8">
              <w:rPr>
                <w:lang w:eastAsia="cs-CZ"/>
              </w:rPr>
              <w:t>a kojící</w:t>
            </w:r>
            <w:r w:rsidRPr="009335E2">
              <w:rPr>
                <w:lang w:eastAsia="cs-CZ"/>
              </w:rPr>
              <w:t xml:space="preserve"> ženy (</w:t>
            </w:r>
            <w:r w:rsidRPr="009335E2">
              <w:rPr>
                <w:rFonts w:cs="Times New Roman"/>
                <w:lang w:eastAsia="cs-CZ"/>
              </w:rPr>
              <w:t>≥</w:t>
            </w:r>
            <w:r w:rsidRPr="009335E2">
              <w:rPr>
                <w:lang w:eastAsia="cs-CZ"/>
              </w:rPr>
              <w:t xml:space="preserve"> 25 let)</w:t>
            </w:r>
          </w:p>
        </w:tc>
        <w:tc>
          <w:tcPr>
            <w:tcW w:w="1225" w:type="pct"/>
          </w:tcPr>
          <w:p w14:paraId="004B0BC2" w14:textId="77777777" w:rsidR="00DD05C5" w:rsidRDefault="00DD05C5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950 mg</w:t>
            </w:r>
          </w:p>
        </w:tc>
      </w:tr>
    </w:tbl>
    <w:p w14:paraId="1B8A3893" w14:textId="77777777" w:rsidR="00DD05C5" w:rsidRPr="00383A36" w:rsidRDefault="00DD05C5" w:rsidP="00DD05C5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49C5AC5">
        <w:rPr>
          <w:rFonts w:eastAsia="Times New Roman"/>
          <w:lang w:eastAsia="cs-CZ"/>
        </w:rPr>
        <w:t xml:space="preserve">Zdroje </w:t>
      </w:r>
    </w:p>
    <w:p w14:paraId="20A9162D" w14:textId="6E979A49" w:rsidR="00DD05C5" w:rsidRDefault="00DD05C5" w:rsidP="00DD05C5">
      <w:pPr>
        <w:rPr>
          <w:lang w:eastAsia="cs-CZ"/>
        </w:rPr>
      </w:pPr>
      <w:r w:rsidRPr="00383A36">
        <w:rPr>
          <w:lang w:eastAsia="cs-CZ"/>
        </w:rPr>
        <w:t>Asi</w:t>
      </w:r>
      <w:r>
        <w:rPr>
          <w:lang w:eastAsia="cs-CZ"/>
        </w:rPr>
        <w:t xml:space="preserve"> </w:t>
      </w:r>
      <w:r w:rsidRPr="00383A36">
        <w:rPr>
          <w:lang w:eastAsia="cs-CZ"/>
        </w:rPr>
        <w:t>2/3</w:t>
      </w:r>
      <w:r>
        <w:rPr>
          <w:lang w:eastAsia="cs-CZ"/>
        </w:rPr>
        <w:t xml:space="preserve"> </w:t>
      </w:r>
      <w:r w:rsidRPr="00383A36">
        <w:rPr>
          <w:lang w:eastAsia="cs-CZ"/>
        </w:rPr>
        <w:t>z</w:t>
      </w:r>
      <w:r>
        <w:rPr>
          <w:lang w:eastAsia="cs-CZ"/>
        </w:rPr>
        <w:t xml:space="preserve"> </w:t>
      </w:r>
      <w:r w:rsidRPr="00383A36">
        <w:rPr>
          <w:lang w:eastAsia="cs-CZ"/>
        </w:rPr>
        <w:t>celkového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přívodu</w:t>
      </w:r>
      <w:r>
        <w:rPr>
          <w:lang w:eastAsia="cs-CZ"/>
        </w:rPr>
        <w:t xml:space="preserve"> </w:t>
      </w:r>
      <w:r w:rsidRPr="00383A36">
        <w:rPr>
          <w:lang w:eastAsia="cs-CZ"/>
        </w:rPr>
        <w:t>vápníku</w:t>
      </w:r>
      <w:r>
        <w:rPr>
          <w:lang w:eastAsia="cs-CZ"/>
        </w:rPr>
        <w:t xml:space="preserve"> </w:t>
      </w:r>
      <w:r w:rsidRPr="00383A36">
        <w:rPr>
          <w:lang w:eastAsia="cs-CZ"/>
        </w:rPr>
        <w:t>tvoří</w:t>
      </w:r>
      <w:r>
        <w:rPr>
          <w:lang w:eastAsia="cs-CZ"/>
        </w:rPr>
        <w:t xml:space="preserve"> </w:t>
      </w:r>
      <w:r w:rsidR="0096441E">
        <w:rPr>
          <w:lang w:eastAsia="cs-CZ"/>
        </w:rPr>
        <w:t xml:space="preserve">mléko a </w:t>
      </w:r>
      <w:r w:rsidRPr="00383A36">
        <w:rPr>
          <w:lang w:eastAsia="cs-CZ"/>
        </w:rPr>
        <w:t>mléčné</w:t>
      </w:r>
      <w:r>
        <w:rPr>
          <w:lang w:eastAsia="cs-CZ"/>
        </w:rPr>
        <w:t xml:space="preserve"> </w:t>
      </w:r>
      <w:r w:rsidRPr="00383A36">
        <w:rPr>
          <w:lang w:eastAsia="cs-CZ"/>
        </w:rPr>
        <w:t>výrobky.</w:t>
      </w:r>
      <w:r>
        <w:rPr>
          <w:lang w:eastAsia="cs-CZ"/>
        </w:rPr>
        <w:t xml:space="preserve"> </w:t>
      </w:r>
      <w:r w:rsidRPr="00383A36">
        <w:rPr>
          <w:lang w:eastAsia="cs-CZ"/>
        </w:rPr>
        <w:t>Dalšími</w:t>
      </w:r>
      <w:r>
        <w:rPr>
          <w:lang w:eastAsia="cs-CZ"/>
        </w:rPr>
        <w:t xml:space="preserve"> významn</w:t>
      </w:r>
      <w:r w:rsidR="002E2F9A">
        <w:rPr>
          <w:lang w:eastAsia="cs-CZ"/>
        </w:rPr>
        <w:t>ý</w:t>
      </w:r>
      <w:r>
        <w:rPr>
          <w:lang w:eastAsia="cs-CZ"/>
        </w:rPr>
        <w:t xml:space="preserve">mi </w:t>
      </w:r>
      <w:r w:rsidRPr="00383A36">
        <w:rPr>
          <w:lang w:eastAsia="cs-CZ"/>
        </w:rPr>
        <w:t>zdroji</w:t>
      </w:r>
      <w:r>
        <w:rPr>
          <w:lang w:eastAsia="cs-CZ"/>
        </w:rPr>
        <w:t xml:space="preserve"> </w:t>
      </w:r>
      <w:r w:rsidRPr="00383A36">
        <w:rPr>
          <w:lang w:eastAsia="cs-CZ"/>
        </w:rPr>
        <w:t>jsou</w:t>
      </w:r>
      <w:r>
        <w:rPr>
          <w:lang w:eastAsia="cs-CZ"/>
        </w:rPr>
        <w:t xml:space="preserve"> </w:t>
      </w:r>
      <w:r w:rsidRPr="00383A36">
        <w:rPr>
          <w:lang w:eastAsia="cs-CZ"/>
        </w:rPr>
        <w:t>sardinky</w:t>
      </w:r>
      <w:r>
        <w:rPr>
          <w:lang w:eastAsia="cs-CZ"/>
        </w:rPr>
        <w:t xml:space="preserve"> </w:t>
      </w:r>
      <w:r w:rsidRPr="00383A36">
        <w:rPr>
          <w:lang w:eastAsia="cs-CZ"/>
        </w:rPr>
        <w:t>s</w:t>
      </w:r>
      <w:r>
        <w:rPr>
          <w:lang w:eastAsia="cs-CZ"/>
        </w:rPr>
        <w:t xml:space="preserve"> </w:t>
      </w:r>
      <w:r w:rsidRPr="00383A36">
        <w:rPr>
          <w:lang w:eastAsia="cs-CZ"/>
        </w:rPr>
        <w:t>kostmi,</w:t>
      </w:r>
      <w:r>
        <w:rPr>
          <w:lang w:eastAsia="cs-CZ"/>
        </w:rPr>
        <w:t xml:space="preserve"> </w:t>
      </w:r>
      <w:r w:rsidRPr="00383A36">
        <w:rPr>
          <w:lang w:eastAsia="cs-CZ"/>
        </w:rPr>
        <w:t>ořechy</w:t>
      </w:r>
      <w:r>
        <w:rPr>
          <w:lang w:eastAsia="cs-CZ"/>
        </w:rPr>
        <w:t xml:space="preserve"> </w:t>
      </w:r>
      <w:r w:rsidRPr="00383A36">
        <w:rPr>
          <w:lang w:eastAsia="cs-CZ"/>
        </w:rPr>
        <w:t>a</w:t>
      </w:r>
      <w:r>
        <w:rPr>
          <w:lang w:eastAsia="cs-CZ"/>
        </w:rPr>
        <w:t xml:space="preserve"> </w:t>
      </w:r>
      <w:r w:rsidRPr="00383A36">
        <w:rPr>
          <w:lang w:eastAsia="cs-CZ"/>
        </w:rPr>
        <w:t>olejnatá</w:t>
      </w:r>
      <w:r>
        <w:rPr>
          <w:lang w:eastAsia="cs-CZ"/>
        </w:rPr>
        <w:t xml:space="preserve"> </w:t>
      </w:r>
      <w:r w:rsidRPr="00383A36">
        <w:rPr>
          <w:lang w:eastAsia="cs-CZ"/>
        </w:rPr>
        <w:t>semena,</w:t>
      </w:r>
      <w:r>
        <w:rPr>
          <w:lang w:eastAsia="cs-CZ"/>
        </w:rPr>
        <w:t xml:space="preserve"> </w:t>
      </w:r>
      <w:r w:rsidR="002E2F9A">
        <w:rPr>
          <w:lang w:eastAsia="cs-CZ"/>
        </w:rPr>
        <w:t>tvrdá pitná voda</w:t>
      </w:r>
      <w:r>
        <w:rPr>
          <w:lang w:eastAsia="cs-CZ"/>
        </w:rPr>
        <w:t xml:space="preserve"> </w:t>
      </w:r>
      <w:r w:rsidRPr="00383A36">
        <w:rPr>
          <w:lang w:eastAsia="cs-CZ"/>
        </w:rPr>
        <w:t>a</w:t>
      </w:r>
      <w:r>
        <w:rPr>
          <w:lang w:eastAsia="cs-CZ"/>
        </w:rPr>
        <w:t xml:space="preserve"> </w:t>
      </w:r>
      <w:r w:rsidRPr="00383A36">
        <w:rPr>
          <w:lang w:eastAsia="cs-CZ"/>
        </w:rPr>
        <w:t>některé</w:t>
      </w:r>
      <w:r>
        <w:rPr>
          <w:lang w:eastAsia="cs-CZ"/>
        </w:rPr>
        <w:t xml:space="preserve"> </w:t>
      </w:r>
      <w:r w:rsidRPr="00383A36">
        <w:rPr>
          <w:lang w:eastAsia="cs-CZ"/>
        </w:rPr>
        <w:t>druhy</w:t>
      </w:r>
      <w:r>
        <w:rPr>
          <w:lang w:eastAsia="cs-CZ"/>
        </w:rPr>
        <w:t xml:space="preserve"> </w:t>
      </w:r>
      <w:r w:rsidRPr="00383A36">
        <w:rPr>
          <w:lang w:eastAsia="cs-CZ"/>
        </w:rPr>
        <w:t>zeleniny.</w:t>
      </w:r>
    </w:p>
    <w:p w14:paraId="4906E6D8" w14:textId="77777777" w:rsidR="00941654" w:rsidRPr="00383A36" w:rsidRDefault="00941654" w:rsidP="00DD05C5">
      <w:pPr>
        <w:rPr>
          <w:rFonts w:ascii="Segoe UI" w:hAnsi="Segoe UI" w:cs="Segoe UI"/>
          <w:sz w:val="18"/>
          <w:szCs w:val="18"/>
          <w:lang w:eastAsia="cs-CZ"/>
        </w:rPr>
      </w:pPr>
    </w:p>
    <w:p w14:paraId="11C48DB9" w14:textId="77777777" w:rsidR="00DD05C5" w:rsidRPr="009335E2" w:rsidRDefault="00DD05C5" w:rsidP="00DD05C5">
      <w:pPr>
        <w:rPr>
          <w:rFonts w:ascii="Segoe UI" w:hAnsi="Segoe UI" w:cs="Segoe UI"/>
          <w:b/>
          <w:sz w:val="18"/>
          <w:szCs w:val="18"/>
          <w:u w:val="single"/>
          <w:lang w:eastAsia="cs-CZ"/>
        </w:rPr>
      </w:pPr>
      <w:r w:rsidRPr="009335E2">
        <w:rPr>
          <w:b/>
          <w:u w:val="single"/>
          <w:lang w:eastAsia="cs-CZ"/>
        </w:rPr>
        <w:t>Využitelnost vápníku z potravin:</w:t>
      </w:r>
    </w:p>
    <w:p w14:paraId="3C7DAFB9" w14:textId="5C77107D" w:rsidR="00DD05C5" w:rsidRPr="00383A36" w:rsidRDefault="00961831" w:rsidP="00DD05C5">
      <w:pPr>
        <w:pStyle w:val="Odstavecseseznamem"/>
        <w:numPr>
          <w:ilvl w:val="0"/>
          <w:numId w:val="10"/>
        </w:numPr>
        <w:ind w:left="567"/>
        <w:rPr>
          <w:lang w:eastAsia="cs-CZ"/>
        </w:rPr>
      </w:pPr>
      <w:r>
        <w:lastRenderedPageBreak/>
        <w:t> ≥</w:t>
      </w:r>
      <w:r w:rsidR="00DD05C5" w:rsidRPr="00383A36">
        <w:rPr>
          <w:lang w:eastAsia="cs-CZ"/>
        </w:rPr>
        <w:t>50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%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brukvovitá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zelenina</w:t>
      </w:r>
      <w:r w:rsidR="002E2F9A">
        <w:rPr>
          <w:lang w:eastAsia="cs-CZ"/>
        </w:rPr>
        <w:t xml:space="preserve"> – květák, brokolice, kapusta, růžičková kapusta, hlávkové zelí, čínské zelí, kedluben, kadeřávek, řeřicha </w:t>
      </w:r>
    </w:p>
    <w:p w14:paraId="3CCB2AEB" w14:textId="52457682" w:rsidR="00DD05C5" w:rsidRPr="00383A36" w:rsidRDefault="00961831" w:rsidP="00DD05C5">
      <w:pPr>
        <w:pStyle w:val="Odstavecseseznamem"/>
        <w:numPr>
          <w:ilvl w:val="0"/>
          <w:numId w:val="10"/>
        </w:numPr>
        <w:ind w:left="567"/>
        <w:rPr>
          <w:lang w:eastAsia="cs-CZ"/>
        </w:rPr>
      </w:pPr>
      <w:r>
        <w:rPr>
          <w:rFonts w:cstheme="minorHAnsi"/>
          <w:lang w:eastAsia="cs-CZ"/>
        </w:rPr>
        <w:t>≈</w:t>
      </w:r>
      <w:r w:rsidR="00DD05C5" w:rsidRPr="00383A36">
        <w:rPr>
          <w:lang w:eastAsia="cs-CZ"/>
        </w:rPr>
        <w:t>30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%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mléko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a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mléčné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výrobky,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fortifikované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výrobky</w:t>
      </w:r>
      <w:r w:rsidR="00E92958">
        <w:rPr>
          <w:rStyle w:val="Znakapoznpodarou"/>
          <w:lang w:eastAsia="cs-CZ"/>
        </w:rPr>
        <w:footnoteReference w:id="2"/>
      </w:r>
      <w:r w:rsidR="00DD05C5">
        <w:rPr>
          <w:lang w:eastAsia="cs-CZ"/>
        </w:rPr>
        <w:t xml:space="preserve"> </w:t>
      </w:r>
      <w:r w:rsidR="002E2F9A">
        <w:rPr>
          <w:lang w:eastAsia="cs-CZ"/>
        </w:rPr>
        <w:t>(sójové nápoje, tofu, džusy)</w:t>
      </w:r>
    </w:p>
    <w:p w14:paraId="593A43A0" w14:textId="13638815" w:rsidR="00DD05C5" w:rsidRPr="00383A36" w:rsidRDefault="00961831" w:rsidP="00DD05C5">
      <w:pPr>
        <w:pStyle w:val="Odstavecseseznamem"/>
        <w:numPr>
          <w:ilvl w:val="0"/>
          <w:numId w:val="10"/>
        </w:numPr>
        <w:ind w:left="567"/>
        <w:rPr>
          <w:lang w:eastAsia="cs-CZ"/>
        </w:rPr>
      </w:pPr>
      <w:r>
        <w:rPr>
          <w:rFonts w:cstheme="minorHAnsi"/>
          <w:lang w:eastAsia="cs-CZ"/>
        </w:rPr>
        <w:t>≈</w:t>
      </w:r>
      <w:r w:rsidR="00DD05C5" w:rsidRPr="00383A36">
        <w:rPr>
          <w:lang w:eastAsia="cs-CZ"/>
        </w:rPr>
        <w:t>20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%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ořechy</w:t>
      </w:r>
      <w:r w:rsidR="002E2F9A">
        <w:rPr>
          <w:lang w:eastAsia="cs-CZ"/>
        </w:rPr>
        <w:t xml:space="preserve"> (mandle)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a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semena</w:t>
      </w:r>
      <w:r w:rsidR="002E2F9A">
        <w:rPr>
          <w:lang w:eastAsia="cs-CZ"/>
        </w:rPr>
        <w:t xml:space="preserve"> (sezamová semena)</w:t>
      </w:r>
      <w:r w:rsidR="00DD05C5" w:rsidRPr="00383A36">
        <w:rPr>
          <w:lang w:eastAsia="cs-CZ"/>
        </w:rPr>
        <w:t>,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fazole</w:t>
      </w:r>
      <w:r w:rsidR="00DD05C5">
        <w:rPr>
          <w:lang w:eastAsia="cs-CZ"/>
        </w:rPr>
        <w:t xml:space="preserve"> </w:t>
      </w:r>
    </w:p>
    <w:p w14:paraId="2B412B31" w14:textId="669F5A49" w:rsidR="00DD05C5" w:rsidRDefault="00961831" w:rsidP="00DD05C5">
      <w:pPr>
        <w:pStyle w:val="Odstavecseseznamem"/>
        <w:numPr>
          <w:ilvl w:val="0"/>
          <w:numId w:val="10"/>
        </w:numPr>
        <w:ind w:left="567"/>
        <w:rPr>
          <w:lang w:eastAsia="cs-CZ"/>
        </w:rPr>
      </w:pPr>
      <w:r>
        <w:t>≤</w:t>
      </w:r>
      <w:r w:rsidR="00DD05C5" w:rsidRPr="00383A36">
        <w:rPr>
          <w:lang w:eastAsia="cs-CZ"/>
        </w:rPr>
        <w:t>5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%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špenát,</w:t>
      </w:r>
      <w:r w:rsidR="00DD05C5">
        <w:rPr>
          <w:lang w:eastAsia="cs-CZ"/>
        </w:rPr>
        <w:t xml:space="preserve"> </w:t>
      </w:r>
      <w:r w:rsidR="00DD05C5" w:rsidRPr="00383A36">
        <w:rPr>
          <w:lang w:eastAsia="cs-CZ"/>
        </w:rPr>
        <w:t>rebarbora,</w:t>
      </w:r>
      <w:r w:rsidR="00DD05C5">
        <w:rPr>
          <w:lang w:eastAsia="cs-CZ"/>
        </w:rPr>
        <w:t xml:space="preserve"> </w:t>
      </w:r>
    </w:p>
    <w:p w14:paraId="6E6B3AA8" w14:textId="77777777" w:rsidR="00E92958" w:rsidRDefault="00E92958" w:rsidP="00DD05C5">
      <w:pPr>
        <w:rPr>
          <w:lang w:eastAsia="cs-CZ"/>
        </w:rPr>
      </w:pPr>
      <w:r>
        <w:rPr>
          <w:lang w:eastAsia="cs-CZ"/>
        </w:rPr>
        <w:t>Využitelnost vápníku z potravin se liší kvůli různé střevní absorpci, která je ovlivňována několika fenomény. Střevní absorpci budou:</w:t>
      </w:r>
    </w:p>
    <w:p w14:paraId="33722CA6" w14:textId="77777777" w:rsidR="00B70CB8" w:rsidRDefault="00B70CB8" w:rsidP="00DD05C5">
      <w:pPr>
        <w:rPr>
          <w:lang w:eastAsia="cs-CZ"/>
        </w:rPr>
        <w:sectPr w:rsidR="00B70CB8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1FF994" w14:textId="4FF848C1" w:rsidR="00E92958" w:rsidRDefault="00E92958" w:rsidP="00DD05C5">
      <w:pPr>
        <w:rPr>
          <w:lang w:eastAsia="cs-CZ"/>
        </w:rPr>
      </w:pPr>
      <w:r>
        <w:rPr>
          <w:lang w:eastAsia="cs-CZ"/>
        </w:rPr>
        <w:t>Snižovat</w:t>
      </w:r>
      <w:r w:rsidR="00456A8F">
        <w:rPr>
          <w:rStyle w:val="Znakapoznpodarou"/>
          <w:lang w:eastAsia="cs-CZ"/>
        </w:rPr>
        <w:footnoteReference w:id="3"/>
      </w:r>
      <w:r w:rsidR="00941654" w:rsidRPr="42857160">
        <w:rPr>
          <w:lang w:eastAsia="cs-CZ"/>
        </w:rPr>
        <w:t>↓</w:t>
      </w:r>
    </w:p>
    <w:p w14:paraId="6D8AA0A5" w14:textId="77777777" w:rsidR="00554A73" w:rsidRDefault="00554A73" w:rsidP="00E92958">
      <w:pPr>
        <w:pStyle w:val="Odstavecseseznamem"/>
        <w:numPr>
          <w:ilvl w:val="0"/>
          <w:numId w:val="14"/>
        </w:numPr>
        <w:rPr>
          <w:lang w:eastAsia="cs-CZ"/>
        </w:rPr>
        <w:sectPr w:rsidR="00554A73" w:rsidSect="00B70C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A237F1" w14:textId="4F301B82" w:rsidR="00E92958" w:rsidRDefault="00E92958" w:rsidP="00E92958">
      <w:pPr>
        <w:pStyle w:val="Odstavecseseznamem"/>
        <w:numPr>
          <w:ilvl w:val="0"/>
          <w:numId w:val="14"/>
        </w:numPr>
        <w:rPr>
          <w:lang w:eastAsia="cs-CZ"/>
        </w:rPr>
      </w:pPr>
      <w:r w:rsidRPr="500A5541">
        <w:rPr>
          <w:lang w:eastAsia="cs-CZ"/>
        </w:rPr>
        <w:t xml:space="preserve">Oxaláty (špenát, rebarbora) </w:t>
      </w:r>
    </w:p>
    <w:p w14:paraId="2B4B55DC" w14:textId="77777777" w:rsidR="00AD10EF" w:rsidRDefault="00E92958" w:rsidP="00E92958">
      <w:pPr>
        <w:pStyle w:val="Odstavecseseznamem"/>
        <w:numPr>
          <w:ilvl w:val="0"/>
          <w:numId w:val="14"/>
        </w:numPr>
        <w:rPr>
          <w:lang w:eastAsia="cs-CZ"/>
        </w:rPr>
      </w:pPr>
      <w:proofErr w:type="spellStart"/>
      <w:r>
        <w:rPr>
          <w:lang w:eastAsia="cs-CZ"/>
        </w:rPr>
        <w:t>Fytáty</w:t>
      </w:r>
      <w:proofErr w:type="spellEnd"/>
      <w:r>
        <w:rPr>
          <w:lang w:eastAsia="cs-CZ"/>
        </w:rPr>
        <w:t xml:space="preserve"> (</w:t>
      </w:r>
      <w:r w:rsidR="00AD10EF">
        <w:rPr>
          <w:lang w:eastAsia="cs-CZ"/>
        </w:rPr>
        <w:t>ořechy, luštěniny, obiloviny)</w:t>
      </w:r>
    </w:p>
    <w:p w14:paraId="0EE66D4F" w14:textId="77777777" w:rsidR="00AD10EF" w:rsidRDefault="00AD10EF" w:rsidP="00E92958">
      <w:pPr>
        <w:pStyle w:val="Odstavecseseznamem"/>
        <w:numPr>
          <w:ilvl w:val="0"/>
          <w:numId w:val="14"/>
        </w:numPr>
        <w:rPr>
          <w:lang w:eastAsia="cs-CZ"/>
        </w:rPr>
      </w:pPr>
      <w:r w:rsidRPr="005E51D9">
        <w:rPr>
          <w:lang w:eastAsia="cs-CZ"/>
        </w:rPr>
        <w:t>Fosfáty</w:t>
      </w:r>
      <w:r>
        <w:rPr>
          <w:lang w:eastAsia="cs-CZ"/>
        </w:rPr>
        <w:t xml:space="preserve"> (uzeniny, tavené sýry)</w:t>
      </w:r>
    </w:p>
    <w:p w14:paraId="43624B1E" w14:textId="3C051BFE" w:rsidR="00AD10EF" w:rsidRDefault="00AD10EF" w:rsidP="00E92958">
      <w:pPr>
        <w:pStyle w:val="Odstavecseseznamem"/>
        <w:numPr>
          <w:ilvl w:val="0"/>
          <w:numId w:val="14"/>
        </w:numPr>
        <w:rPr>
          <w:lang w:eastAsia="cs-CZ"/>
        </w:rPr>
      </w:pPr>
      <w:r w:rsidRPr="500A5541">
        <w:rPr>
          <w:lang w:eastAsia="cs-CZ"/>
        </w:rPr>
        <w:t xml:space="preserve">Vysoký přívod vlákniny </w:t>
      </w:r>
    </w:p>
    <w:p w14:paraId="2620EBFB" w14:textId="77777777" w:rsidR="00A060D8" w:rsidRDefault="00AD10EF" w:rsidP="00906599">
      <w:pPr>
        <w:pStyle w:val="Odstavecseseznamem"/>
        <w:numPr>
          <w:ilvl w:val="0"/>
          <w:numId w:val="14"/>
        </w:numPr>
        <w:rPr>
          <w:lang w:eastAsia="cs-CZ"/>
        </w:rPr>
      </w:pPr>
      <w:r w:rsidRPr="005E51D9">
        <w:rPr>
          <w:lang w:eastAsia="cs-CZ"/>
        </w:rPr>
        <w:t>Nadbytek volných mastných kyselin</w:t>
      </w:r>
      <w:r w:rsidR="00A060D8">
        <w:rPr>
          <w:lang w:eastAsia="cs-CZ"/>
        </w:rPr>
        <w:t xml:space="preserve"> </w:t>
      </w:r>
    </w:p>
    <w:p w14:paraId="11CE4200" w14:textId="4339421E" w:rsidR="007F365D" w:rsidRDefault="007F365D" w:rsidP="00906599">
      <w:pPr>
        <w:pStyle w:val="Odstavecseseznamem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>Nadměrný přívod soli</w:t>
      </w:r>
      <w:r>
        <w:rPr>
          <w:rStyle w:val="Znakapoznpodarou"/>
          <w:lang w:eastAsia="cs-CZ"/>
        </w:rPr>
        <w:footnoteReference w:id="4"/>
      </w:r>
    </w:p>
    <w:p w14:paraId="08EF1DB0" w14:textId="77777777" w:rsidR="00A060D8" w:rsidRDefault="00A060D8" w:rsidP="00A060D8">
      <w:pPr>
        <w:pStyle w:val="Odstavecseseznamem"/>
        <w:ind w:left="360"/>
        <w:rPr>
          <w:lang w:eastAsia="cs-CZ"/>
        </w:rPr>
      </w:pPr>
    </w:p>
    <w:p w14:paraId="424125B3" w14:textId="5809BEF2" w:rsidR="00410B90" w:rsidRDefault="00410B90" w:rsidP="007F365D">
      <w:pPr>
        <w:rPr>
          <w:lang w:eastAsia="cs-CZ"/>
        </w:rPr>
      </w:pPr>
      <w:r>
        <w:rPr>
          <w:lang w:eastAsia="cs-CZ"/>
        </w:rPr>
        <w:t>Zvyšovat</w:t>
      </w:r>
      <w:r w:rsidR="00941654" w:rsidRPr="007F365D">
        <w:rPr>
          <w:rFonts w:cstheme="minorHAnsi"/>
          <w:lang w:eastAsia="cs-CZ"/>
        </w:rPr>
        <w:t>↑</w:t>
      </w:r>
    </w:p>
    <w:p w14:paraId="0AE416FD" w14:textId="77777777" w:rsidR="00410B90" w:rsidRDefault="00410B90" w:rsidP="00410B90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Vitamin D</w:t>
      </w:r>
    </w:p>
    <w:p w14:paraId="0CFCB729" w14:textId="77777777" w:rsidR="00410B90" w:rsidRDefault="00410B90" w:rsidP="00410B90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Kyselé prostředí</w:t>
      </w:r>
    </w:p>
    <w:p w14:paraId="30DCC4B6" w14:textId="77777777" w:rsidR="00410B90" w:rsidRDefault="00410B90" w:rsidP="00410B90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Obsah bílkovin</w:t>
      </w:r>
    </w:p>
    <w:p w14:paraId="14D3E17B" w14:textId="1BF8B2DF" w:rsidR="00DD05C5" w:rsidRDefault="00410B90" w:rsidP="0060749C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 xml:space="preserve">Poměr </w:t>
      </w:r>
      <w:proofErr w:type="spellStart"/>
      <w:proofErr w:type="gramStart"/>
      <w:r>
        <w:rPr>
          <w:lang w:eastAsia="cs-CZ"/>
        </w:rPr>
        <w:t>Vápník:Fosfor</w:t>
      </w:r>
      <w:proofErr w:type="spellEnd"/>
      <w:proofErr w:type="gramEnd"/>
      <w:r>
        <w:rPr>
          <w:lang w:eastAsia="cs-CZ"/>
        </w:rPr>
        <w:t xml:space="preserve"> ~ 1,4-1,9:1</w:t>
      </w:r>
    </w:p>
    <w:p w14:paraId="0634F380" w14:textId="77777777" w:rsidR="002C6218" w:rsidRDefault="002C6218" w:rsidP="002C6218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41AFE32C" w14:textId="66AFED71" w:rsidR="00A060D8" w:rsidRPr="002C6218" w:rsidRDefault="00A060D8" w:rsidP="002C6218">
      <w:pPr>
        <w:rPr>
          <w:rFonts w:cs="Times New Roman"/>
          <w:szCs w:val="24"/>
        </w:rPr>
      </w:pPr>
      <w:r w:rsidRPr="002C6218">
        <w:rPr>
          <w:rStyle w:val="cf01"/>
          <w:rFonts w:ascii="Times New Roman" w:hAnsi="Times New Roman" w:cs="Times New Roman"/>
          <w:sz w:val="24"/>
          <w:szCs w:val="24"/>
        </w:rPr>
        <w:t xml:space="preserve">Vápník se vstřebává jak aktivním transportem, tak pasivní difuzí přes střevní sliznici. Aktivní transport je zodpovědný za většinu absorpce, když je příjem vápníku nižší, a pasivní difúze představuje rostoucí podíl absorpce vápníku s rostoucím příjmem. Vitamin D je nezbytný k </w:t>
      </w:r>
      <w:r w:rsidRPr="002C6218">
        <w:rPr>
          <w:rStyle w:val="cf01"/>
          <w:rFonts w:ascii="Times New Roman" w:hAnsi="Times New Roman" w:cs="Times New Roman"/>
          <w:sz w:val="24"/>
          <w:szCs w:val="24"/>
        </w:rPr>
        <w:lastRenderedPageBreak/>
        <w:t>tomu, aby se vápník ve střevě vstřebával aktivním transportem a aby se udržovala přiměřená hladina vápníku v krvi.</w:t>
      </w:r>
    </w:p>
    <w:p w14:paraId="13AAF50A" w14:textId="77777777" w:rsidR="00A060D8" w:rsidRPr="002C6218" w:rsidRDefault="00A060D8" w:rsidP="002C6218">
      <w:pPr>
        <w:rPr>
          <w:rFonts w:cs="Times New Roman"/>
          <w:szCs w:val="24"/>
        </w:rPr>
      </w:pPr>
      <w:r w:rsidRPr="500A5541">
        <w:rPr>
          <w:rStyle w:val="cf01"/>
          <w:rFonts w:ascii="Times New Roman" w:hAnsi="Times New Roman" w:cs="Times New Roman"/>
          <w:sz w:val="24"/>
          <w:szCs w:val="24"/>
        </w:rPr>
        <w:t>Mezi příjmem a vstřebáváním vápníku existuje nepřímý vztah. Např. absorpce vápníku z potravy je přibližně 45 % při příjmu 200 mg/den, ale pouze 15 % při příjmu vyšším než 2 000 mg/den. Absorpci vápníku z potravy může ovlivnit také věk. Absorpce vápníku ze stravy dosahuje až 60 % u kojenců a malých dětí, které potřebují značné množství vápníku pro stavbu kostí, ale v dospělosti se snižuje na přibližně 25 % a s věkem dále klesá. Roli hrají i zásoby vápníku a vitaminu D v organismu, stav žaludku a střeva či onemocnění gastrointestinální soustavy. </w:t>
      </w:r>
    </w:p>
    <w:p w14:paraId="2EF38A0B" w14:textId="77B9BD93" w:rsidR="500A5541" w:rsidRDefault="500A5541" w:rsidP="500A5541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6317AA11" w14:textId="1F413249" w:rsidR="6FEF0545" w:rsidRDefault="6FEF0545" w:rsidP="500A5541">
      <w:pPr>
        <w:rPr>
          <w:rStyle w:val="cf01"/>
          <w:rFonts w:ascii="Times New Roman" w:hAnsi="Times New Roman" w:cs="Times New Roman"/>
          <w:sz w:val="24"/>
          <w:szCs w:val="24"/>
        </w:rPr>
      </w:pPr>
      <w:r w:rsidRPr="500A5541">
        <w:rPr>
          <w:rStyle w:val="cf01"/>
          <w:rFonts w:ascii="Times New Roman" w:hAnsi="Times New Roman" w:cs="Times New Roman"/>
          <w:sz w:val="24"/>
          <w:szCs w:val="24"/>
        </w:rPr>
        <w:t>Funkce</w:t>
      </w:r>
    </w:p>
    <w:p w14:paraId="42FDEA32" w14:textId="50548EBF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Jednou z jeho nejdůležitějších funkcí je podpora tvorby a udržování zdravých kostí a zubů. Přibližně 99 % veškerého vápníku v těle je uloženo právě v kostech a zubech, kde tvoří základní strukturu a zajišťuje jejich pevnost. V dětství a dospívání je vápník zásadní pro růst kostí, zatímco v dospělosti a stáří pomáhá udržovat kostní hmotu a předcházet osteoporóze.</w:t>
      </w:r>
    </w:p>
    <w:p w14:paraId="08E69461" w14:textId="249FB1FB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Kromě toho je vápník klíčový pro svalovou kontrakci, včetně srdečního svalu. Při přenosu nervových impulzů do svalů se vápník uvolňuje do svalových buněk a spouští jejich kontrakci, což je nezbytné pro pohyb i správnou funkci srdce. Tento proces je úzce spojen s jeho rolí v nervosvalové dráždivosti, kde pomáhá přenášet signály mezi nervovými buňkami a svalovými vlákny, což umožňuje koordinaci pohybu a svalovou aktivitu.</w:t>
      </w:r>
    </w:p>
    <w:p w14:paraId="49486309" w14:textId="79508854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 xml:space="preserve">Vápník je rovněž důležitý pro správnou funkci krevního koagulačního systému. Podílí se na několika fázích srážení krve, aktivuje koagulační faktory a umožňuje tvorbu krevní sraženiny, která zastavuje krvácení. </w:t>
      </w:r>
    </w:p>
    <w:p w14:paraId="1EB24D1C" w14:textId="1A52065C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Další zásadní funkcí vápníku je regulace intracelulární signalizace. Vápník funguje jako druhý posel uvnitř buněk a zprostředkovává přenos signálů, které aktivují různé biologické procesy, včetně uvolňování hormonů a enzymů. Tyto procesy jsou klíčové pro správnou funkci buněk a jejich reakce na vnější podněty.</w:t>
      </w:r>
    </w:p>
    <w:p w14:paraId="156E4695" w14:textId="06CA224B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Vápník také pomáhá udržovat acidobazickou rovnováhu v těle tím, že neutralizuje kyseliny a přispívá k udržení správného pH krve a tělních tekutin. Tento proces je důležitý pro správnou funkci enzymů a dalších biochemických reakcí v těle.</w:t>
      </w:r>
    </w:p>
    <w:p w14:paraId="1C8447BC" w14:textId="7A6D417D" w:rsidR="6FEF0545" w:rsidRDefault="6FEF0545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lastRenderedPageBreak/>
        <w:t>Navíc vápník podporuje hormonální a enzymatické procesy v těle, zejména uvolňování hormonů, jako je parathormon, který reguluje hladiny vápníku v krvi, a inzulin, který řídí hladinu cukru v krvi. Je také nezbytný pro aktivitu některých enzymů, které hrají roli v metabolismu.</w:t>
      </w:r>
    </w:p>
    <w:p w14:paraId="403CE33C" w14:textId="2150E4C1" w:rsidR="00DD05C5" w:rsidRDefault="004F5698" w:rsidP="00DD05C5">
      <w:pPr>
        <w:pStyle w:val="Nadpis3"/>
        <w:rPr>
          <w:rFonts w:eastAsia="Times New Roman"/>
          <w:lang w:eastAsia="cs-CZ"/>
        </w:rPr>
      </w:pPr>
      <w:r w:rsidRPr="049C5AC5">
        <w:rPr>
          <w:rFonts w:eastAsia="Times New Roman"/>
          <w:lang w:eastAsia="cs-CZ"/>
        </w:rPr>
        <w:t>Rizika</w:t>
      </w:r>
    </w:p>
    <w:p w14:paraId="37649502" w14:textId="1C587879" w:rsidR="004F5698" w:rsidRDefault="004F5698" w:rsidP="004F5698">
      <w:pPr>
        <w:rPr>
          <w:lang w:eastAsia="cs-CZ"/>
        </w:rPr>
      </w:pPr>
      <w:r>
        <w:rPr>
          <w:lang w:eastAsia="cs-CZ"/>
        </w:rPr>
        <w:t>Vysoký přívod (více jak 2</w:t>
      </w:r>
      <w:r w:rsidR="009E33BB">
        <w:rPr>
          <w:lang w:eastAsia="cs-CZ"/>
        </w:rPr>
        <w:t>,5</w:t>
      </w:r>
      <w:r>
        <w:rPr>
          <w:lang w:eastAsia="cs-CZ"/>
        </w:rPr>
        <w:t xml:space="preserve"> gram</w:t>
      </w:r>
      <w:r w:rsidR="009E33BB">
        <w:rPr>
          <w:lang w:eastAsia="cs-CZ"/>
        </w:rPr>
        <w:t>ů</w:t>
      </w:r>
      <w:r>
        <w:rPr>
          <w:lang w:eastAsia="cs-CZ"/>
        </w:rPr>
        <w:t xml:space="preserve"> denně)</w:t>
      </w:r>
    </w:p>
    <w:p w14:paraId="56E49A83" w14:textId="4AB7FC3B" w:rsidR="004F5698" w:rsidRDefault="004F5698" w:rsidP="004F5698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>vznik ledvinových kamenů</w:t>
      </w:r>
      <w:r w:rsidR="000D47CE">
        <w:rPr>
          <w:lang w:eastAsia="cs-CZ"/>
        </w:rPr>
        <w:t>, zhoršená funkce ledvin</w:t>
      </w:r>
    </w:p>
    <w:p w14:paraId="51B76497" w14:textId="7F2FB6AD" w:rsidR="00604082" w:rsidRDefault="000D47CE" w:rsidP="004F5698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>negativní vliv na</w:t>
      </w:r>
      <w:r w:rsidR="00604082">
        <w:rPr>
          <w:lang w:eastAsia="cs-CZ"/>
        </w:rPr>
        <w:t xml:space="preserve"> absorpc</w:t>
      </w:r>
      <w:r>
        <w:rPr>
          <w:lang w:eastAsia="cs-CZ"/>
        </w:rPr>
        <w:t>i</w:t>
      </w:r>
      <w:r w:rsidR="00604082">
        <w:rPr>
          <w:lang w:eastAsia="cs-CZ"/>
        </w:rPr>
        <w:t xml:space="preserve"> železa, zinku a hořčíku</w:t>
      </w:r>
    </w:p>
    <w:p w14:paraId="34D76818" w14:textId="77E2F621" w:rsidR="004F5698" w:rsidRDefault="004F5698" w:rsidP="004F5698">
      <w:pPr>
        <w:rPr>
          <w:lang w:eastAsia="cs-CZ"/>
        </w:rPr>
      </w:pPr>
      <w:r>
        <w:rPr>
          <w:lang w:eastAsia="cs-CZ"/>
        </w:rPr>
        <w:t>Nedostatek</w:t>
      </w:r>
    </w:p>
    <w:p w14:paraId="5909573C" w14:textId="4FD8B95C" w:rsidR="00604082" w:rsidRDefault="00604082" w:rsidP="00604082">
      <w:pPr>
        <w:pStyle w:val="Odstavecseseznamem"/>
        <w:numPr>
          <w:ilvl w:val="0"/>
          <w:numId w:val="19"/>
        </w:numPr>
        <w:rPr>
          <w:lang w:eastAsia="cs-CZ"/>
        </w:rPr>
      </w:pPr>
      <w:r>
        <w:rPr>
          <w:lang w:eastAsia="cs-CZ"/>
        </w:rPr>
        <w:t>Osteoporóza – progredující systémové onemocnění skeletu</w:t>
      </w:r>
    </w:p>
    <w:p w14:paraId="484BEB98" w14:textId="3BA2EF1C" w:rsidR="008924B0" w:rsidRDefault="00CC4028" w:rsidP="00604082">
      <w:pPr>
        <w:pStyle w:val="Odstavecseseznamem"/>
        <w:numPr>
          <w:ilvl w:val="0"/>
          <w:numId w:val="19"/>
        </w:numPr>
        <w:rPr>
          <w:lang w:eastAsia="cs-CZ"/>
        </w:rPr>
      </w:pPr>
      <w:r>
        <w:rPr>
          <w:lang w:eastAsia="cs-CZ"/>
        </w:rPr>
        <w:t>K</w:t>
      </w:r>
      <w:r w:rsidR="008924B0">
        <w:rPr>
          <w:lang w:eastAsia="cs-CZ"/>
        </w:rPr>
        <w:t>řeče</w:t>
      </w:r>
    </w:p>
    <w:p w14:paraId="56CF55E9" w14:textId="31460D74" w:rsidR="00CC4028" w:rsidRDefault="00CC4028" w:rsidP="00604082">
      <w:pPr>
        <w:pStyle w:val="Odstavecseseznamem"/>
        <w:numPr>
          <w:ilvl w:val="0"/>
          <w:numId w:val="19"/>
        </w:numPr>
        <w:rPr>
          <w:lang w:eastAsia="cs-CZ"/>
        </w:rPr>
      </w:pPr>
      <w:r w:rsidRPr="00CC4028">
        <w:rPr>
          <w:lang w:eastAsia="cs-CZ"/>
        </w:rPr>
        <w:t xml:space="preserve">Dle Monitoring dietární expozice člověka v ČR 2023 (prof. </w:t>
      </w:r>
      <w:proofErr w:type="spellStart"/>
      <w:r w:rsidRPr="00CC4028">
        <w:rPr>
          <w:lang w:eastAsia="cs-CZ"/>
        </w:rPr>
        <w:t>Ruprich</w:t>
      </w:r>
      <w:proofErr w:type="spellEnd"/>
      <w:r w:rsidRPr="00CC4028">
        <w:rPr>
          <w:lang w:eastAsia="cs-CZ"/>
        </w:rPr>
        <w:t>): Nízký přívod ve všech populačních skupinách, zejména u starších osob (60+).</w:t>
      </w:r>
    </w:p>
    <w:p w14:paraId="4570486A" w14:textId="020C0316" w:rsidR="004730C9" w:rsidRDefault="004730C9" w:rsidP="004730C9">
      <w:pPr>
        <w:rPr>
          <w:lang w:eastAsia="cs-CZ"/>
        </w:rPr>
      </w:pPr>
    </w:p>
    <w:p w14:paraId="21DF2229" w14:textId="59D05EA5" w:rsidR="004730C9" w:rsidRDefault="004730C9" w:rsidP="004730C9">
      <w:pPr>
        <w:rPr>
          <w:lang w:eastAsia="cs-CZ"/>
        </w:rPr>
      </w:pPr>
      <w:r>
        <w:rPr>
          <w:lang w:eastAsia="cs-CZ"/>
        </w:rPr>
        <w:t xml:space="preserve">Pokud by vás zajímalo, zda máte dostatečný přívod vápníku, lze využít následující odkaz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eastAsia="cs-CZ"/>
        </w:rPr>
        <w:t xml:space="preserve"> </w:t>
      </w:r>
      <w:r>
        <w:rPr>
          <w:lang w:eastAsia="cs-CZ"/>
        </w:rPr>
        <w:br/>
      </w:r>
      <w:hyperlink r:id="rId12" w:history="1">
        <w:r w:rsidRPr="00C749DD">
          <w:rPr>
            <w:rStyle w:val="Hypertextovodkaz"/>
            <w:lang w:eastAsia="cs-CZ"/>
          </w:rPr>
          <w:t>https://www.iofbonehealth.org/calcium-calculator</w:t>
        </w:r>
      </w:hyperlink>
    </w:p>
    <w:p w14:paraId="2A16CBB7" w14:textId="77777777" w:rsidR="004730C9" w:rsidRDefault="004730C9" w:rsidP="004730C9">
      <w:pPr>
        <w:rPr>
          <w:lang w:eastAsia="cs-CZ"/>
        </w:rPr>
      </w:pPr>
    </w:p>
    <w:p w14:paraId="15C6407F" w14:textId="3E3C1D78" w:rsidR="00355887" w:rsidRDefault="009179FB" w:rsidP="00B8174F">
      <w:pPr>
        <w:pStyle w:val="Podnadpis"/>
      </w:pPr>
      <w:r>
        <w:t>Hořčík</w:t>
      </w:r>
    </w:p>
    <w:p w14:paraId="28612F51" w14:textId="7FF7B593" w:rsidR="2C607E59" w:rsidRDefault="2C607E59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Hořčík je nezbytný pro správné fungování mnoha tělesných systémů. Více než polovina celkového množství hořčíku v organismu (přibližně 60 %) je uložena ve skeletu, kde se podílí na struktuře kostí. Zbytek se nachází ve svalech, srdci, játrech a dalších měkkých tkáních. Pouze méně než 1 % hořčíku se nachází v krevním séru, a jeho hladina je pečlivě regulována tělem.</w:t>
      </w:r>
    </w:p>
    <w:p w14:paraId="6232B977" w14:textId="02690B6F" w:rsidR="2C607E59" w:rsidRDefault="2C607E59" w:rsidP="500A5541">
      <w:pPr>
        <w:spacing w:before="240" w:after="240"/>
      </w:pPr>
      <w:r w:rsidRPr="500A5541">
        <w:rPr>
          <w:rFonts w:eastAsia="Times New Roman" w:cs="Times New Roman"/>
          <w:szCs w:val="24"/>
        </w:rPr>
        <w:t>Homeostáza hořčíku je z velké části řízena ledvinami, které regulují jeho vylučování močí. Ledviny obvykle vylučují přibližně 120 mg hořčíku denně, přičemž vylučování je sníženo, když je hladina hořčíku v krvi nízká, aby se zabránilo jeho nedostatku.</w:t>
      </w:r>
    </w:p>
    <w:p w14:paraId="10DC2AF1" w14:textId="77777777" w:rsidR="00F664A1" w:rsidRPr="00383A36" w:rsidRDefault="00F664A1" w:rsidP="00F664A1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69682921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ke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snížení míry únavy a vyčerpání</w:t>
      </w:r>
      <w:r>
        <w:rPr>
          <w:lang w:eastAsia="cs-CZ"/>
        </w:rPr>
        <w:t>.</w:t>
      </w:r>
    </w:p>
    <w:p w14:paraId="5BFEBF10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elektrolytické rovnováze</w:t>
      </w:r>
      <w:r>
        <w:rPr>
          <w:lang w:eastAsia="cs-CZ"/>
        </w:rPr>
        <w:t>.</w:t>
      </w:r>
    </w:p>
    <w:p w14:paraId="56F4AE1D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>normálnímu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energetickému metabolismu</w:t>
      </w:r>
      <w:r>
        <w:rPr>
          <w:lang w:eastAsia="cs-CZ"/>
        </w:rPr>
        <w:t>.</w:t>
      </w:r>
    </w:p>
    <w:p w14:paraId="03C87E8F" w14:textId="245B02B3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 xml:space="preserve">normální </w:t>
      </w:r>
      <w:r w:rsidRPr="00F664A1">
        <w:rPr>
          <w:b/>
          <w:bCs/>
          <w:lang w:eastAsia="cs-CZ"/>
        </w:rPr>
        <w:t>činnosti nervové soustavy</w:t>
      </w:r>
      <w:r w:rsidR="00A543A4">
        <w:rPr>
          <w:b/>
          <w:bCs/>
          <w:lang w:eastAsia="cs-CZ"/>
        </w:rPr>
        <w:t>.</w:t>
      </w:r>
    </w:p>
    <w:p w14:paraId="3DABD644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 xml:space="preserve">normální </w:t>
      </w:r>
      <w:r w:rsidRPr="00F664A1">
        <w:rPr>
          <w:b/>
          <w:bCs/>
          <w:lang w:eastAsia="cs-CZ"/>
        </w:rPr>
        <w:t>činnosti svalů.</w:t>
      </w:r>
    </w:p>
    <w:p w14:paraId="0447CFE4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lastRenderedPageBreak/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>normální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syntéze bílkovin</w:t>
      </w:r>
      <w:r>
        <w:rPr>
          <w:lang w:eastAsia="cs-CZ"/>
        </w:rPr>
        <w:t xml:space="preserve">. </w:t>
      </w:r>
    </w:p>
    <w:p w14:paraId="51FF017E" w14:textId="77777777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>normální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psychické činnosti</w:t>
      </w:r>
      <w:r>
        <w:rPr>
          <w:lang w:eastAsia="cs-CZ"/>
        </w:rPr>
        <w:t xml:space="preserve">. </w:t>
      </w:r>
    </w:p>
    <w:p w14:paraId="12087230" w14:textId="756B266A" w:rsidR="00F664A1" w:rsidRPr="00383A36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udržení</w:t>
      </w:r>
      <w:r>
        <w:rPr>
          <w:lang w:eastAsia="cs-CZ"/>
        </w:rPr>
        <w:t xml:space="preserve"> </w:t>
      </w:r>
      <w:r w:rsidRPr="00987533">
        <w:rPr>
          <w:b/>
          <w:bCs/>
          <w:lang w:eastAsia="cs-CZ"/>
        </w:rPr>
        <w:t xml:space="preserve">normálního </w:t>
      </w:r>
      <w:r w:rsidRPr="00F664A1">
        <w:rPr>
          <w:b/>
          <w:bCs/>
          <w:lang w:eastAsia="cs-CZ"/>
        </w:rPr>
        <w:t>stavu kostí a zubů.</w:t>
      </w:r>
    </w:p>
    <w:p w14:paraId="69116756" w14:textId="77777777" w:rsidR="00F664A1" w:rsidRPr="007F64C0" w:rsidRDefault="00F664A1" w:rsidP="00F664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Hořčík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se</w:t>
      </w:r>
      <w:r>
        <w:rPr>
          <w:lang w:eastAsia="cs-CZ"/>
        </w:rPr>
        <w:t xml:space="preserve"> </w:t>
      </w:r>
      <w:r w:rsidRPr="00383A36">
        <w:rPr>
          <w:lang w:eastAsia="cs-CZ"/>
        </w:rPr>
        <w:t>podílí</w:t>
      </w:r>
      <w:r>
        <w:rPr>
          <w:lang w:eastAsia="cs-CZ"/>
        </w:rPr>
        <w:t xml:space="preserve"> </w:t>
      </w:r>
      <w:r w:rsidRPr="00383A36">
        <w:rPr>
          <w:lang w:eastAsia="cs-CZ"/>
        </w:rPr>
        <w:t>na</w:t>
      </w:r>
      <w:r>
        <w:rPr>
          <w:lang w:eastAsia="cs-CZ"/>
        </w:rPr>
        <w:t xml:space="preserve"> </w:t>
      </w:r>
      <w:r w:rsidRPr="00F664A1">
        <w:rPr>
          <w:b/>
          <w:bCs/>
          <w:lang w:eastAsia="cs-CZ"/>
        </w:rPr>
        <w:t>procesu dělení buněk</w:t>
      </w:r>
      <w:r>
        <w:rPr>
          <w:lang w:eastAsia="cs-CZ"/>
        </w:rPr>
        <w:t>.</w:t>
      </w:r>
    </w:p>
    <w:p w14:paraId="4CCDF9AA" w14:textId="77777777" w:rsidR="00A02A0E" w:rsidRDefault="00A02A0E" w:rsidP="00A02A0E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Výživová doporučená dávka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29"/>
        <w:gridCol w:w="2266"/>
        <w:gridCol w:w="2267"/>
      </w:tblGrid>
      <w:tr w:rsidR="00A02A0E" w14:paraId="64A56D10" w14:textId="77777777" w:rsidTr="00D64FA0">
        <w:trPr>
          <w:trHeight w:val="454"/>
        </w:trPr>
        <w:tc>
          <w:tcPr>
            <w:tcW w:w="2499" w:type="pct"/>
          </w:tcPr>
          <w:p w14:paraId="14EFC680" w14:textId="77777777" w:rsidR="00A02A0E" w:rsidRPr="00E5456B" w:rsidRDefault="00A02A0E" w:rsidP="00B044EC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Věk</w:t>
            </w:r>
          </w:p>
        </w:tc>
        <w:tc>
          <w:tcPr>
            <w:tcW w:w="2501" w:type="pct"/>
            <w:gridSpan w:val="2"/>
          </w:tcPr>
          <w:p w14:paraId="4D9EEAE0" w14:textId="77777777" w:rsidR="00A02A0E" w:rsidRPr="00E5456B" w:rsidRDefault="00A02A0E" w:rsidP="00B044EC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VDD</w:t>
            </w:r>
          </w:p>
        </w:tc>
      </w:tr>
      <w:tr w:rsidR="00A02A0E" w14:paraId="1C77B545" w14:textId="77777777" w:rsidTr="00D64FA0">
        <w:trPr>
          <w:trHeight w:val="454"/>
        </w:trPr>
        <w:tc>
          <w:tcPr>
            <w:tcW w:w="2499" w:type="pct"/>
          </w:tcPr>
          <w:p w14:paraId="3955E8E9" w14:textId="77777777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7–11 měsíců</w:t>
            </w:r>
          </w:p>
        </w:tc>
        <w:tc>
          <w:tcPr>
            <w:tcW w:w="2501" w:type="pct"/>
            <w:gridSpan w:val="2"/>
          </w:tcPr>
          <w:p w14:paraId="2FD51447" w14:textId="77777777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80 mg</w:t>
            </w:r>
          </w:p>
        </w:tc>
      </w:tr>
      <w:tr w:rsidR="00A02A0E" w14:paraId="0420E250" w14:textId="77777777" w:rsidTr="00D64FA0">
        <w:trPr>
          <w:trHeight w:val="454"/>
        </w:trPr>
        <w:tc>
          <w:tcPr>
            <w:tcW w:w="2499" w:type="pct"/>
          </w:tcPr>
          <w:p w14:paraId="3771EADD" w14:textId="77777777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1–2 roky</w:t>
            </w:r>
          </w:p>
        </w:tc>
        <w:tc>
          <w:tcPr>
            <w:tcW w:w="2501" w:type="pct"/>
            <w:gridSpan w:val="2"/>
          </w:tcPr>
          <w:p w14:paraId="284BEF1D" w14:textId="77777777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170 mg</w:t>
            </w:r>
          </w:p>
        </w:tc>
      </w:tr>
      <w:tr w:rsidR="00A02A0E" w14:paraId="1DA2B7A8" w14:textId="77777777" w:rsidTr="00D64FA0">
        <w:trPr>
          <w:trHeight w:val="454"/>
        </w:trPr>
        <w:tc>
          <w:tcPr>
            <w:tcW w:w="2499" w:type="pct"/>
          </w:tcPr>
          <w:p w14:paraId="7C96C211" w14:textId="77777777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3–9 let</w:t>
            </w:r>
          </w:p>
        </w:tc>
        <w:tc>
          <w:tcPr>
            <w:tcW w:w="2501" w:type="pct"/>
            <w:gridSpan w:val="2"/>
          </w:tcPr>
          <w:p w14:paraId="3EA0106B" w14:textId="77777777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230 mg</w:t>
            </w:r>
          </w:p>
        </w:tc>
      </w:tr>
      <w:tr w:rsidR="00A02A0E" w14:paraId="3F46F5A3" w14:textId="77777777" w:rsidTr="00D64FA0">
        <w:trPr>
          <w:trHeight w:val="454"/>
        </w:trPr>
        <w:tc>
          <w:tcPr>
            <w:tcW w:w="2499" w:type="pct"/>
          </w:tcPr>
          <w:p w14:paraId="066C7942" w14:textId="77777777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>10–17 let</w:t>
            </w:r>
          </w:p>
        </w:tc>
        <w:tc>
          <w:tcPr>
            <w:tcW w:w="1250" w:type="pct"/>
          </w:tcPr>
          <w:p w14:paraId="0A74888F" w14:textId="61710BE1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300 mg </w:t>
            </w:r>
            <w:r w:rsidR="00F038FF">
              <w:rPr>
                <w:rFonts w:cs="Times New Roman"/>
                <w:szCs w:val="24"/>
              </w:rPr>
              <w:t>♂</w:t>
            </w:r>
          </w:p>
        </w:tc>
        <w:tc>
          <w:tcPr>
            <w:tcW w:w="1250" w:type="pct"/>
          </w:tcPr>
          <w:p w14:paraId="33A7968A" w14:textId="2FC0FA68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250 mg </w:t>
            </w:r>
            <w:r w:rsidR="00B52D17">
              <w:rPr>
                <w:rFonts w:ascii="Century Gothic" w:hAnsi="Century Gothic" w:cs="Segoe UI Emoji"/>
                <w:lang w:eastAsia="cs-CZ"/>
              </w:rPr>
              <w:t>♀</w:t>
            </w:r>
          </w:p>
        </w:tc>
      </w:tr>
      <w:tr w:rsidR="00A02A0E" w14:paraId="4B5FF78B" w14:textId="77777777" w:rsidTr="00D64FA0">
        <w:trPr>
          <w:trHeight w:val="454"/>
        </w:trPr>
        <w:tc>
          <w:tcPr>
            <w:tcW w:w="2499" w:type="pct"/>
          </w:tcPr>
          <w:p w14:paraId="204A4F53" w14:textId="77777777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rFonts w:cs="Times New Roman"/>
                <w:lang w:eastAsia="cs-CZ"/>
              </w:rPr>
              <w:t xml:space="preserve">≥ </w:t>
            </w:r>
            <w:r w:rsidRPr="00E5456B">
              <w:rPr>
                <w:lang w:eastAsia="cs-CZ"/>
              </w:rPr>
              <w:t>18 let</w:t>
            </w:r>
          </w:p>
        </w:tc>
        <w:tc>
          <w:tcPr>
            <w:tcW w:w="1250" w:type="pct"/>
          </w:tcPr>
          <w:p w14:paraId="5DD1E636" w14:textId="3820B903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350 mg </w:t>
            </w:r>
            <w:r w:rsidR="00F038FF">
              <w:rPr>
                <w:rFonts w:cs="Times New Roman"/>
                <w:szCs w:val="24"/>
              </w:rPr>
              <w:t>♂</w:t>
            </w:r>
          </w:p>
        </w:tc>
        <w:tc>
          <w:tcPr>
            <w:tcW w:w="1250" w:type="pct"/>
          </w:tcPr>
          <w:p w14:paraId="58799542" w14:textId="2582D68E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 xml:space="preserve">300 mg </w:t>
            </w:r>
            <w:r w:rsidR="00B52D17">
              <w:rPr>
                <w:rFonts w:ascii="Century Gothic" w:hAnsi="Century Gothic" w:cs="Segoe UI Emoji"/>
                <w:lang w:eastAsia="cs-CZ"/>
              </w:rPr>
              <w:t>♀</w:t>
            </w:r>
          </w:p>
        </w:tc>
      </w:tr>
      <w:tr w:rsidR="00A02A0E" w14:paraId="67C24098" w14:textId="77777777" w:rsidTr="00D64FA0">
        <w:trPr>
          <w:trHeight w:val="454"/>
        </w:trPr>
        <w:tc>
          <w:tcPr>
            <w:tcW w:w="2499" w:type="pct"/>
          </w:tcPr>
          <w:p w14:paraId="3BA85EEC" w14:textId="0B728F1C" w:rsidR="00A02A0E" w:rsidRPr="00E5456B" w:rsidRDefault="00A02A0E" w:rsidP="00987533">
            <w:pPr>
              <w:jc w:val="center"/>
              <w:rPr>
                <w:b/>
                <w:lang w:eastAsia="cs-CZ"/>
              </w:rPr>
            </w:pPr>
            <w:r w:rsidRPr="00E5456B">
              <w:rPr>
                <w:lang w:eastAsia="cs-CZ"/>
              </w:rPr>
              <w:t xml:space="preserve">Těhotné </w:t>
            </w:r>
            <w:r w:rsidR="003A7005">
              <w:rPr>
                <w:lang w:eastAsia="cs-CZ"/>
              </w:rPr>
              <w:t xml:space="preserve">a kojící </w:t>
            </w:r>
            <w:r w:rsidRPr="00E5456B">
              <w:rPr>
                <w:lang w:eastAsia="cs-CZ"/>
              </w:rPr>
              <w:t>ženy (</w:t>
            </w:r>
            <w:r w:rsidRPr="00E5456B">
              <w:rPr>
                <w:rFonts w:cs="Times New Roman"/>
                <w:lang w:eastAsia="cs-CZ"/>
              </w:rPr>
              <w:t>≥</w:t>
            </w:r>
            <w:r w:rsidRPr="00E5456B">
              <w:rPr>
                <w:lang w:eastAsia="cs-CZ"/>
              </w:rPr>
              <w:t xml:space="preserve"> </w:t>
            </w:r>
            <w:r w:rsidR="004E6BF0">
              <w:rPr>
                <w:lang w:eastAsia="cs-CZ"/>
              </w:rPr>
              <w:t>18</w:t>
            </w:r>
            <w:r w:rsidRPr="00E5456B">
              <w:rPr>
                <w:lang w:eastAsia="cs-CZ"/>
              </w:rPr>
              <w:t xml:space="preserve"> let)</w:t>
            </w:r>
          </w:p>
        </w:tc>
        <w:tc>
          <w:tcPr>
            <w:tcW w:w="2501" w:type="pct"/>
            <w:gridSpan w:val="2"/>
          </w:tcPr>
          <w:p w14:paraId="454E4BE4" w14:textId="77777777" w:rsidR="00A02A0E" w:rsidRDefault="00A02A0E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300 mg</w:t>
            </w:r>
          </w:p>
        </w:tc>
      </w:tr>
    </w:tbl>
    <w:p w14:paraId="4244DC2D" w14:textId="6A5BE0AC" w:rsidR="00A02A0E" w:rsidRPr="00383A36" w:rsidRDefault="00121F6B" w:rsidP="00A02A0E">
      <w:pPr>
        <w:rPr>
          <w:rFonts w:ascii="Segoe UI" w:hAnsi="Segoe UI" w:cs="Segoe UI"/>
          <w:sz w:val="18"/>
          <w:szCs w:val="18"/>
          <w:lang w:eastAsia="cs-CZ"/>
        </w:rPr>
      </w:pPr>
      <w:r>
        <w:rPr>
          <w:lang w:eastAsia="cs-CZ"/>
        </w:rPr>
        <w:t>Přívod z doplňků stravy či fortifikovaných potravin by neměl přesáhnout 250 mg denně.</w:t>
      </w:r>
    </w:p>
    <w:p w14:paraId="66BF7726" w14:textId="77777777" w:rsidR="00A02A0E" w:rsidRPr="00383A36" w:rsidRDefault="00A02A0E" w:rsidP="00A02A0E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500A5541">
        <w:rPr>
          <w:rFonts w:eastAsia="Times New Roman"/>
          <w:lang w:eastAsia="cs-CZ"/>
        </w:rPr>
        <w:t xml:space="preserve">Zdroje </w:t>
      </w:r>
    </w:p>
    <w:p w14:paraId="2FB402EC" w14:textId="1ACAB715" w:rsidR="144D0441" w:rsidRDefault="144D0441" w:rsidP="500A5541">
      <w:pPr>
        <w:rPr>
          <w:lang w:eastAsia="cs-CZ"/>
        </w:rPr>
      </w:pPr>
      <w:r w:rsidRPr="500A5541">
        <w:rPr>
          <w:lang w:eastAsia="cs-CZ"/>
        </w:rPr>
        <w:t>Hořčík je přítomen v mnoha potravinách, a dobrými zdroji jsou například celozrnné výrobky, brambory, zelenina (zejména listová zelenina), pomeranče, banány, luštěniny, ořechy a olejnatá semena. Významné množství hořčíku obsahují také káva, čaj, kakao, čokoláda a některé minerální vody. Hořčík se nachází v zelených částech rostlin, protože je základní součástí chlorofylu, což je pigment zodpovědný za fotosyntézu.</w:t>
      </w:r>
    </w:p>
    <w:p w14:paraId="0D1B967C" w14:textId="4C5C5C59" w:rsidR="144D0441" w:rsidRDefault="144D0441" w:rsidP="500A5541">
      <w:r w:rsidRPr="500A5541">
        <w:rPr>
          <w:lang w:eastAsia="cs-CZ"/>
        </w:rPr>
        <w:t xml:space="preserve">Absorpce hořčíku ve střevech závisí na jeho zásobách v organismu – při nízkém příjmu hořčíku z potravy tělo zvyšuje jeho absorpci, aby vyrovnalo nedostatek. Naopak při nadbytku hořčíku je jeho absorpce nižší. Stejně jako u jiných minerálních látek, i absorpci hořčíku negativně ovlivňují </w:t>
      </w:r>
      <w:proofErr w:type="spellStart"/>
      <w:r w:rsidRPr="500A5541">
        <w:rPr>
          <w:lang w:eastAsia="cs-CZ"/>
        </w:rPr>
        <w:t>fytáty</w:t>
      </w:r>
      <w:proofErr w:type="spellEnd"/>
      <w:r w:rsidRPr="500A5541">
        <w:rPr>
          <w:lang w:eastAsia="cs-CZ"/>
        </w:rPr>
        <w:t xml:space="preserve"> (přítomné v obilovinách a luštěninách), nadměrný příjem vlákniny a některé další látky, které vážou hořčík a snižují jeho dostupnost pro tělo.</w:t>
      </w:r>
    </w:p>
    <w:p w14:paraId="3D001868" w14:textId="7AA6B757" w:rsidR="05AC3B11" w:rsidRDefault="05AC3B11" w:rsidP="500A5541">
      <w:pPr>
        <w:rPr>
          <w:b/>
          <w:bCs/>
          <w:lang w:eastAsia="cs-CZ"/>
        </w:rPr>
      </w:pPr>
      <w:r w:rsidRPr="500A5541">
        <w:rPr>
          <w:b/>
          <w:bCs/>
          <w:lang w:eastAsia="cs-CZ"/>
        </w:rPr>
        <w:t>Funkce</w:t>
      </w:r>
    </w:p>
    <w:p w14:paraId="1DD01E06" w14:textId="11F4DB43" w:rsidR="54F26624" w:rsidRDefault="54F26624" w:rsidP="500A5541">
      <w:pPr>
        <w:rPr>
          <w:lang w:eastAsia="cs-CZ"/>
        </w:rPr>
      </w:pPr>
      <w:r w:rsidRPr="500A5541">
        <w:rPr>
          <w:lang w:eastAsia="cs-CZ"/>
        </w:rPr>
        <w:t xml:space="preserve">Hořčík plní v těle mnoho klíčových funkcí a je kofaktorem více než 300 enzymových systémů, které regulují různé biochemické reakce. </w:t>
      </w:r>
      <w:r w:rsidR="2DE78A18" w:rsidRPr="500A5541">
        <w:rPr>
          <w:rFonts w:eastAsia="Times New Roman" w:cs="Times New Roman"/>
          <w:szCs w:val="24"/>
        </w:rPr>
        <w:t xml:space="preserve">Je nezbytný pro syntézu </w:t>
      </w:r>
      <w:r w:rsidR="473B0AA3" w:rsidRPr="500A5541">
        <w:rPr>
          <w:rFonts w:eastAsia="Times New Roman" w:cs="Times New Roman"/>
          <w:szCs w:val="24"/>
        </w:rPr>
        <w:t>DNA a RNA, podporuje funkci ribozomů, aktivuje enzymy potřebné pro tvorbu bílkovin a zajišťuje energetické zdroje pro celý proces.</w:t>
      </w:r>
      <w:r w:rsidRPr="500A5541">
        <w:rPr>
          <w:lang w:eastAsia="cs-CZ"/>
        </w:rPr>
        <w:t xml:space="preserve"> Hořčík také podporuje správnou funkci svalů a nervů. Podílí se na regulaci svalových kontrakcí a nervových přenosů, což je zásadní pro prevenci svalových křečí a udržování normálního srdečního rytmu.</w:t>
      </w:r>
    </w:p>
    <w:p w14:paraId="153D314D" w14:textId="559CF816" w:rsidR="54F26624" w:rsidRDefault="54F26624" w:rsidP="500A5541">
      <w:r w:rsidRPr="500A5541">
        <w:rPr>
          <w:lang w:eastAsia="cs-CZ"/>
        </w:rPr>
        <w:lastRenderedPageBreak/>
        <w:t>Další důležitou funkcí hořčíku je regulace hladiny glukózy v krvi. Hořčík pomáhá v metabolismu glukózy a ovlivňuje citlivost těla na inzulin, čímž přispívá k udržování stabilní hladiny cukru v krvi. Kromě toho hraje významnou roli v regulaci krevního tlaku. Podporuje uvolňování cév a snižuje cévní odpor, čímž přispívá k normálnímu krevnímu tlaku.</w:t>
      </w:r>
    </w:p>
    <w:p w14:paraId="0E8E9EFD" w14:textId="474F6231" w:rsidR="54F26624" w:rsidRDefault="54F26624" w:rsidP="500A5541">
      <w:r w:rsidRPr="500A5541">
        <w:rPr>
          <w:lang w:eastAsia="cs-CZ"/>
        </w:rPr>
        <w:t>Hořčík je také zásadní pro produkci energie. Je nezbytný pro proces oxidativní fosforylace, kdy se v mitochondriích produkuje ATP – hlavní zdroj energie pro buňky. Podílí se i na glykolýze, tedy rozkladu glukózy, což je další klíčový proces pro získávání energie.</w:t>
      </w:r>
    </w:p>
    <w:p w14:paraId="42B0B4E2" w14:textId="6E0C7150" w:rsidR="54F26624" w:rsidRDefault="54F26624" w:rsidP="500A5541">
      <w:r w:rsidRPr="500A5541">
        <w:rPr>
          <w:lang w:eastAsia="cs-CZ"/>
        </w:rPr>
        <w:t>Dále hořčík přispívá ke správnému vývoji kostí. Přibližně 60 % hořčíku v těle je uloženo ve skeletu, kde se podílí na jeho strukturální integritě. Kromě toho podporuje metabolismus vápníku, což je důležité pro správný vývoj a pevnost kostní tkáně.</w:t>
      </w:r>
    </w:p>
    <w:p w14:paraId="7296D28F" w14:textId="4F3088CC" w:rsidR="54F26624" w:rsidRDefault="54F26624" w:rsidP="500A5541">
      <w:r w:rsidRPr="500A5541">
        <w:rPr>
          <w:lang w:eastAsia="cs-CZ"/>
        </w:rPr>
        <w:t>V neposlední řadě je hořčík důležitý pro transport vápenatých a draselných iontů přes buněčné membrány. Tento proces je klíčový pro udržení správné svalové kontrakce, přenos nervových impulzů a normální srdeční rytmus.</w:t>
      </w:r>
    </w:p>
    <w:p w14:paraId="069589AC" w14:textId="77777777" w:rsidR="00C6101F" w:rsidRPr="00C6101F" w:rsidRDefault="00C6101F" w:rsidP="00A02A0E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51C86977">
        <w:rPr>
          <w:rFonts w:eastAsia="Times New Roman"/>
          <w:lang w:eastAsia="cs-CZ"/>
        </w:rPr>
        <w:t>Rizika</w:t>
      </w:r>
    </w:p>
    <w:p w14:paraId="56A7BEB2" w14:textId="77777777" w:rsidR="00C6101F" w:rsidRDefault="00C6101F" w:rsidP="00B70CB8">
      <w:pPr>
        <w:rPr>
          <w:lang w:eastAsia="cs-CZ"/>
        </w:rPr>
      </w:pPr>
      <w:r>
        <w:rPr>
          <w:lang w:eastAsia="cs-CZ"/>
        </w:rPr>
        <w:t>Vysoký přívod</w:t>
      </w:r>
    </w:p>
    <w:p w14:paraId="66760332" w14:textId="50EF35D7" w:rsidR="00F442DA" w:rsidRDefault="00F442DA" w:rsidP="00F442DA">
      <w:pPr>
        <w:pStyle w:val="Odstavecseseznamem"/>
        <w:numPr>
          <w:ilvl w:val="0"/>
          <w:numId w:val="21"/>
        </w:numPr>
        <w:rPr>
          <w:lang w:eastAsia="cs-CZ"/>
        </w:rPr>
      </w:pPr>
      <w:r>
        <w:rPr>
          <w:lang w:eastAsia="cs-CZ"/>
        </w:rPr>
        <w:t>P</w:t>
      </w:r>
      <w:r w:rsidR="00C6101F">
        <w:rPr>
          <w:lang w:eastAsia="cs-CZ"/>
        </w:rPr>
        <w:t>růjem</w:t>
      </w:r>
    </w:p>
    <w:p w14:paraId="4D871A71" w14:textId="55146BDA" w:rsidR="00C6101F" w:rsidRDefault="00C6101F" w:rsidP="00C6101F">
      <w:pPr>
        <w:rPr>
          <w:lang w:eastAsia="cs-CZ"/>
        </w:rPr>
      </w:pPr>
      <w:r w:rsidRPr="07038581">
        <w:rPr>
          <w:lang w:eastAsia="cs-CZ"/>
        </w:rPr>
        <w:t>Nedostatek</w:t>
      </w:r>
    </w:p>
    <w:p w14:paraId="636F86E0" w14:textId="77777777" w:rsidR="00FB229B" w:rsidRPr="00F442DA" w:rsidRDefault="00FB229B" w:rsidP="00F442DA">
      <w:pPr>
        <w:rPr>
          <w:rFonts w:cs="Times New Roman"/>
          <w:szCs w:val="24"/>
        </w:rPr>
      </w:pPr>
      <w:r w:rsidRPr="00F442DA">
        <w:rPr>
          <w:rStyle w:val="cf01"/>
          <w:rFonts w:ascii="Times New Roman" w:hAnsi="Times New Roman" w:cs="Times New Roman"/>
          <w:sz w:val="24"/>
          <w:szCs w:val="24"/>
        </w:rPr>
        <w:t>Symptomatický nedostatek hořčíku způsobený nízkým přívodem ze stravy u jinak zdravých lidí je neobvyklý, protože ledviny omezují jeho vylučování. Avšak dlouhodobý nízký příjem nebo nadměrné ztráty hořčíku v důsledku některých zdravotních stavů, chronického alkoholismu a užívání některých léčiv však mohou vést k nedostatku hořčíku.</w:t>
      </w:r>
    </w:p>
    <w:p w14:paraId="48963829" w14:textId="77777777" w:rsidR="00FB229B" w:rsidRPr="00F442DA" w:rsidRDefault="00FB229B" w:rsidP="00F442DA">
      <w:pPr>
        <w:rPr>
          <w:rFonts w:cs="Times New Roman"/>
          <w:szCs w:val="24"/>
        </w:rPr>
      </w:pPr>
      <w:r w:rsidRPr="00F442DA">
        <w:rPr>
          <w:rStyle w:val="cf01"/>
          <w:rFonts w:ascii="Times New Roman" w:hAnsi="Times New Roman" w:cs="Times New Roman"/>
          <w:sz w:val="24"/>
          <w:szCs w:val="24"/>
        </w:rPr>
        <w:t xml:space="preserve">Mezi časné příznaky nedostatku hořčíku patří ztráta chuti k jídlu, nevolnost, zvracení, únava a slabost. Se zhoršujícím se nedostatkem hořčíku se může objevit mravenčení ve svalech, svalové kontrakce a křeče, abnormální srdeční rytmus či koronární křeče. </w:t>
      </w:r>
    </w:p>
    <w:p w14:paraId="46772A3D" w14:textId="4AAB29DD" w:rsidR="00CE56BD" w:rsidRDefault="00CE56BD" w:rsidP="00F442DA">
      <w:pPr>
        <w:rPr>
          <w:rStyle w:val="cf01"/>
          <w:rFonts w:ascii="Times New Roman" w:hAnsi="Times New Roman" w:cs="Times New Roman"/>
          <w:sz w:val="24"/>
          <w:szCs w:val="24"/>
        </w:rPr>
      </w:pPr>
      <w:r w:rsidRPr="00F442DA">
        <w:rPr>
          <w:rStyle w:val="cf01"/>
          <w:rFonts w:ascii="Times New Roman" w:hAnsi="Times New Roman" w:cs="Times New Roman"/>
          <w:sz w:val="24"/>
          <w:szCs w:val="24"/>
        </w:rPr>
        <w:t xml:space="preserve">Dle Monitoring dietární expozice člověka v ČR 2023 (prof. </w:t>
      </w:r>
      <w:proofErr w:type="spellStart"/>
      <w:r w:rsidRPr="00F442DA">
        <w:rPr>
          <w:rStyle w:val="cf01"/>
          <w:rFonts w:ascii="Times New Roman" w:hAnsi="Times New Roman" w:cs="Times New Roman"/>
          <w:sz w:val="24"/>
          <w:szCs w:val="24"/>
        </w:rPr>
        <w:t>Ruprich</w:t>
      </w:r>
      <w:proofErr w:type="spellEnd"/>
      <w:r w:rsidRPr="00F442DA">
        <w:rPr>
          <w:rStyle w:val="cf01"/>
          <w:rFonts w:ascii="Times New Roman" w:hAnsi="Times New Roman" w:cs="Times New Roman"/>
          <w:sz w:val="24"/>
          <w:szCs w:val="24"/>
        </w:rPr>
        <w:t>): Nedostatečný přívod v celé populaci kromě dětí (4-6 let), nejnižší u dospívajících dívek (15-17 let) a starších žen.</w:t>
      </w:r>
    </w:p>
    <w:p w14:paraId="5D16136E" w14:textId="77777777" w:rsidR="00F442DA" w:rsidRDefault="00F442DA" w:rsidP="00F442DA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5E2C5D63" w14:textId="78900A1F" w:rsidR="00F442DA" w:rsidRDefault="00A85529" w:rsidP="00F442DA">
      <w:pPr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Skupiny ohrožené nedostatkem hořčíku</w:t>
      </w:r>
    </w:p>
    <w:p w14:paraId="7DCDA886" w14:textId="6797E722" w:rsidR="00BE60F3" w:rsidRPr="00BE60F3" w:rsidRDefault="00BE60F3" w:rsidP="00BE60F3">
      <w:pPr>
        <w:pStyle w:val="Odstavecseseznamem"/>
        <w:numPr>
          <w:ilvl w:val="0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>Lidé s gastrointestinálním onemocněním</w:t>
      </w:r>
    </w:p>
    <w:p w14:paraId="513ECC32" w14:textId="0185DFC3" w:rsidR="00BE60F3" w:rsidRPr="00BE60F3" w:rsidRDefault="00BE60F3" w:rsidP="00BE60F3">
      <w:pPr>
        <w:pStyle w:val="Odstavecseseznamem"/>
        <w:numPr>
          <w:ilvl w:val="1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 xml:space="preserve">Lidé s chronickým GIT </w:t>
      </w:r>
      <w:r w:rsidR="00A85529" w:rsidRPr="00BE60F3">
        <w:rPr>
          <w:rFonts w:cs="Times New Roman"/>
          <w:szCs w:val="24"/>
          <w:lang w:eastAsia="cs-CZ"/>
        </w:rPr>
        <w:t>onemocněním – protrahované</w:t>
      </w:r>
      <w:r w:rsidRPr="00BE60F3">
        <w:rPr>
          <w:rFonts w:cs="Times New Roman"/>
          <w:szCs w:val="24"/>
          <w:lang w:eastAsia="cs-CZ"/>
        </w:rPr>
        <w:t xml:space="preserve"> průjmy a narušení střevní sliznice mohou časem vést k vyčerpání hořčíku. Resekce nebo bypass tenkého střeva, zejména ilea, obvykle vede k malabsorpci a nedostatku hořčíku.</w:t>
      </w:r>
    </w:p>
    <w:p w14:paraId="550B9243" w14:textId="2CE86D6F" w:rsidR="00BE60F3" w:rsidRPr="00BE60F3" w:rsidRDefault="00BE60F3" w:rsidP="00BE60F3">
      <w:pPr>
        <w:pStyle w:val="Odstavecseseznamem"/>
        <w:numPr>
          <w:ilvl w:val="0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>Lidé s diabetem 2. typu</w:t>
      </w:r>
    </w:p>
    <w:p w14:paraId="18CB58FD" w14:textId="2B793EC1" w:rsidR="00BE60F3" w:rsidRPr="00BE60F3" w:rsidRDefault="00BE60F3" w:rsidP="00BE60F3">
      <w:pPr>
        <w:pStyle w:val="Odstavecseseznamem"/>
        <w:numPr>
          <w:ilvl w:val="1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lastRenderedPageBreak/>
        <w:t>U lidí s inzulinovou rezistencí a/nebo diabetem 2. typu může docházet k deficitu hořčíku a zvýšenému vylučování hořčíku močí. Ztráty hořčíku jsou zřejmě sekundární v důsledku vyšších koncentrací glukózy v ledvinách, které zvyšují vylučování moči.</w:t>
      </w:r>
    </w:p>
    <w:p w14:paraId="3EB4D0EA" w14:textId="18E17C21" w:rsidR="00BE60F3" w:rsidRPr="00BE60F3" w:rsidRDefault="00BE60F3" w:rsidP="00BE60F3">
      <w:pPr>
        <w:pStyle w:val="Odstavecseseznamem"/>
        <w:numPr>
          <w:ilvl w:val="0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>Lidé se závislostí na alkoholu</w:t>
      </w:r>
    </w:p>
    <w:p w14:paraId="010F7190" w14:textId="59391C42" w:rsidR="00BE60F3" w:rsidRPr="00BE60F3" w:rsidRDefault="00BE60F3" w:rsidP="00BE60F3">
      <w:pPr>
        <w:pStyle w:val="Odstavecseseznamem"/>
        <w:numPr>
          <w:ilvl w:val="1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>Nedostatek hořčíku je běžný u lidí s abúzem alkoholu. U těchto osob může ke sníženému stavu hořčíku přispívat nedostatečný příjem stravy, gastrointestinální problémy včetně zvracení, průjmu a steatorey</w:t>
      </w:r>
      <w:r w:rsidR="006F7504">
        <w:rPr>
          <w:rStyle w:val="Znakapoznpodarou"/>
          <w:rFonts w:cs="Times New Roman"/>
          <w:szCs w:val="24"/>
          <w:lang w:eastAsia="cs-CZ"/>
        </w:rPr>
        <w:footnoteReference w:id="5"/>
      </w:r>
      <w:r w:rsidRPr="00BE60F3">
        <w:rPr>
          <w:rFonts w:cs="Times New Roman"/>
          <w:szCs w:val="24"/>
          <w:lang w:eastAsia="cs-CZ"/>
        </w:rPr>
        <w:t xml:space="preserve"> v důsledku pankreatitidy, renální dysfunkce s nadměrným vylučováním hořčíku do moči aj.</w:t>
      </w:r>
    </w:p>
    <w:p w14:paraId="14E13BA6" w14:textId="1B4E082B" w:rsidR="00BE60F3" w:rsidRPr="00BE60F3" w:rsidRDefault="00BE60F3" w:rsidP="00BE60F3">
      <w:pPr>
        <w:pStyle w:val="Odstavecseseznamem"/>
        <w:numPr>
          <w:ilvl w:val="0"/>
          <w:numId w:val="21"/>
        </w:numPr>
        <w:rPr>
          <w:rFonts w:cs="Times New Roman"/>
          <w:szCs w:val="24"/>
          <w:lang w:eastAsia="cs-CZ"/>
        </w:rPr>
      </w:pPr>
      <w:r w:rsidRPr="00BE60F3">
        <w:rPr>
          <w:rFonts w:cs="Times New Roman"/>
          <w:szCs w:val="24"/>
          <w:lang w:eastAsia="cs-CZ"/>
        </w:rPr>
        <w:t>Starší osoby</w:t>
      </w:r>
    </w:p>
    <w:p w14:paraId="41E79E20" w14:textId="5CCFD4D4" w:rsidR="006F7504" w:rsidRPr="006F7504" w:rsidRDefault="00BE60F3" w:rsidP="500A5541">
      <w:pPr>
        <w:pStyle w:val="Odstavecseseznamem"/>
        <w:numPr>
          <w:ilvl w:val="1"/>
          <w:numId w:val="21"/>
        </w:numPr>
        <w:rPr>
          <w:rFonts w:cs="Times New Roman"/>
          <w:lang w:eastAsia="cs-CZ"/>
        </w:rPr>
      </w:pPr>
      <w:r w:rsidRPr="500A5541">
        <w:rPr>
          <w:rFonts w:cs="Times New Roman"/>
          <w:lang w:eastAsia="cs-CZ"/>
        </w:rPr>
        <w:t>Obvykle nižší příjem hořčíku ve stravě než mladší dospělí. Kromě toho se s věkem snižuje vstřebávání hořčíku ze střeva a zvyšuje se vylučování hořčíku ledvinami. Starší dospělí také častěji trpí chronickými onemocněními nebo užívají léky (některá diuretika, inhibitory protonové pumpy), které mění stav hořčíku, což může zvyšovat riziko jeho vyčerpání.</w:t>
      </w:r>
    </w:p>
    <w:p w14:paraId="6E0615C5" w14:textId="77777777" w:rsidR="00864E57" w:rsidRDefault="00864E57" w:rsidP="00864E57">
      <w:pPr>
        <w:rPr>
          <w:lang w:eastAsia="cs-CZ"/>
        </w:rPr>
      </w:pPr>
    </w:p>
    <w:p w14:paraId="2A79D50C" w14:textId="562C89E8" w:rsidR="009179FB" w:rsidRDefault="009179FB" w:rsidP="006F7504">
      <w:pPr>
        <w:pStyle w:val="Podnadpis"/>
      </w:pPr>
      <w:r>
        <w:t>Fosfor</w:t>
      </w:r>
    </w:p>
    <w:p w14:paraId="4CF7C402" w14:textId="54E13EE5" w:rsidR="1AFD7D89" w:rsidRDefault="1AFD7D89">
      <w:r>
        <w:t>Fosfor je jednou z nejhojněji zastoupených minerálních látek v lidském těle, přičemž 85 % se nachází v kostech a zubech. Spolu s vápníkem tvoří a udržuje zdravé kosti a zuby. Zbývajících 15 % fosforu se podílí na mnoha dalších zásadních funkcích v těle. Fosfor je klíčový pro udržování vyváženého pH, podílí se na tvorbě genetického materiálu (DNA a RNA) a je součástí hlavního zdroje energie v buňkách, adenosintrifosfátu (ATP). Fosfor je také nezbytný pro tvorbu fosfolipidů, které tvoří buněčné membrány a hrají důležitou roli ve správném fungování nervových buněk a mozku.</w:t>
      </w:r>
    </w:p>
    <w:p w14:paraId="2091657F" w14:textId="7C1CD145" w:rsidR="00E01868" w:rsidRPr="00383A36" w:rsidRDefault="00E01868" w:rsidP="00E01868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04EF8DCF" w14:textId="77777777" w:rsidR="00E01868" w:rsidRPr="00383A36" w:rsidRDefault="00E01868" w:rsidP="00E01868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Fosfor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normálnímu</w:t>
      </w:r>
      <w:r>
        <w:rPr>
          <w:lang w:eastAsia="cs-CZ"/>
        </w:rPr>
        <w:t xml:space="preserve"> </w:t>
      </w:r>
      <w:r w:rsidRPr="00E01868">
        <w:rPr>
          <w:b/>
          <w:bCs/>
          <w:lang w:eastAsia="cs-CZ"/>
        </w:rPr>
        <w:t>energetickému metabolismu</w:t>
      </w:r>
      <w:r>
        <w:rPr>
          <w:lang w:eastAsia="cs-CZ"/>
        </w:rPr>
        <w:t>.</w:t>
      </w:r>
    </w:p>
    <w:p w14:paraId="751FFB6A" w14:textId="77777777" w:rsidR="00E01868" w:rsidRPr="00383A36" w:rsidRDefault="00E01868" w:rsidP="00E01868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Fosfor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</w:t>
      </w:r>
      <w:r>
        <w:rPr>
          <w:lang w:eastAsia="cs-CZ"/>
        </w:rPr>
        <w:t xml:space="preserve"> </w:t>
      </w:r>
      <w:r w:rsidRPr="00E01868">
        <w:rPr>
          <w:b/>
          <w:bCs/>
          <w:lang w:eastAsia="cs-CZ"/>
        </w:rPr>
        <w:t>funkci buněčných membrán</w:t>
      </w:r>
      <w:r>
        <w:rPr>
          <w:lang w:eastAsia="cs-CZ"/>
        </w:rPr>
        <w:t>.</w:t>
      </w:r>
    </w:p>
    <w:p w14:paraId="699F551F" w14:textId="25CC6010" w:rsidR="00E01868" w:rsidRPr="00383A36" w:rsidRDefault="00E01868" w:rsidP="004002A1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Fosfor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83A36">
        <w:rPr>
          <w:lang w:eastAsia="cs-CZ"/>
        </w:rPr>
        <w:t>udržení</w:t>
      </w:r>
      <w:r>
        <w:rPr>
          <w:lang w:eastAsia="cs-CZ"/>
        </w:rPr>
        <w:t xml:space="preserve"> </w:t>
      </w:r>
      <w:r w:rsidRPr="00383A36">
        <w:rPr>
          <w:lang w:eastAsia="cs-CZ"/>
        </w:rPr>
        <w:t>normálního</w:t>
      </w:r>
      <w:r>
        <w:rPr>
          <w:lang w:eastAsia="cs-CZ"/>
        </w:rPr>
        <w:t xml:space="preserve"> </w:t>
      </w:r>
      <w:r w:rsidRPr="00E01868">
        <w:rPr>
          <w:b/>
          <w:bCs/>
          <w:lang w:eastAsia="cs-CZ"/>
        </w:rPr>
        <w:t>stavu kostí a zubů</w:t>
      </w:r>
      <w:r>
        <w:rPr>
          <w:lang w:eastAsia="cs-CZ"/>
        </w:rPr>
        <w:t>.</w:t>
      </w:r>
    </w:p>
    <w:p w14:paraId="3A49F2E3" w14:textId="77777777" w:rsidR="004002A1" w:rsidRDefault="004002A1" w:rsidP="004002A1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Výživová doporučená dávka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4002A1" w14:paraId="60D61C72" w14:textId="77777777" w:rsidTr="006F7504">
        <w:trPr>
          <w:trHeight w:val="454"/>
        </w:trPr>
        <w:tc>
          <w:tcPr>
            <w:tcW w:w="2500" w:type="pct"/>
          </w:tcPr>
          <w:p w14:paraId="41F7D1AC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lastRenderedPageBreak/>
              <w:t>Věk</w:t>
            </w:r>
          </w:p>
        </w:tc>
        <w:tc>
          <w:tcPr>
            <w:tcW w:w="2500" w:type="pct"/>
          </w:tcPr>
          <w:p w14:paraId="5B3379D7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>VDD</w:t>
            </w:r>
          </w:p>
        </w:tc>
      </w:tr>
      <w:tr w:rsidR="004002A1" w14:paraId="33CC5886" w14:textId="77777777" w:rsidTr="006F7504">
        <w:trPr>
          <w:trHeight w:val="454"/>
        </w:trPr>
        <w:tc>
          <w:tcPr>
            <w:tcW w:w="2500" w:type="pct"/>
          </w:tcPr>
          <w:p w14:paraId="110E3E79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>7–11 měsíců</w:t>
            </w:r>
          </w:p>
        </w:tc>
        <w:tc>
          <w:tcPr>
            <w:tcW w:w="2500" w:type="pct"/>
          </w:tcPr>
          <w:p w14:paraId="6A7F6180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160 mg</w:t>
            </w:r>
          </w:p>
        </w:tc>
      </w:tr>
      <w:tr w:rsidR="004002A1" w14:paraId="765BC234" w14:textId="77777777" w:rsidTr="006F7504">
        <w:trPr>
          <w:trHeight w:val="454"/>
        </w:trPr>
        <w:tc>
          <w:tcPr>
            <w:tcW w:w="2500" w:type="pct"/>
          </w:tcPr>
          <w:p w14:paraId="416CCB2C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>1–3 roky</w:t>
            </w:r>
          </w:p>
        </w:tc>
        <w:tc>
          <w:tcPr>
            <w:tcW w:w="2500" w:type="pct"/>
          </w:tcPr>
          <w:p w14:paraId="05BB1D32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250 mg</w:t>
            </w:r>
          </w:p>
        </w:tc>
      </w:tr>
      <w:tr w:rsidR="004002A1" w14:paraId="22128528" w14:textId="77777777" w:rsidTr="006F7504">
        <w:trPr>
          <w:trHeight w:val="454"/>
        </w:trPr>
        <w:tc>
          <w:tcPr>
            <w:tcW w:w="2500" w:type="pct"/>
          </w:tcPr>
          <w:p w14:paraId="39364A30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>4–10 let</w:t>
            </w:r>
          </w:p>
        </w:tc>
        <w:tc>
          <w:tcPr>
            <w:tcW w:w="2500" w:type="pct"/>
          </w:tcPr>
          <w:p w14:paraId="72C8F2AB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440 mg</w:t>
            </w:r>
          </w:p>
        </w:tc>
      </w:tr>
      <w:tr w:rsidR="004002A1" w14:paraId="5BFEFD03" w14:textId="77777777" w:rsidTr="006F7504">
        <w:trPr>
          <w:trHeight w:val="454"/>
        </w:trPr>
        <w:tc>
          <w:tcPr>
            <w:tcW w:w="2500" w:type="pct"/>
          </w:tcPr>
          <w:p w14:paraId="3B8B0CE6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>11–17 let</w:t>
            </w:r>
          </w:p>
        </w:tc>
        <w:tc>
          <w:tcPr>
            <w:tcW w:w="2500" w:type="pct"/>
          </w:tcPr>
          <w:p w14:paraId="607AA453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640 mg</w:t>
            </w:r>
          </w:p>
        </w:tc>
      </w:tr>
      <w:tr w:rsidR="004002A1" w14:paraId="7559B581" w14:textId="77777777" w:rsidTr="006F7504">
        <w:trPr>
          <w:trHeight w:val="454"/>
        </w:trPr>
        <w:tc>
          <w:tcPr>
            <w:tcW w:w="2500" w:type="pct"/>
          </w:tcPr>
          <w:p w14:paraId="603D3567" w14:textId="77777777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rFonts w:cs="Times New Roman"/>
                <w:lang w:eastAsia="cs-CZ"/>
              </w:rPr>
              <w:t xml:space="preserve">≥ </w:t>
            </w:r>
            <w:r w:rsidRPr="00494446">
              <w:rPr>
                <w:lang w:eastAsia="cs-CZ"/>
              </w:rPr>
              <w:t>18 let</w:t>
            </w:r>
          </w:p>
        </w:tc>
        <w:tc>
          <w:tcPr>
            <w:tcW w:w="2500" w:type="pct"/>
          </w:tcPr>
          <w:p w14:paraId="27369E0A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550 mg</w:t>
            </w:r>
          </w:p>
        </w:tc>
      </w:tr>
      <w:tr w:rsidR="004002A1" w14:paraId="049CB5DF" w14:textId="77777777" w:rsidTr="006F7504">
        <w:trPr>
          <w:trHeight w:val="454"/>
        </w:trPr>
        <w:tc>
          <w:tcPr>
            <w:tcW w:w="2500" w:type="pct"/>
          </w:tcPr>
          <w:p w14:paraId="0D9507D5" w14:textId="285442E3" w:rsidR="004002A1" w:rsidRPr="00494446" w:rsidRDefault="004002A1" w:rsidP="00B044EC">
            <w:pPr>
              <w:jc w:val="center"/>
              <w:rPr>
                <w:b/>
                <w:lang w:eastAsia="cs-CZ"/>
              </w:rPr>
            </w:pPr>
            <w:r w:rsidRPr="00494446">
              <w:rPr>
                <w:lang w:eastAsia="cs-CZ"/>
              </w:rPr>
              <w:t xml:space="preserve">Těhotné </w:t>
            </w:r>
            <w:r w:rsidR="003A7005">
              <w:rPr>
                <w:lang w:eastAsia="cs-CZ"/>
              </w:rPr>
              <w:t xml:space="preserve">a kojící </w:t>
            </w:r>
            <w:r w:rsidRPr="00494446">
              <w:rPr>
                <w:lang w:eastAsia="cs-CZ"/>
              </w:rPr>
              <w:t>ženy (</w:t>
            </w:r>
            <w:r w:rsidRPr="00494446">
              <w:rPr>
                <w:rFonts w:cs="Times New Roman"/>
                <w:lang w:eastAsia="cs-CZ"/>
              </w:rPr>
              <w:t>≥</w:t>
            </w:r>
            <w:r w:rsidRPr="00494446">
              <w:rPr>
                <w:lang w:eastAsia="cs-CZ"/>
              </w:rPr>
              <w:t xml:space="preserve"> </w:t>
            </w:r>
            <w:r w:rsidR="004051A4">
              <w:rPr>
                <w:lang w:eastAsia="cs-CZ"/>
              </w:rPr>
              <w:t>18</w:t>
            </w:r>
            <w:r w:rsidRPr="00494446">
              <w:rPr>
                <w:lang w:eastAsia="cs-CZ"/>
              </w:rPr>
              <w:t xml:space="preserve"> let)</w:t>
            </w:r>
          </w:p>
        </w:tc>
        <w:tc>
          <w:tcPr>
            <w:tcW w:w="2500" w:type="pct"/>
          </w:tcPr>
          <w:p w14:paraId="295A347F" w14:textId="77777777" w:rsidR="004002A1" w:rsidRDefault="004002A1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550 mg</w:t>
            </w:r>
          </w:p>
        </w:tc>
      </w:tr>
    </w:tbl>
    <w:p w14:paraId="1324A578" w14:textId="77777777" w:rsidR="004002A1" w:rsidRPr="00383A36" w:rsidRDefault="004002A1" w:rsidP="004002A1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500A5541">
        <w:rPr>
          <w:rFonts w:eastAsia="Times New Roman"/>
          <w:lang w:eastAsia="cs-CZ"/>
        </w:rPr>
        <w:t xml:space="preserve">Zdroje </w:t>
      </w:r>
    </w:p>
    <w:p w14:paraId="24F6D476" w14:textId="35F94A2B" w:rsidR="3D73472B" w:rsidRDefault="3D73472B" w:rsidP="500A5541">
      <w:pPr>
        <w:rPr>
          <w:lang w:eastAsia="cs-CZ"/>
        </w:rPr>
      </w:pPr>
      <w:r w:rsidRPr="500A5541">
        <w:rPr>
          <w:lang w:eastAsia="cs-CZ"/>
        </w:rPr>
        <w:t xml:space="preserve">Fosfor je přítomen ve většině potravin, přičemž nejbohatšími zdroji jsou potraviny bohaté na bílkoviny, jako jsou mléčné výrobky, maso, vnitřnosti, ryby, vejce a luštěniny. Dalšími zdroji jsou ořechy a semena, stejně jako přídatné látky (fosforečnany) přidávané do průmyslově zpracovaných potravin. Fosfor z živočišných zdrojů, jako jsou maso a mléčné výrobky, je lépe vstřebáván než z rostlinných zdrojů, protože rostlinné potraviny obsahují kyselinu </w:t>
      </w:r>
      <w:proofErr w:type="spellStart"/>
      <w:r w:rsidRPr="500A5541">
        <w:rPr>
          <w:lang w:eastAsia="cs-CZ"/>
        </w:rPr>
        <w:t>fytovou</w:t>
      </w:r>
      <w:proofErr w:type="spellEnd"/>
      <w:r w:rsidRPr="500A5541">
        <w:rPr>
          <w:lang w:eastAsia="cs-CZ"/>
        </w:rPr>
        <w:t>, která snižuje využitelnost fosforu. Kuchyňská úprava, jako je kvašení nebo klíčení, může mírně zlepšit dostupnost fosforu z rostlinných potravin, ale vaření a pečení nemají na využitelnost fosforu výrazný vliv.</w:t>
      </w:r>
    </w:p>
    <w:p w14:paraId="27181F1A" w14:textId="3DA786E9" w:rsidR="500A5541" w:rsidRDefault="500A5541" w:rsidP="500A5541">
      <w:pPr>
        <w:rPr>
          <w:lang w:eastAsia="cs-CZ"/>
        </w:rPr>
      </w:pPr>
    </w:p>
    <w:p w14:paraId="68F96E39" w14:textId="284C0FFE" w:rsidR="1C5C6D90" w:rsidRDefault="1C5C6D90" w:rsidP="500A5541">
      <w:pPr>
        <w:rPr>
          <w:b/>
          <w:bCs/>
          <w:lang w:eastAsia="cs-CZ"/>
        </w:rPr>
      </w:pPr>
      <w:r w:rsidRPr="500A5541">
        <w:rPr>
          <w:b/>
          <w:bCs/>
          <w:lang w:eastAsia="cs-CZ"/>
        </w:rPr>
        <w:t>Funkce</w:t>
      </w:r>
    </w:p>
    <w:p w14:paraId="24BFFF52" w14:textId="07E96EE5" w:rsidR="1C5C6D90" w:rsidRDefault="1C5C6D90" w:rsidP="500A5541">
      <w:pPr>
        <w:rPr>
          <w:lang w:eastAsia="cs-CZ"/>
        </w:rPr>
      </w:pPr>
      <w:r w:rsidRPr="500A5541">
        <w:rPr>
          <w:lang w:eastAsia="cs-CZ"/>
        </w:rPr>
        <w:t xml:space="preserve">Spolu s vápníkem tvoří </w:t>
      </w:r>
      <w:proofErr w:type="spellStart"/>
      <w:r w:rsidRPr="500A5541">
        <w:rPr>
          <w:lang w:eastAsia="cs-CZ"/>
        </w:rPr>
        <w:t>hydroxyapatit</w:t>
      </w:r>
      <w:proofErr w:type="spellEnd"/>
      <w:r w:rsidRPr="500A5541">
        <w:rPr>
          <w:lang w:eastAsia="cs-CZ"/>
        </w:rPr>
        <w:t>, což je základní minerální složka kostí a zubů, která zajišťuje jejich pevnost a odolnost. Fosfor je také nezbytný pro energetický metabolismus, protože je součástí adenosintrifosfátu (ATP), hlavního zdroje energie pro buňky. ATP umožňuje veškeré energetické procesy v těle, včetně svalové kontrakce, syntézy bílkovin a buněčného dělení.</w:t>
      </w:r>
    </w:p>
    <w:p w14:paraId="75E0D0E5" w14:textId="37ACAC92" w:rsidR="1C5C6D90" w:rsidRDefault="1C5C6D90" w:rsidP="500A5541">
      <w:r w:rsidRPr="500A5541">
        <w:rPr>
          <w:lang w:eastAsia="cs-CZ"/>
        </w:rPr>
        <w:t xml:space="preserve">Fosfor se rovněž podílí na metabolismu sacharidů a tuků, kde hraje klíčovou roli v enzymatických reakcích, které umožňují přeměnu těchto živin na energii. </w:t>
      </w:r>
      <w:r w:rsidR="6045F877" w:rsidRPr="500A5541">
        <w:rPr>
          <w:lang w:eastAsia="cs-CZ"/>
        </w:rPr>
        <w:t>Kromě toho je nezbytný pro tvorbu a udržování DNA a RNA, protože fosfátové skupiny tvoří základní strukturu těchto molekul, což umožňuje růst, obnovu a správnou funkci buněk.</w:t>
      </w:r>
    </w:p>
    <w:p w14:paraId="65C266DA" w14:textId="525403A1" w:rsidR="1C5C6D90" w:rsidRDefault="1C5C6D90" w:rsidP="500A5541">
      <w:r w:rsidRPr="500A5541">
        <w:rPr>
          <w:lang w:eastAsia="cs-CZ"/>
        </w:rPr>
        <w:t xml:space="preserve">Další důležitou funkcí fosforu je udržování acidobazické rovnováhy v těle. Fosfátové ionty fungují jako </w:t>
      </w:r>
      <w:proofErr w:type="spellStart"/>
      <w:r w:rsidRPr="500A5541">
        <w:rPr>
          <w:lang w:eastAsia="cs-CZ"/>
        </w:rPr>
        <w:t>pufrovací</w:t>
      </w:r>
      <w:proofErr w:type="spellEnd"/>
      <w:r w:rsidRPr="500A5541">
        <w:rPr>
          <w:lang w:eastAsia="cs-CZ"/>
        </w:rPr>
        <w:t xml:space="preserve"> systémy, které udržují správné pH v krvi a tělních tekutinách, což je zásadní pro optimální fungování enzymů a biochemických reakcí. Fosfor je také součástí fosfolipidů, které tvoří dvojvrstvou buněčných membrán, zajišťují jejich integritu a regulují přenos látek dovnitř a ven z buněk.</w:t>
      </w:r>
    </w:p>
    <w:p w14:paraId="6D5C510D" w14:textId="2B38CEE0" w:rsidR="1C5C6D90" w:rsidRDefault="1C5C6D90" w:rsidP="500A5541">
      <w:r w:rsidRPr="500A5541">
        <w:rPr>
          <w:lang w:eastAsia="cs-CZ"/>
        </w:rPr>
        <w:lastRenderedPageBreak/>
        <w:t>Fosfor je důležitý i pro správnou funkci nervových buněk. Fosfolipidy v nervových buňkách hrají roli v přenosu nervových signálů, což je zásadní pro komunikaci mezi mozkovými buňkami a dalšími částmi těla. Spolu s ATP se fosfor podílí na svalové kontrakci a regeneraci energie v kosterních svalech, což umožňuje správnou funkci svalů během fyzické aktivity a jejich obnovu po zátěži.</w:t>
      </w:r>
    </w:p>
    <w:p w14:paraId="3F98F7DC" w14:textId="6604A361" w:rsidR="004002A1" w:rsidRPr="00383A36" w:rsidRDefault="006E204D" w:rsidP="004002A1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/>
          <w:lang w:eastAsia="cs-CZ"/>
        </w:rPr>
        <w:t>Rizika</w:t>
      </w:r>
      <w:r w:rsidR="004002A1">
        <w:rPr>
          <w:rFonts w:eastAsia="Times New Roman"/>
          <w:lang w:eastAsia="cs-CZ"/>
        </w:rPr>
        <w:t xml:space="preserve"> </w:t>
      </w:r>
    </w:p>
    <w:p w14:paraId="57FA6F24" w14:textId="41B91E50" w:rsidR="00D83DE2" w:rsidRDefault="006E204D" w:rsidP="00B70CB8">
      <w:pPr>
        <w:rPr>
          <w:lang w:eastAsia="cs-CZ"/>
        </w:rPr>
      </w:pPr>
      <w:r>
        <w:rPr>
          <w:lang w:eastAsia="cs-CZ"/>
        </w:rPr>
        <w:t>Jelikož téměř všechny potraviny obsahují fosfo</w:t>
      </w:r>
      <w:r w:rsidR="00D83DE2">
        <w:rPr>
          <w:lang w:eastAsia="cs-CZ"/>
        </w:rPr>
        <w:t xml:space="preserve">r, nutriční nedostatek </w:t>
      </w:r>
      <w:r w:rsidR="000D1A3E">
        <w:rPr>
          <w:lang w:eastAsia="cs-CZ"/>
        </w:rPr>
        <w:t>u běžné populace</w:t>
      </w:r>
      <w:r w:rsidR="001111C8">
        <w:rPr>
          <w:rStyle w:val="Znakapoznpodarou"/>
          <w:lang w:eastAsia="cs-CZ"/>
        </w:rPr>
        <w:footnoteReference w:id="6"/>
      </w:r>
      <w:r w:rsidR="000D1A3E">
        <w:rPr>
          <w:lang w:eastAsia="cs-CZ"/>
        </w:rPr>
        <w:t xml:space="preserve"> </w:t>
      </w:r>
      <w:r w:rsidR="00D83DE2">
        <w:rPr>
          <w:lang w:eastAsia="cs-CZ"/>
        </w:rPr>
        <w:t xml:space="preserve">není znám. </w:t>
      </w:r>
      <w:r w:rsidR="00C16790">
        <w:rPr>
          <w:lang w:eastAsia="cs-CZ"/>
        </w:rPr>
        <w:t>Vysoký přívod fosforu je problematický z hlediska ztráty kostní hmoty</w:t>
      </w:r>
      <w:r w:rsidR="656B2F16">
        <w:rPr>
          <w:lang w:eastAsia="cs-CZ"/>
        </w:rPr>
        <w:t xml:space="preserve"> </w:t>
      </w:r>
      <w:r w:rsidR="00C16790">
        <w:rPr>
          <w:lang w:eastAsia="cs-CZ"/>
        </w:rPr>
        <w:t xml:space="preserve">a </w:t>
      </w:r>
      <w:r w:rsidR="53E2D3DB">
        <w:rPr>
          <w:lang w:eastAsia="cs-CZ"/>
        </w:rPr>
        <w:t>to,</w:t>
      </w:r>
      <w:r w:rsidR="00C16790">
        <w:rPr>
          <w:lang w:eastAsia="cs-CZ"/>
        </w:rPr>
        <w:t xml:space="preserve"> pokud je přívod vápníku nízký.</w:t>
      </w:r>
    </w:p>
    <w:p w14:paraId="4AF77AE7" w14:textId="3829AFD5" w:rsidR="008C3580" w:rsidRDefault="008C3580" w:rsidP="500A5541">
      <w:pPr>
        <w:rPr>
          <w:rStyle w:val="cf01"/>
          <w:rFonts w:ascii="Times New Roman" w:hAnsi="Times New Roman" w:cs="Times New Roman"/>
          <w:sz w:val="24"/>
          <w:szCs w:val="24"/>
        </w:rPr>
      </w:pPr>
      <w:r w:rsidRPr="500A5541">
        <w:rPr>
          <w:rStyle w:val="cf01"/>
          <w:rFonts w:ascii="Times New Roman" w:hAnsi="Times New Roman" w:cs="Times New Roman"/>
          <w:sz w:val="24"/>
          <w:szCs w:val="24"/>
        </w:rPr>
        <w:t>Vysoký pří</w:t>
      </w:r>
      <w:r w:rsidR="00CD579D" w:rsidRPr="500A5541">
        <w:rPr>
          <w:rStyle w:val="cf01"/>
          <w:rFonts w:ascii="Times New Roman" w:hAnsi="Times New Roman" w:cs="Times New Roman"/>
          <w:sz w:val="24"/>
          <w:szCs w:val="24"/>
        </w:rPr>
        <w:t>vod</w:t>
      </w:r>
      <w:r w:rsidRPr="500A5541">
        <w:rPr>
          <w:rStyle w:val="cf01"/>
          <w:rFonts w:ascii="Times New Roman" w:hAnsi="Times New Roman" w:cs="Times New Roman"/>
          <w:sz w:val="24"/>
          <w:szCs w:val="24"/>
        </w:rPr>
        <w:t xml:space="preserve"> fosforu je nebezpečný především pro lidi s onemocněním ledvin, protože</w:t>
      </w:r>
      <w:r w:rsidR="00CC62D0" w:rsidRPr="500A5541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500A5541">
        <w:rPr>
          <w:rStyle w:val="cf01"/>
          <w:rFonts w:ascii="Times New Roman" w:hAnsi="Times New Roman" w:cs="Times New Roman"/>
          <w:sz w:val="24"/>
          <w:szCs w:val="24"/>
        </w:rPr>
        <w:t xml:space="preserve">způsobuje hromadění fosforu v krvi. To může časem vést k vážným zdravotním následkům, jako je sekundární </w:t>
      </w:r>
      <w:proofErr w:type="spellStart"/>
      <w:r w:rsidRPr="500A5541">
        <w:rPr>
          <w:rStyle w:val="cf01"/>
          <w:rFonts w:ascii="Times New Roman" w:hAnsi="Times New Roman" w:cs="Times New Roman"/>
          <w:sz w:val="24"/>
          <w:szCs w:val="24"/>
        </w:rPr>
        <w:t>hyperparatyreóza</w:t>
      </w:r>
      <w:proofErr w:type="spellEnd"/>
      <w:r w:rsidR="29EA97D6" w:rsidRPr="500A5541">
        <w:rPr>
          <w:rStyle w:val="cf01"/>
          <w:rFonts w:ascii="Times New Roman" w:hAnsi="Times New Roman" w:cs="Times New Roman"/>
          <w:sz w:val="24"/>
          <w:szCs w:val="24"/>
        </w:rPr>
        <w:t xml:space="preserve"> (stav, kdy příštítná tělíska nadměrně produkují parathormon),</w:t>
      </w:r>
      <w:r w:rsidR="008D6CDB" w:rsidRPr="500A554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67A62CA6" w:rsidRPr="500A5541">
        <w:rPr>
          <w:rStyle w:val="cf01"/>
          <w:rFonts w:ascii="Times New Roman" w:hAnsi="Times New Roman" w:cs="Times New Roman"/>
          <w:sz w:val="24"/>
          <w:szCs w:val="24"/>
        </w:rPr>
        <w:t>která stimuluje uvolňování vápníku z kostí, což vede k jejich úbytku a také ke kalcifikaci (hromadění vápníku) v měkkých tkáních, což může mít závažné důsledky pro zdraví.</w:t>
      </w:r>
    </w:p>
    <w:p w14:paraId="524C617C" w14:textId="4B266A1A" w:rsidR="00A51BE9" w:rsidRPr="00CD579D" w:rsidRDefault="00A51BE9" w:rsidP="00CC62D0">
      <w:r w:rsidRPr="00CD579D">
        <w:rPr>
          <w:rStyle w:val="cf01"/>
          <w:rFonts w:ascii="Times New Roman" w:hAnsi="Times New Roman" w:cs="Times New Roman"/>
          <w:sz w:val="24"/>
          <w:szCs w:val="24"/>
        </w:rPr>
        <w:t xml:space="preserve">Fosfor působí společně s </w:t>
      </w:r>
      <w:r w:rsidR="00CC62D0" w:rsidRPr="00CD579D">
        <w:rPr>
          <w:rStyle w:val="cf01"/>
          <w:rFonts w:ascii="Times New Roman" w:hAnsi="Times New Roman" w:cs="Times New Roman"/>
          <w:sz w:val="24"/>
          <w:szCs w:val="24"/>
        </w:rPr>
        <w:t xml:space="preserve">vápníkem </w:t>
      </w:r>
      <w:r w:rsidR="00993538">
        <w:rPr>
          <w:rStyle w:val="cf01"/>
          <w:rFonts w:ascii="Times New Roman" w:hAnsi="Times New Roman" w:cs="Times New Roman"/>
          <w:sz w:val="24"/>
          <w:szCs w:val="24"/>
        </w:rPr>
        <w:t>(</w:t>
      </w:r>
      <w:r w:rsidR="00CC62D0" w:rsidRPr="00CD579D">
        <w:rPr>
          <w:rStyle w:val="cf01"/>
          <w:rFonts w:ascii="Times New Roman" w:hAnsi="Times New Roman" w:cs="Times New Roman"/>
          <w:sz w:val="24"/>
          <w:szCs w:val="24"/>
        </w:rPr>
        <w:t>a</w:t>
      </w:r>
      <w:r w:rsidRPr="00CD579D">
        <w:rPr>
          <w:rStyle w:val="cf01"/>
          <w:rFonts w:ascii="Times New Roman" w:hAnsi="Times New Roman" w:cs="Times New Roman"/>
          <w:sz w:val="24"/>
          <w:szCs w:val="24"/>
        </w:rPr>
        <w:t xml:space="preserve"> vitaminem D</w:t>
      </w:r>
      <w:r w:rsidR="00993538" w:rsidRPr="500A5541">
        <w:rPr>
          <w:rStyle w:val="Znakapoznpodarou"/>
          <w:rFonts w:cs="Times New Roman"/>
        </w:rPr>
        <w:footnoteReference w:id="7"/>
      </w:r>
      <w:r w:rsidRPr="00CD579D">
        <w:rPr>
          <w:rStyle w:val="cf01"/>
          <w:rFonts w:ascii="Times New Roman" w:hAnsi="Times New Roman" w:cs="Times New Roman"/>
          <w:sz w:val="24"/>
          <w:szCs w:val="24"/>
        </w:rPr>
        <w:t>) na růst a udržování zdravých kostí a zubů.</w:t>
      </w:r>
    </w:p>
    <w:p w14:paraId="60049542" w14:textId="4A1D1C33" w:rsidR="31FC5EE4" w:rsidRDefault="31FC5EE4">
      <w:r w:rsidRPr="500A5541">
        <w:rPr>
          <w:rStyle w:val="cf01"/>
          <w:rFonts w:ascii="Times New Roman" w:hAnsi="Times New Roman" w:cs="Times New Roman"/>
          <w:sz w:val="24"/>
          <w:szCs w:val="24"/>
        </w:rPr>
        <w:t>Vápník a fosfor mohou vzájemně ovlivňovat svou rovnováhu v těle. Například strava s vysokým obsahem vápníku a nízkým obsahem fosforu může snížit absorpci fosforu a potenciálně vést k jeho nedostatku. Naopak strava s vysokým obsahem fosforu a nízkým obsahem vápníku může snížit vstřebávání vápníku. Oba scénáře mohou mít negativní dopady na zdraví kostí, a proto je důležité, aby byl v naší stravě udržen vyvážený poměr těchto dvou minerálních látek.</w:t>
      </w:r>
    </w:p>
    <w:p w14:paraId="554C86A7" w14:textId="4E78B2FA" w:rsidR="00D350D3" w:rsidRDefault="00D350D3" w:rsidP="00625A2E">
      <w:pPr>
        <w:pStyle w:val="Podnadpis"/>
        <w:rPr>
          <w:lang w:eastAsia="cs-CZ"/>
        </w:rPr>
      </w:pPr>
      <w:r w:rsidRPr="500A5541">
        <w:rPr>
          <w:lang w:eastAsia="cs-CZ"/>
        </w:rPr>
        <w:t>Síra</w:t>
      </w:r>
    </w:p>
    <w:p w14:paraId="0197EB33" w14:textId="53B794DD" w:rsidR="0C237C4D" w:rsidRDefault="0C237C4D" w:rsidP="500A5541">
      <w:pPr>
        <w:rPr>
          <w:lang w:eastAsia="cs-CZ"/>
        </w:rPr>
      </w:pPr>
      <w:r w:rsidRPr="500A5541">
        <w:rPr>
          <w:lang w:eastAsia="cs-CZ"/>
        </w:rPr>
        <w:t>Síra je klíčová součást některých aminokyselin, zejména methioninu a cysteinu, které se podílejí na tvorbě proteinů. Síra je důležitá nejen pro tvorbu proteinů, ale také pro udržení jejich správné struktury, neboť je obsažený v disulfidových můstkách. Disulfidové vazby pomáhají stabilizovat trojrozměrnou strukturu proteinů. Tyto vazby jsou nezbytné pro zajištění správné funkce proteinů a jejich odolnosti vůči denaturaci, což je důležité zejména u bílkovin v kůži, vlasech a nehtech.</w:t>
      </w:r>
    </w:p>
    <w:p w14:paraId="78B01712" w14:textId="1AC16B08" w:rsidR="0C237C4D" w:rsidRDefault="0C237C4D" w:rsidP="500A5541">
      <w:r w:rsidRPr="500A5541">
        <w:rPr>
          <w:lang w:eastAsia="cs-CZ"/>
        </w:rPr>
        <w:lastRenderedPageBreak/>
        <w:t xml:space="preserve">Kůže, vlasy a nehty mají vysoký obsah síry, protože obsahují protein keratin, který je bohatý na cystein. </w:t>
      </w:r>
    </w:p>
    <w:p w14:paraId="72B75C58" w14:textId="581CB4DA" w:rsidR="0C237C4D" w:rsidRDefault="0C237C4D" w:rsidP="500A5541">
      <w:pPr>
        <w:rPr>
          <w:lang w:eastAsia="cs-CZ"/>
        </w:rPr>
      </w:pPr>
      <w:r w:rsidRPr="500A5541">
        <w:rPr>
          <w:lang w:eastAsia="cs-CZ"/>
        </w:rPr>
        <w:t xml:space="preserve">Síra je také součástí derivátu cysteinu zvaného </w:t>
      </w:r>
      <w:proofErr w:type="spellStart"/>
      <w:r w:rsidRPr="500A5541">
        <w:rPr>
          <w:lang w:eastAsia="cs-CZ"/>
        </w:rPr>
        <w:t>taurin</w:t>
      </w:r>
      <w:proofErr w:type="spellEnd"/>
      <w:r w:rsidR="4224C5FA" w:rsidRPr="500A5541">
        <w:rPr>
          <w:lang w:eastAsia="cs-CZ"/>
        </w:rPr>
        <w:t>.</w:t>
      </w:r>
    </w:p>
    <w:p w14:paraId="71ADB86A" w14:textId="77777777" w:rsidR="00864E57" w:rsidRPr="00DB6603" w:rsidRDefault="00864E57" w:rsidP="00DB6603">
      <w:pPr>
        <w:rPr>
          <w:lang w:eastAsia="cs-CZ"/>
        </w:rPr>
      </w:pPr>
    </w:p>
    <w:p w14:paraId="0B26A3F3" w14:textId="63E0678A" w:rsidR="001B41AE" w:rsidRPr="00987533" w:rsidRDefault="009179FB" w:rsidP="00625A2E">
      <w:pPr>
        <w:pStyle w:val="Podnadpis"/>
      </w:pPr>
      <w:r>
        <w:t>Chl</w:t>
      </w:r>
      <w:r w:rsidR="007F1DD8">
        <w:t>o</w:t>
      </w:r>
      <w:r>
        <w:t>r</w:t>
      </w:r>
    </w:p>
    <w:p w14:paraId="1DB09811" w14:textId="6B378563" w:rsidR="778B2DE8" w:rsidRDefault="778B2DE8" w:rsidP="500A5541">
      <w:pPr>
        <w:rPr>
          <w:lang w:eastAsia="cs-CZ"/>
        </w:rPr>
      </w:pPr>
      <w:r w:rsidRPr="500A5541">
        <w:rPr>
          <w:lang w:eastAsia="cs-CZ"/>
        </w:rPr>
        <w:t>Chloridy se spolu se sodíkem podílejí na udržování osmotického tlaku a jsou hlavními extracelulárními anionty. Mezi významné funkce chloridů patří také udržování acidobazické rovnováhy v těle. Chloridové ionty jsou důležitou součástí žaludeční kyseliny (</w:t>
      </w:r>
      <w:proofErr w:type="spellStart"/>
      <w:r w:rsidRPr="500A5541">
        <w:rPr>
          <w:lang w:eastAsia="cs-CZ"/>
        </w:rPr>
        <w:t>HCl</w:t>
      </w:r>
      <w:proofErr w:type="spellEnd"/>
      <w:r w:rsidRPr="500A5541">
        <w:rPr>
          <w:lang w:eastAsia="cs-CZ"/>
        </w:rPr>
        <w:t>), která vytváří kyselé prostředí potřebné pro trávení.</w:t>
      </w:r>
    </w:p>
    <w:p w14:paraId="60DE6943" w14:textId="77777777" w:rsidR="008329F2" w:rsidRPr="00383A36" w:rsidRDefault="008329F2" w:rsidP="008329F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/>
          <w:lang w:eastAsia="cs-CZ"/>
        </w:rPr>
        <w:t xml:space="preserve">Výživová doporučená dávka </w:t>
      </w:r>
    </w:p>
    <w:p w14:paraId="4F79165E" w14:textId="77777777" w:rsidR="008329F2" w:rsidRPr="00383A36" w:rsidRDefault="008329F2" w:rsidP="008329F2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Chlor</w:t>
      </w:r>
      <w:r>
        <w:rPr>
          <w:lang w:eastAsia="cs-CZ"/>
        </w:rPr>
        <w:t xml:space="preserve"> </w:t>
      </w:r>
      <w:r w:rsidRPr="00383A36">
        <w:rPr>
          <w:lang w:eastAsia="cs-CZ"/>
        </w:rPr>
        <w:t>význačně</w:t>
      </w:r>
      <w:r>
        <w:rPr>
          <w:lang w:eastAsia="cs-CZ"/>
        </w:rPr>
        <w:t xml:space="preserve"> </w:t>
      </w:r>
      <w:r w:rsidRPr="00383A36">
        <w:rPr>
          <w:lang w:eastAsia="cs-CZ"/>
        </w:rPr>
        <w:t>souvisí</w:t>
      </w:r>
      <w:r>
        <w:rPr>
          <w:lang w:eastAsia="cs-CZ"/>
        </w:rPr>
        <w:t xml:space="preserve"> </w:t>
      </w:r>
      <w:r w:rsidRPr="00383A36">
        <w:rPr>
          <w:lang w:eastAsia="cs-CZ"/>
        </w:rPr>
        <w:t>se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sodíkem,</w:t>
      </w:r>
      <w:r>
        <w:rPr>
          <w:lang w:eastAsia="cs-CZ"/>
        </w:rPr>
        <w:t xml:space="preserve"> </w:t>
      </w:r>
      <w:r w:rsidRPr="00383A36">
        <w:rPr>
          <w:lang w:eastAsia="cs-CZ"/>
        </w:rPr>
        <w:t>a</w:t>
      </w:r>
      <w:r>
        <w:rPr>
          <w:lang w:eastAsia="cs-CZ"/>
        </w:rPr>
        <w:t xml:space="preserve"> </w:t>
      </w:r>
      <w:r w:rsidRPr="00383A36">
        <w:rPr>
          <w:lang w:eastAsia="cs-CZ"/>
        </w:rPr>
        <w:t>tak</w:t>
      </w:r>
      <w:r>
        <w:rPr>
          <w:lang w:eastAsia="cs-CZ"/>
        </w:rPr>
        <w:t xml:space="preserve"> </w:t>
      </w:r>
      <w:r w:rsidRPr="00383A36">
        <w:rPr>
          <w:lang w:eastAsia="cs-CZ"/>
        </w:rPr>
        <w:t>je</w:t>
      </w:r>
      <w:r>
        <w:rPr>
          <w:lang w:eastAsia="cs-CZ"/>
        </w:rPr>
        <w:t xml:space="preserve"> </w:t>
      </w:r>
      <w:r w:rsidRPr="00383A36">
        <w:rPr>
          <w:lang w:eastAsia="cs-CZ"/>
        </w:rPr>
        <w:t>i</w:t>
      </w:r>
      <w:r>
        <w:rPr>
          <w:lang w:eastAsia="cs-CZ"/>
        </w:rPr>
        <w:t xml:space="preserve"> </w:t>
      </w:r>
      <w:r w:rsidRPr="00383A36">
        <w:rPr>
          <w:lang w:eastAsia="cs-CZ"/>
        </w:rPr>
        <w:t>jeho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příjem</w:t>
      </w:r>
      <w:r>
        <w:rPr>
          <w:lang w:eastAsia="cs-CZ"/>
        </w:rPr>
        <w:t xml:space="preserve"> </w:t>
      </w:r>
      <w:r w:rsidRPr="00383A36">
        <w:rPr>
          <w:lang w:eastAsia="cs-CZ"/>
        </w:rPr>
        <w:t>na</w:t>
      </w:r>
      <w:r>
        <w:rPr>
          <w:lang w:eastAsia="cs-CZ"/>
        </w:rPr>
        <w:t xml:space="preserve"> </w:t>
      </w:r>
      <w:r w:rsidRPr="00383A36">
        <w:rPr>
          <w:lang w:eastAsia="cs-CZ"/>
        </w:rPr>
        <w:t>něj</w:t>
      </w:r>
      <w:r>
        <w:rPr>
          <w:lang w:eastAsia="cs-CZ"/>
        </w:rPr>
        <w:t xml:space="preserve"> </w:t>
      </w:r>
      <w:r w:rsidRPr="00383A36">
        <w:rPr>
          <w:lang w:eastAsia="cs-CZ"/>
        </w:rPr>
        <w:t>vázán.</w:t>
      </w:r>
      <w:r>
        <w:rPr>
          <w:lang w:eastAsia="cs-CZ"/>
        </w:rPr>
        <w:t xml:space="preserve"> </w:t>
      </w:r>
      <w:r w:rsidRPr="00383A36">
        <w:rPr>
          <w:lang w:eastAsia="cs-CZ"/>
        </w:rPr>
        <w:t>Doporučené</w:t>
      </w:r>
      <w:r>
        <w:rPr>
          <w:lang w:eastAsia="cs-CZ"/>
        </w:rPr>
        <w:t xml:space="preserve"> </w:t>
      </w:r>
      <w:r w:rsidRPr="00383A36">
        <w:rPr>
          <w:lang w:eastAsia="cs-CZ"/>
        </w:rPr>
        <w:t>množství</w:t>
      </w:r>
      <w:r>
        <w:rPr>
          <w:lang w:eastAsia="cs-CZ"/>
        </w:rPr>
        <w:t xml:space="preserve"> </w:t>
      </w:r>
      <w:r w:rsidRPr="00383A36">
        <w:rPr>
          <w:lang w:eastAsia="cs-CZ"/>
        </w:rPr>
        <w:t>je</w:t>
      </w:r>
      <w:r>
        <w:rPr>
          <w:lang w:eastAsia="cs-CZ"/>
        </w:rPr>
        <w:t xml:space="preserve"> </w:t>
      </w:r>
      <w:r w:rsidRPr="00383A36">
        <w:rPr>
          <w:lang w:eastAsia="cs-CZ"/>
        </w:rPr>
        <w:t>dle</w:t>
      </w:r>
      <w:r>
        <w:rPr>
          <w:lang w:eastAsia="cs-CZ"/>
        </w:rPr>
        <w:t xml:space="preserve"> </w:t>
      </w:r>
      <w:r w:rsidRPr="00383A36">
        <w:rPr>
          <w:lang w:eastAsia="cs-CZ"/>
        </w:rPr>
        <w:t>EFSA</w:t>
      </w:r>
      <w:r>
        <w:rPr>
          <w:lang w:eastAsia="cs-CZ"/>
        </w:rPr>
        <w:t xml:space="preserve"> </w:t>
      </w:r>
      <w:r w:rsidRPr="00383A36">
        <w:rPr>
          <w:lang w:eastAsia="cs-CZ"/>
        </w:rPr>
        <w:t>3,1</w:t>
      </w:r>
      <w:r>
        <w:rPr>
          <w:lang w:eastAsia="cs-CZ"/>
        </w:rPr>
        <w:t xml:space="preserve"> </w:t>
      </w:r>
      <w:r w:rsidRPr="00383A36">
        <w:rPr>
          <w:lang w:eastAsia="cs-CZ"/>
        </w:rPr>
        <w:t>g/den.</w:t>
      </w:r>
      <w:r>
        <w:rPr>
          <w:lang w:eastAsia="cs-CZ"/>
        </w:rPr>
        <w:t xml:space="preserve"> </w:t>
      </w:r>
    </w:p>
    <w:p w14:paraId="735BE49E" w14:textId="77777777" w:rsidR="008329F2" w:rsidRPr="00383A36" w:rsidRDefault="008329F2" w:rsidP="008329F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Zdroje</w:t>
      </w:r>
      <w:r>
        <w:rPr>
          <w:rFonts w:eastAsia="Times New Roman"/>
          <w:lang w:eastAsia="cs-CZ"/>
        </w:rPr>
        <w:t xml:space="preserve"> </w:t>
      </w:r>
    </w:p>
    <w:p w14:paraId="275E84C0" w14:textId="4AA25701" w:rsidR="008329F2" w:rsidRPr="00383A36" w:rsidRDefault="008329F2" w:rsidP="008329F2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Zdrojem</w:t>
      </w:r>
      <w:r>
        <w:rPr>
          <w:lang w:eastAsia="cs-CZ"/>
        </w:rPr>
        <w:t xml:space="preserve"> </w:t>
      </w:r>
      <w:r w:rsidRPr="00383A36">
        <w:rPr>
          <w:lang w:eastAsia="cs-CZ"/>
        </w:rPr>
        <w:t>chloridů</w:t>
      </w:r>
      <w:r>
        <w:rPr>
          <w:lang w:eastAsia="cs-CZ"/>
        </w:rPr>
        <w:t xml:space="preserve"> </w:t>
      </w:r>
      <w:r w:rsidRPr="00383A36">
        <w:rPr>
          <w:lang w:eastAsia="cs-CZ"/>
        </w:rPr>
        <w:t>je</w:t>
      </w:r>
      <w:r>
        <w:rPr>
          <w:lang w:eastAsia="cs-CZ"/>
        </w:rPr>
        <w:t xml:space="preserve"> </w:t>
      </w:r>
      <w:r w:rsidRPr="00383A36">
        <w:rPr>
          <w:lang w:eastAsia="cs-CZ"/>
        </w:rPr>
        <w:t>v</w:t>
      </w:r>
      <w:r>
        <w:rPr>
          <w:lang w:eastAsia="cs-CZ"/>
        </w:rPr>
        <w:t xml:space="preserve"> </w:t>
      </w:r>
      <w:r w:rsidRPr="00383A36">
        <w:rPr>
          <w:lang w:eastAsia="cs-CZ"/>
        </w:rPr>
        <w:t>naší</w:t>
      </w:r>
      <w:r>
        <w:rPr>
          <w:lang w:eastAsia="cs-CZ"/>
        </w:rPr>
        <w:t xml:space="preserve"> </w:t>
      </w:r>
      <w:r w:rsidRPr="00383A36">
        <w:rPr>
          <w:lang w:eastAsia="cs-CZ"/>
        </w:rPr>
        <w:t>stravě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převážně</w:t>
      </w:r>
      <w:r>
        <w:rPr>
          <w:lang w:eastAsia="cs-CZ"/>
        </w:rPr>
        <w:t xml:space="preserve"> </w:t>
      </w:r>
      <w:r w:rsidRPr="00383A36">
        <w:rPr>
          <w:lang w:eastAsia="cs-CZ"/>
        </w:rPr>
        <w:t>chlorid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sodný</w:t>
      </w:r>
      <w:r w:rsidR="003D0399">
        <w:rPr>
          <w:lang w:eastAsia="cs-CZ"/>
        </w:rPr>
        <w:t>, tedy všechny výrobky, do kterých byla přidána sůl.</w:t>
      </w:r>
    </w:p>
    <w:p w14:paraId="72FFA603" w14:textId="77777777" w:rsidR="008329F2" w:rsidRPr="00383A36" w:rsidRDefault="008329F2" w:rsidP="008329F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75A21021" w14:textId="1C2A1C50" w:rsidR="009179FB" w:rsidRDefault="008329F2" w:rsidP="500A5541">
      <w:pPr>
        <w:rPr>
          <w:rFonts w:cs="Times New Roman"/>
          <w:lang w:eastAsia="cs-CZ"/>
        </w:rPr>
      </w:pPr>
      <w:r w:rsidRPr="00383A36">
        <w:rPr>
          <w:lang w:eastAsia="cs-CZ"/>
        </w:rPr>
        <w:t>Chlorid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3D0399">
        <w:rPr>
          <w:b/>
          <w:bCs/>
          <w:lang w:eastAsia="cs-CZ"/>
        </w:rPr>
        <w:t>normálnímu trávení</w:t>
      </w:r>
      <w:r>
        <w:rPr>
          <w:lang w:eastAsia="cs-CZ"/>
        </w:rPr>
        <w:t xml:space="preserve"> </w:t>
      </w:r>
      <w:r w:rsidRPr="00383A36">
        <w:rPr>
          <w:lang w:eastAsia="cs-CZ"/>
        </w:rPr>
        <w:t>tím,</w:t>
      </w:r>
      <w:r>
        <w:rPr>
          <w:lang w:eastAsia="cs-CZ"/>
        </w:rPr>
        <w:t xml:space="preserve"> </w:t>
      </w:r>
      <w:r w:rsidRPr="00383A36">
        <w:rPr>
          <w:lang w:eastAsia="cs-CZ"/>
        </w:rPr>
        <w:t>že</w:t>
      </w:r>
      <w:r>
        <w:rPr>
          <w:lang w:eastAsia="cs-CZ"/>
        </w:rPr>
        <w:t xml:space="preserve"> </w:t>
      </w:r>
      <w:r w:rsidRPr="00383A36">
        <w:rPr>
          <w:lang w:eastAsia="cs-CZ"/>
        </w:rPr>
        <w:t>vytváří</w:t>
      </w:r>
      <w:r>
        <w:rPr>
          <w:lang w:eastAsia="cs-CZ"/>
        </w:rPr>
        <w:t xml:space="preserve"> </w:t>
      </w:r>
      <w:r w:rsidRPr="00383A36">
        <w:rPr>
          <w:lang w:eastAsia="cs-CZ"/>
        </w:rPr>
        <w:t>v</w:t>
      </w:r>
      <w:r>
        <w:rPr>
          <w:lang w:eastAsia="cs-CZ"/>
        </w:rPr>
        <w:t xml:space="preserve"> </w:t>
      </w:r>
      <w:r w:rsidRPr="00383A36">
        <w:rPr>
          <w:lang w:eastAsia="cs-CZ"/>
        </w:rPr>
        <w:t>žaludku</w:t>
      </w:r>
      <w:r>
        <w:rPr>
          <w:lang w:eastAsia="cs-CZ"/>
        </w:rPr>
        <w:t xml:space="preserve"> </w:t>
      </w:r>
      <w:r w:rsidRPr="00383A36">
        <w:rPr>
          <w:lang w:eastAsia="cs-CZ"/>
        </w:rPr>
        <w:t>kyselinu</w:t>
      </w:r>
      <w:r>
        <w:rPr>
          <w:lang w:eastAsia="cs-CZ"/>
        </w:rPr>
        <w:t xml:space="preserve"> </w:t>
      </w:r>
      <w:r w:rsidRPr="00383A36">
        <w:rPr>
          <w:lang w:eastAsia="cs-CZ"/>
        </w:rPr>
        <w:t>chlorovodíkovou</w:t>
      </w:r>
      <w:r w:rsidRPr="42857160">
        <w:rPr>
          <w:rFonts w:cs="Times New Roman"/>
          <w:lang w:eastAsia="cs-CZ"/>
        </w:rPr>
        <w:t>.</w:t>
      </w:r>
      <w:r w:rsidRPr="42857160">
        <w:rPr>
          <w:rStyle w:val="Znakapoznpodarou"/>
          <w:rFonts w:cs="Times New Roman"/>
          <w:lang w:eastAsia="cs-CZ"/>
        </w:rPr>
        <w:footnoteReference w:id="8"/>
      </w:r>
    </w:p>
    <w:p w14:paraId="058182A0" w14:textId="77777777" w:rsidR="00864E57" w:rsidRPr="00B70CB8" w:rsidRDefault="00864E57" w:rsidP="009179FB">
      <w:pPr>
        <w:rPr>
          <w:rFonts w:ascii="Segoe UI" w:hAnsi="Segoe UI" w:cs="Segoe UI"/>
          <w:sz w:val="18"/>
          <w:szCs w:val="18"/>
          <w:lang w:eastAsia="cs-CZ"/>
        </w:rPr>
      </w:pPr>
    </w:p>
    <w:p w14:paraId="75C731B8" w14:textId="72262857" w:rsidR="009179FB" w:rsidRDefault="009179FB" w:rsidP="00625A2E">
      <w:pPr>
        <w:pStyle w:val="Podnadpis"/>
      </w:pPr>
      <w:r>
        <w:t>Draslík</w:t>
      </w:r>
    </w:p>
    <w:p w14:paraId="573E4C4F" w14:textId="2960C69A" w:rsidR="009D5392" w:rsidRDefault="001C07CD" w:rsidP="009D5392">
      <w:pPr>
        <w:rPr>
          <w:lang w:eastAsia="cs-CZ"/>
        </w:rPr>
      </w:pPr>
      <w:r w:rsidRPr="049C5AC5">
        <w:rPr>
          <w:lang w:eastAsia="cs-CZ"/>
        </w:rPr>
        <w:t xml:space="preserve">Draslík je hlavní kation intracelulární tekutiny. </w:t>
      </w:r>
      <w:r w:rsidR="009D5392" w:rsidRPr="049C5AC5">
        <w:rPr>
          <w:lang w:eastAsia="cs-CZ"/>
        </w:rPr>
        <w:t xml:space="preserve">Hlavní funkcí draslíku je udržování membránového potenciálu. Dále je nutný pro udržení osmotického tlaku a </w:t>
      </w:r>
      <w:r w:rsidRPr="049C5AC5">
        <w:rPr>
          <w:lang w:eastAsia="cs-CZ"/>
        </w:rPr>
        <w:t>acidobazické rovnováhy. V</w:t>
      </w:r>
      <w:r w:rsidR="009D5392" w:rsidRPr="049C5AC5">
        <w:rPr>
          <w:lang w:eastAsia="cs-CZ"/>
        </w:rPr>
        <w:t xml:space="preserve"> neposlední řadě je společně se sodíkem důležitý pro vznik a šíření akčního potenciálu. Další funkcí je tvorba a vedení srdečních impulzů a je důležitý i pro správnou kontraktilitu srdce. </w:t>
      </w:r>
    </w:p>
    <w:p w14:paraId="519355BD" w14:textId="7A8FD649" w:rsidR="00BD72B5" w:rsidRPr="00625A2E" w:rsidRDefault="00BD72B5" w:rsidP="009D5392">
      <w:pPr>
        <w:rPr>
          <w:rFonts w:cs="Times New Roman"/>
          <w:szCs w:val="24"/>
          <w:lang w:eastAsia="cs-CZ"/>
        </w:rPr>
      </w:pPr>
      <w:r w:rsidRPr="500A5541">
        <w:rPr>
          <w:rStyle w:val="cf01"/>
          <w:rFonts w:ascii="Times New Roman" w:hAnsi="Times New Roman" w:cs="Times New Roman"/>
          <w:sz w:val="24"/>
          <w:szCs w:val="24"/>
        </w:rPr>
        <w:t xml:space="preserve">Draslík se vstřebává pasivní difuzí především v tenkém střevě. Přibližně 90 % přijatého draslíku se vstřebá a využije k udržení jeho normální intracelulární a extracelulární koncentrace. </w:t>
      </w:r>
      <w:r>
        <w:br/>
      </w:r>
      <w:r w:rsidRPr="500A5541">
        <w:rPr>
          <w:rStyle w:val="cf01"/>
          <w:rFonts w:ascii="Times New Roman" w:hAnsi="Times New Roman" w:cs="Times New Roman"/>
          <w:sz w:val="24"/>
          <w:szCs w:val="24"/>
        </w:rPr>
        <w:t>Draslík se vylučuje především močí, část se vylučuje stolicí a velmi malé množství se ztrácí potem.</w:t>
      </w:r>
    </w:p>
    <w:p w14:paraId="4FA49326" w14:textId="60A4F7CA" w:rsidR="500A5541" w:rsidRDefault="500A5541" w:rsidP="500A5541">
      <w:pPr>
        <w:rPr>
          <w:rStyle w:val="cf01"/>
          <w:rFonts w:ascii="Times New Roman" w:hAnsi="Times New Roman" w:cs="Times New Roman"/>
          <w:sz w:val="24"/>
          <w:szCs w:val="24"/>
        </w:rPr>
      </w:pPr>
    </w:p>
    <w:p w14:paraId="795AE65A" w14:textId="7BBC157C" w:rsidR="00BD72B5" w:rsidRPr="00BD72B5" w:rsidRDefault="001C07CD" w:rsidP="00BD72B5">
      <w:pPr>
        <w:pStyle w:val="Nadpis3"/>
        <w:rPr>
          <w:rFonts w:eastAsia="Times New Roman"/>
          <w:lang w:eastAsia="cs-CZ"/>
        </w:rPr>
      </w:pPr>
      <w:r w:rsidRPr="00383A36">
        <w:rPr>
          <w:rFonts w:eastAsia="Times New Roman"/>
          <w:lang w:eastAsia="cs-CZ"/>
        </w:rPr>
        <w:lastRenderedPageBreak/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3589ADD9" w14:textId="77777777" w:rsidR="001C07CD" w:rsidRPr="00383A36" w:rsidRDefault="001C07CD" w:rsidP="001C07CD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Draslík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1C07CD">
        <w:rPr>
          <w:b/>
          <w:bCs/>
          <w:lang w:eastAsia="cs-CZ"/>
        </w:rPr>
        <w:t>normální činnosti nervové soustavy</w:t>
      </w:r>
      <w:r>
        <w:rPr>
          <w:lang w:eastAsia="cs-CZ"/>
        </w:rPr>
        <w:t>.</w:t>
      </w:r>
    </w:p>
    <w:p w14:paraId="7DDF3652" w14:textId="77777777" w:rsidR="001C07CD" w:rsidRPr="00383A36" w:rsidRDefault="001C07CD" w:rsidP="001C07CD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Draslík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1C07CD">
        <w:rPr>
          <w:b/>
          <w:bCs/>
          <w:lang w:eastAsia="cs-CZ"/>
        </w:rPr>
        <w:t>normální činnosti svalů</w:t>
      </w:r>
      <w:r>
        <w:rPr>
          <w:lang w:eastAsia="cs-CZ"/>
        </w:rPr>
        <w:t>.</w:t>
      </w:r>
    </w:p>
    <w:p w14:paraId="7733D57B" w14:textId="77777777" w:rsidR="001C07CD" w:rsidRPr="00383A36" w:rsidRDefault="001C07CD" w:rsidP="001C07CD">
      <w:pPr>
        <w:rPr>
          <w:rFonts w:ascii="Segoe UI" w:hAnsi="Segoe UI" w:cs="Segoe UI"/>
          <w:sz w:val="18"/>
          <w:szCs w:val="18"/>
          <w:lang w:eastAsia="cs-CZ"/>
        </w:rPr>
      </w:pPr>
      <w:r w:rsidRPr="00383A36">
        <w:rPr>
          <w:lang w:eastAsia="cs-CZ"/>
        </w:rPr>
        <w:t>Draslík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přispívá</w:t>
      </w:r>
      <w:r>
        <w:rPr>
          <w:lang w:eastAsia="cs-CZ"/>
        </w:rPr>
        <w:t xml:space="preserve"> </w:t>
      </w:r>
      <w:r w:rsidRPr="00383A36">
        <w:rPr>
          <w:lang w:eastAsia="cs-CZ"/>
        </w:rPr>
        <w:t>k</w:t>
      </w:r>
      <w:r>
        <w:rPr>
          <w:lang w:eastAsia="cs-CZ"/>
        </w:rPr>
        <w:t xml:space="preserve"> </w:t>
      </w:r>
      <w:r w:rsidRPr="001C07CD">
        <w:rPr>
          <w:b/>
          <w:bCs/>
          <w:lang w:eastAsia="cs-CZ"/>
        </w:rPr>
        <w:t>udržení normálního krevního tlaku</w:t>
      </w:r>
      <w:r>
        <w:rPr>
          <w:lang w:eastAsia="cs-CZ"/>
        </w:rPr>
        <w:t>.</w:t>
      </w:r>
    </w:p>
    <w:p w14:paraId="680AC1DF" w14:textId="22BAC8AD" w:rsidR="00704622" w:rsidRDefault="00704622" w:rsidP="00704622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Výživová doporučená dávka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04622" w14:paraId="0BF57488" w14:textId="77777777" w:rsidTr="00625A2E">
        <w:trPr>
          <w:trHeight w:val="454"/>
        </w:trPr>
        <w:tc>
          <w:tcPr>
            <w:tcW w:w="2500" w:type="pct"/>
          </w:tcPr>
          <w:p w14:paraId="7FBC70A5" w14:textId="77777777" w:rsidR="00704622" w:rsidRPr="009335E2" w:rsidRDefault="00704622" w:rsidP="00B044EC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Věk</w:t>
            </w:r>
          </w:p>
        </w:tc>
        <w:tc>
          <w:tcPr>
            <w:tcW w:w="2500" w:type="pct"/>
          </w:tcPr>
          <w:p w14:paraId="7B3A705C" w14:textId="77777777" w:rsidR="00704622" w:rsidRPr="009335E2" w:rsidRDefault="00704622" w:rsidP="00B044EC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VDD</w:t>
            </w:r>
          </w:p>
        </w:tc>
      </w:tr>
      <w:tr w:rsidR="00704622" w14:paraId="25DEB7D4" w14:textId="77777777" w:rsidTr="00625A2E">
        <w:trPr>
          <w:trHeight w:val="454"/>
        </w:trPr>
        <w:tc>
          <w:tcPr>
            <w:tcW w:w="2500" w:type="pct"/>
          </w:tcPr>
          <w:p w14:paraId="628449AA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7–11 měsíců</w:t>
            </w:r>
          </w:p>
        </w:tc>
        <w:tc>
          <w:tcPr>
            <w:tcW w:w="2500" w:type="pct"/>
          </w:tcPr>
          <w:p w14:paraId="080AEACF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750 mg</w:t>
            </w:r>
          </w:p>
        </w:tc>
      </w:tr>
      <w:tr w:rsidR="00704622" w14:paraId="10A1215A" w14:textId="77777777" w:rsidTr="00625A2E">
        <w:trPr>
          <w:trHeight w:val="454"/>
        </w:trPr>
        <w:tc>
          <w:tcPr>
            <w:tcW w:w="2500" w:type="pct"/>
          </w:tcPr>
          <w:p w14:paraId="6C3F156E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1–3 roky</w:t>
            </w:r>
          </w:p>
        </w:tc>
        <w:tc>
          <w:tcPr>
            <w:tcW w:w="2500" w:type="pct"/>
          </w:tcPr>
          <w:p w14:paraId="4B261FDC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800 mg</w:t>
            </w:r>
          </w:p>
        </w:tc>
      </w:tr>
      <w:tr w:rsidR="00704622" w14:paraId="6C589D79" w14:textId="77777777" w:rsidTr="00625A2E">
        <w:trPr>
          <w:trHeight w:val="454"/>
        </w:trPr>
        <w:tc>
          <w:tcPr>
            <w:tcW w:w="2500" w:type="pct"/>
          </w:tcPr>
          <w:p w14:paraId="108938CA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4–6 let</w:t>
            </w:r>
          </w:p>
        </w:tc>
        <w:tc>
          <w:tcPr>
            <w:tcW w:w="2500" w:type="pct"/>
          </w:tcPr>
          <w:p w14:paraId="7B544E9B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1 100 mg</w:t>
            </w:r>
          </w:p>
        </w:tc>
      </w:tr>
      <w:tr w:rsidR="00704622" w14:paraId="1F5C791C" w14:textId="77777777" w:rsidTr="00625A2E">
        <w:trPr>
          <w:trHeight w:val="454"/>
        </w:trPr>
        <w:tc>
          <w:tcPr>
            <w:tcW w:w="2500" w:type="pct"/>
          </w:tcPr>
          <w:p w14:paraId="1E9E0CE4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7–10 let</w:t>
            </w:r>
          </w:p>
        </w:tc>
        <w:tc>
          <w:tcPr>
            <w:tcW w:w="2500" w:type="pct"/>
          </w:tcPr>
          <w:p w14:paraId="306149E4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1 800 mg</w:t>
            </w:r>
          </w:p>
        </w:tc>
      </w:tr>
      <w:tr w:rsidR="00704622" w14:paraId="61994720" w14:textId="77777777" w:rsidTr="00625A2E">
        <w:trPr>
          <w:trHeight w:val="454"/>
        </w:trPr>
        <w:tc>
          <w:tcPr>
            <w:tcW w:w="2500" w:type="pct"/>
          </w:tcPr>
          <w:p w14:paraId="399EF360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11–14 let</w:t>
            </w:r>
          </w:p>
        </w:tc>
        <w:tc>
          <w:tcPr>
            <w:tcW w:w="2500" w:type="pct"/>
          </w:tcPr>
          <w:p w14:paraId="21EB794D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2 700 mg</w:t>
            </w:r>
          </w:p>
        </w:tc>
      </w:tr>
      <w:tr w:rsidR="00704622" w14:paraId="74A487CF" w14:textId="77777777" w:rsidTr="00625A2E">
        <w:trPr>
          <w:trHeight w:val="454"/>
        </w:trPr>
        <w:tc>
          <w:tcPr>
            <w:tcW w:w="2500" w:type="pct"/>
          </w:tcPr>
          <w:p w14:paraId="504A93C1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15–17 let</w:t>
            </w:r>
          </w:p>
        </w:tc>
        <w:tc>
          <w:tcPr>
            <w:tcW w:w="2500" w:type="pct"/>
          </w:tcPr>
          <w:p w14:paraId="581339FD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3 500 mg</w:t>
            </w:r>
          </w:p>
        </w:tc>
      </w:tr>
      <w:tr w:rsidR="00704622" w14:paraId="38E76FFA" w14:textId="77777777" w:rsidTr="00625A2E">
        <w:trPr>
          <w:trHeight w:val="454"/>
        </w:trPr>
        <w:tc>
          <w:tcPr>
            <w:tcW w:w="2500" w:type="pct"/>
          </w:tcPr>
          <w:p w14:paraId="66FAF56D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rFonts w:cs="Times New Roman"/>
                <w:lang w:eastAsia="cs-CZ"/>
              </w:rPr>
              <w:t xml:space="preserve">≥ </w:t>
            </w:r>
            <w:r w:rsidRPr="009335E2">
              <w:rPr>
                <w:lang w:eastAsia="cs-CZ"/>
              </w:rPr>
              <w:t>18 let</w:t>
            </w:r>
          </w:p>
        </w:tc>
        <w:tc>
          <w:tcPr>
            <w:tcW w:w="2500" w:type="pct"/>
          </w:tcPr>
          <w:p w14:paraId="44A63FB9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3 500 mg</w:t>
            </w:r>
          </w:p>
        </w:tc>
      </w:tr>
      <w:tr w:rsidR="00704622" w14:paraId="17AA896A" w14:textId="77777777" w:rsidTr="00625A2E">
        <w:trPr>
          <w:trHeight w:val="454"/>
        </w:trPr>
        <w:tc>
          <w:tcPr>
            <w:tcW w:w="2500" w:type="pct"/>
          </w:tcPr>
          <w:p w14:paraId="21BFA682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Těhotné ženy</w:t>
            </w:r>
          </w:p>
        </w:tc>
        <w:tc>
          <w:tcPr>
            <w:tcW w:w="2500" w:type="pct"/>
          </w:tcPr>
          <w:p w14:paraId="50639727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3 500 mg</w:t>
            </w:r>
          </w:p>
        </w:tc>
      </w:tr>
      <w:tr w:rsidR="00704622" w14:paraId="3D0282E8" w14:textId="77777777" w:rsidTr="00625A2E">
        <w:trPr>
          <w:trHeight w:val="454"/>
        </w:trPr>
        <w:tc>
          <w:tcPr>
            <w:tcW w:w="2500" w:type="pct"/>
          </w:tcPr>
          <w:p w14:paraId="04665D9C" w14:textId="77777777" w:rsidR="00704622" w:rsidRPr="009335E2" w:rsidRDefault="00704622" w:rsidP="00987533">
            <w:pPr>
              <w:jc w:val="center"/>
              <w:rPr>
                <w:b/>
                <w:lang w:eastAsia="cs-CZ"/>
              </w:rPr>
            </w:pPr>
            <w:r w:rsidRPr="009335E2">
              <w:rPr>
                <w:lang w:eastAsia="cs-CZ"/>
              </w:rPr>
              <w:t>Kojící ženy</w:t>
            </w:r>
          </w:p>
        </w:tc>
        <w:tc>
          <w:tcPr>
            <w:tcW w:w="2500" w:type="pct"/>
          </w:tcPr>
          <w:p w14:paraId="6621E2B1" w14:textId="77777777" w:rsidR="00704622" w:rsidRDefault="00704622" w:rsidP="00B044E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4 000 mg</w:t>
            </w:r>
          </w:p>
        </w:tc>
      </w:tr>
    </w:tbl>
    <w:p w14:paraId="2464D99F" w14:textId="77777777" w:rsidR="00704622" w:rsidRPr="00BB66C7" w:rsidRDefault="00704622" w:rsidP="0070462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Zdroje</w:t>
      </w:r>
      <w:r>
        <w:rPr>
          <w:rFonts w:eastAsia="Times New Roman"/>
          <w:lang w:eastAsia="cs-CZ"/>
        </w:rPr>
        <w:t xml:space="preserve"> </w:t>
      </w:r>
    </w:p>
    <w:p w14:paraId="4BFD6C59" w14:textId="05EC80CC" w:rsidR="00704622" w:rsidRDefault="7A6D4F81" w:rsidP="00704622">
      <w:pPr>
        <w:rPr>
          <w:lang w:eastAsia="cs-CZ"/>
        </w:rPr>
      </w:pPr>
      <w:r w:rsidRPr="500A5541">
        <w:rPr>
          <w:lang w:eastAsia="cs-CZ"/>
        </w:rPr>
        <w:t>Draslík se vyskytuje v dostatečném množství v běžných potravinách převážně rostlinného původu, jako jsou například banány, avokádo, meruňky, broskve, brambory a špenát, dále v sušeném ovoci, luštěninách, obilovinách, ořeších apod. Draslík najdeme také v mase a rybách. Draslík se z potravin může ztrácet technologickým zpracováním, především při vaření a máčení, kdy se vyplavuje do vody. Aby se minimalizovaly ztráty draslíku, doporučuje se vařit s menším množstvím vody nebo používat jiné techniky, jako je dušení.</w:t>
      </w:r>
      <w:r w:rsidR="00704622" w:rsidRPr="500A5541">
        <w:rPr>
          <w:lang w:eastAsia="cs-CZ"/>
        </w:rPr>
        <w:t xml:space="preserve"> </w:t>
      </w:r>
    </w:p>
    <w:p w14:paraId="6D783FC4" w14:textId="68008A9E" w:rsidR="5FF029D1" w:rsidRDefault="5FF029D1" w:rsidP="500A5541">
      <w:pPr>
        <w:rPr>
          <w:b/>
          <w:bCs/>
          <w:lang w:eastAsia="cs-CZ"/>
        </w:rPr>
      </w:pPr>
      <w:r w:rsidRPr="09552452">
        <w:rPr>
          <w:b/>
          <w:bCs/>
          <w:lang w:eastAsia="cs-CZ"/>
        </w:rPr>
        <w:t>Funkce</w:t>
      </w:r>
    </w:p>
    <w:p w14:paraId="674FCC91" w14:textId="60418932" w:rsidR="5FF029D1" w:rsidRDefault="5FF029D1" w:rsidP="500A5541">
      <w:pPr>
        <w:rPr>
          <w:lang w:eastAsia="cs-CZ"/>
        </w:rPr>
      </w:pPr>
      <w:r w:rsidRPr="09552452">
        <w:rPr>
          <w:lang w:eastAsia="cs-CZ"/>
        </w:rPr>
        <w:t>Draslík je nezbytný pro udržování membránového potenciálu, což je rozdíl v elektrickém náboji mezi vnitřkem a vnějškem buněčné membrány. Tento membránový potenciál je důležitý zejména pro nervové a svalové buňky, protože umožňuje přenos nervových impulzů a kontrakci svalů. Draslík je klíčovým faktorem v regulaci osmotického tlaku uvnitř buněk, čímž pomáhá udržovat rovnováhu tekutin v těle, což je zásadní pro normální funkci buněk a hydrataci.</w:t>
      </w:r>
    </w:p>
    <w:p w14:paraId="03359AA4" w14:textId="6BE95E0F" w:rsidR="5FF029D1" w:rsidRDefault="5FF029D1" w:rsidP="500A5541">
      <w:r w:rsidRPr="500A5541">
        <w:rPr>
          <w:lang w:eastAsia="cs-CZ"/>
        </w:rPr>
        <w:t xml:space="preserve">Další důležitou funkcí draslíku je jeho role při udržování acidobazické rovnováhy (pH) v těle, což je nezbytné pro správné fungování enzymů a biochemických procesů. Draslík se spolu se sodíkem podílí na tvorbě a šíření akčního potenciálu, který umožňuje přenos nervových signálů </w:t>
      </w:r>
      <w:r w:rsidRPr="500A5541">
        <w:rPr>
          <w:lang w:eastAsia="cs-CZ"/>
        </w:rPr>
        <w:lastRenderedPageBreak/>
        <w:t>mezi buňkami a svaly. To je klíčové pro regulaci činnosti svalů, včetně srdečního svalu, kde draslík zajišťuje správné vedení srdečních impulzů a je nezbytný pro normální kontraktilitu srdce.</w:t>
      </w:r>
    </w:p>
    <w:p w14:paraId="399D319A" w14:textId="3D5E5A50" w:rsidR="5FF029D1" w:rsidRDefault="5FF029D1" w:rsidP="500A5541">
      <w:r w:rsidRPr="500A5541">
        <w:rPr>
          <w:lang w:eastAsia="cs-CZ"/>
        </w:rPr>
        <w:t>Kromě toho je draslík důležitý pro správnou funkci kosterních svalů, protože ovlivňuje pohyb iontů sodíku a vápníku přes buněčné membrány, což umožňuje efektivní svalovou kontrakci. Jeho správná hladina v těle je tedy zásadní pro zdraví nervového a svalového systému, včetně udržení stabilního srdečního rytmu a normálního svalového tonusu.</w:t>
      </w:r>
    </w:p>
    <w:p w14:paraId="4BF5AD2D" w14:textId="2C29D424" w:rsidR="500A5541" w:rsidRDefault="500A5541" w:rsidP="500A5541">
      <w:pPr>
        <w:rPr>
          <w:lang w:eastAsia="cs-CZ"/>
        </w:rPr>
      </w:pPr>
    </w:p>
    <w:p w14:paraId="4588906E" w14:textId="43F00A9C" w:rsidR="79C34F06" w:rsidRDefault="79C34F06" w:rsidP="09552452">
      <w:pPr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  <w:r w:rsidRPr="09552452">
        <w:rPr>
          <w:rStyle w:val="cf01"/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7378877A" w14:textId="0A0C8A45" w:rsidR="79C34F06" w:rsidRDefault="79C34F06" w:rsidP="09552452">
      <w:r w:rsidRPr="09552452">
        <w:rPr>
          <w:rStyle w:val="cf01"/>
          <w:rFonts w:ascii="Times New Roman" w:hAnsi="Times New Roman" w:cs="Times New Roman"/>
          <w:sz w:val="24"/>
          <w:szCs w:val="24"/>
        </w:rPr>
        <w:t>Nedostatek draslíku (</w:t>
      </w:r>
      <w:proofErr w:type="spellStart"/>
      <w:r w:rsidRPr="09552452">
        <w:rPr>
          <w:rStyle w:val="cf01"/>
          <w:rFonts w:ascii="Times New Roman" w:hAnsi="Times New Roman" w:cs="Times New Roman"/>
          <w:sz w:val="24"/>
          <w:szCs w:val="24"/>
        </w:rPr>
        <w:t>hypokalemie</w:t>
      </w:r>
      <w:proofErr w:type="spellEnd"/>
      <w:r w:rsidRPr="09552452">
        <w:rPr>
          <w:rStyle w:val="cf01"/>
          <w:rFonts w:ascii="Times New Roman" w:hAnsi="Times New Roman" w:cs="Times New Roman"/>
          <w:sz w:val="24"/>
          <w:szCs w:val="24"/>
        </w:rPr>
        <w:t>) je často způsoben ztrátami draslíku při těžkých průjmech nebo zvracení, které mohou vést k narušení rovnováhy elektrolytů v těle. Mezi hlavní příznaky nedostatku patří:</w:t>
      </w:r>
    </w:p>
    <w:p w14:paraId="301BD290" w14:textId="5BE3BFA3" w:rsidR="79C34F06" w:rsidRDefault="79C34F06" w:rsidP="09552452">
      <w:r w:rsidRPr="09552452">
        <w:rPr>
          <w:rStyle w:val="cf01"/>
          <w:rFonts w:ascii="Times New Roman" w:hAnsi="Times New Roman" w:cs="Times New Roman"/>
          <w:sz w:val="24"/>
          <w:szCs w:val="24"/>
        </w:rPr>
        <w:t>Svalové křeče a svalová slabost v důsledku narušené svalové kontrakce.</w:t>
      </w:r>
    </w:p>
    <w:p w14:paraId="5806688E" w14:textId="4C6B710A" w:rsidR="79C34F06" w:rsidRDefault="79C34F06" w:rsidP="09552452">
      <w:r w:rsidRPr="09552452">
        <w:rPr>
          <w:rStyle w:val="cf01"/>
          <w:rFonts w:ascii="Times New Roman" w:hAnsi="Times New Roman" w:cs="Times New Roman"/>
          <w:sz w:val="24"/>
          <w:szCs w:val="24"/>
        </w:rPr>
        <w:t>Nauzea (nevolnost) a celková únava, které jsou spojeny s ovlivněním nervové a svalové aktivity.</w:t>
      </w:r>
    </w:p>
    <w:p w14:paraId="497538D3" w14:textId="0B3ED3CB" w:rsidR="79C34F06" w:rsidRDefault="79C34F06" w:rsidP="09552452">
      <w:r w:rsidRPr="09552452">
        <w:rPr>
          <w:rStyle w:val="cf01"/>
          <w:rFonts w:ascii="Times New Roman" w:hAnsi="Times New Roman" w:cs="Times New Roman"/>
          <w:sz w:val="24"/>
          <w:szCs w:val="24"/>
        </w:rPr>
        <w:t xml:space="preserve">Při těžším nedostatku draslíku se mohou objevit nepravidelnosti srdečního rytmu (arytmie), což je vážné riziko </w:t>
      </w:r>
      <w:proofErr w:type="spellStart"/>
      <w:r w:rsidRPr="09552452">
        <w:rPr>
          <w:rStyle w:val="cf01"/>
          <w:rFonts w:ascii="Times New Roman" w:hAnsi="Times New Roman" w:cs="Times New Roman"/>
          <w:sz w:val="24"/>
          <w:szCs w:val="24"/>
        </w:rPr>
        <w:t>hypokalémie</w:t>
      </w:r>
      <w:proofErr w:type="spellEnd"/>
      <w:r w:rsidRPr="09552452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477C4715" w14:textId="2E555221" w:rsidR="79C34F06" w:rsidRDefault="79C34F06" w:rsidP="09552452">
      <w:r w:rsidRPr="09552452">
        <w:rPr>
          <w:rStyle w:val="cf01"/>
          <w:rFonts w:ascii="Times New Roman" w:hAnsi="Times New Roman" w:cs="Times New Roman"/>
          <w:sz w:val="24"/>
          <w:szCs w:val="24"/>
        </w:rPr>
        <w:t xml:space="preserve">Podle výsledků Monitoringu dietární expozice člověka v ČR 2023 (prof. </w:t>
      </w:r>
      <w:proofErr w:type="spellStart"/>
      <w:r w:rsidRPr="09552452">
        <w:rPr>
          <w:rStyle w:val="cf01"/>
          <w:rFonts w:ascii="Times New Roman" w:hAnsi="Times New Roman" w:cs="Times New Roman"/>
          <w:sz w:val="24"/>
          <w:szCs w:val="24"/>
        </w:rPr>
        <w:t>Ruprich</w:t>
      </w:r>
      <w:proofErr w:type="spellEnd"/>
      <w:r w:rsidRPr="09552452">
        <w:rPr>
          <w:rStyle w:val="cf01"/>
          <w:rFonts w:ascii="Times New Roman" w:hAnsi="Times New Roman" w:cs="Times New Roman"/>
          <w:sz w:val="24"/>
          <w:szCs w:val="24"/>
        </w:rPr>
        <w:t>) je v České republice nízký přívod draslíku napříč většinou populačních skupin, s výjimkou dětí ve věku 4-10 let a adolescentů ve věku 11-14 let, u kterých je příjem draslíku dostatečný.</w:t>
      </w:r>
    </w:p>
    <w:p w14:paraId="2A1942F3" w14:textId="77777777" w:rsidR="00987533" w:rsidRPr="00687CCB" w:rsidRDefault="00987533" w:rsidP="00987533">
      <w:pPr>
        <w:rPr>
          <w:lang w:eastAsia="cs-CZ"/>
        </w:rPr>
      </w:pPr>
    </w:p>
    <w:p w14:paraId="56FF77DA" w14:textId="4E6F616C" w:rsidR="009179FB" w:rsidRDefault="009179FB" w:rsidP="00625A2E">
      <w:pPr>
        <w:pStyle w:val="Podnadpis"/>
      </w:pPr>
      <w:r>
        <w:t>Sodík</w:t>
      </w:r>
    </w:p>
    <w:p w14:paraId="503FB15E" w14:textId="3A29E925" w:rsidR="0F46CB3A" w:rsidRDefault="0F46CB3A" w:rsidP="09552452">
      <w:pPr>
        <w:rPr>
          <w:rFonts w:ascii="Segoe UI" w:hAnsi="Segoe UI" w:cs="Segoe UI"/>
          <w:sz w:val="18"/>
          <w:szCs w:val="18"/>
          <w:lang w:eastAsia="cs-CZ"/>
        </w:rPr>
      </w:pPr>
      <w:r w:rsidRPr="09552452">
        <w:rPr>
          <w:lang w:eastAsia="cs-CZ"/>
        </w:rPr>
        <w:t>Sodík patří mezi nejdůležitější minerální látky v lidském těle. Přibližně 50–60 % sodíku se nachází v extracelulární tekutině, kde je sodík hlavním kationtem, zodpovědným za udržování osmotického tlaku a rovnováhy tekutin. V intracelulární tekutině se nachází pouze malé množství sodíku, přibližně 5–10 %, protože hlavním kationtem uvnitř buněk je draslík. Zbytek sodíku, přibližně 40 %, je uložen v kostech.</w:t>
      </w:r>
    </w:p>
    <w:p w14:paraId="680871D7" w14:textId="77777777" w:rsidR="00614457" w:rsidRPr="00383A36" w:rsidRDefault="00614457" w:rsidP="00614457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Zdravotní</w:t>
      </w:r>
      <w:r>
        <w:rPr>
          <w:rFonts w:eastAsia="Times New Roman"/>
          <w:lang w:eastAsia="cs-CZ"/>
        </w:rPr>
        <w:t xml:space="preserve"> </w:t>
      </w:r>
      <w:r w:rsidRPr="00383A36">
        <w:rPr>
          <w:rFonts w:eastAsia="Times New Roman"/>
          <w:lang w:eastAsia="cs-CZ"/>
        </w:rPr>
        <w:t>tvrzení</w:t>
      </w:r>
      <w:r>
        <w:rPr>
          <w:rFonts w:eastAsia="Times New Roman"/>
          <w:lang w:eastAsia="cs-CZ"/>
        </w:rPr>
        <w:t xml:space="preserve"> </w:t>
      </w:r>
    </w:p>
    <w:p w14:paraId="73BAB914" w14:textId="76A7B3E5" w:rsidR="000809E0" w:rsidRDefault="000809E0" w:rsidP="00614457">
      <w:pPr>
        <w:rPr>
          <w:lang w:eastAsia="cs-CZ"/>
        </w:rPr>
      </w:pPr>
      <w:r w:rsidRPr="000809E0">
        <w:rPr>
          <w:b/>
          <w:bCs/>
          <w:lang w:eastAsia="cs-CZ"/>
        </w:rPr>
        <w:t>Snížená</w:t>
      </w:r>
      <w:r>
        <w:rPr>
          <w:lang w:eastAsia="cs-CZ"/>
        </w:rPr>
        <w:t xml:space="preserve"> </w:t>
      </w:r>
      <w:r w:rsidRPr="000809E0">
        <w:rPr>
          <w:lang w:eastAsia="cs-CZ"/>
        </w:rPr>
        <w:t xml:space="preserve">konzumace sodíku přispívá k </w:t>
      </w:r>
      <w:r w:rsidRPr="000809E0">
        <w:rPr>
          <w:b/>
          <w:bCs/>
          <w:lang w:eastAsia="cs-CZ"/>
        </w:rPr>
        <w:t>udržení normálního krevního tlaku</w:t>
      </w:r>
      <w:r>
        <w:rPr>
          <w:lang w:eastAsia="cs-CZ"/>
        </w:rPr>
        <w:t xml:space="preserve"> </w:t>
      </w:r>
      <w:r w:rsidRPr="000809E0">
        <w:rPr>
          <w:lang w:eastAsia="cs-CZ"/>
        </w:rPr>
        <w:t>(pro potraviny, které</w:t>
      </w:r>
      <w:r w:rsidR="002C1E2F">
        <w:rPr>
          <w:lang w:eastAsia="cs-CZ"/>
        </w:rPr>
        <w:t> </w:t>
      </w:r>
      <w:r w:rsidRPr="000809E0">
        <w:rPr>
          <w:lang w:eastAsia="cs-CZ"/>
        </w:rPr>
        <w:t>mají přinejmenším nízký obsah sodíku/soli nebo snížený obsah sodíku/soli)</w:t>
      </w:r>
      <w:r>
        <w:rPr>
          <w:lang w:eastAsia="cs-CZ"/>
        </w:rPr>
        <w:t>.</w:t>
      </w:r>
    </w:p>
    <w:p w14:paraId="70342D07" w14:textId="77777777" w:rsidR="00614457" w:rsidRDefault="00614457" w:rsidP="00614457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Výživová tvrzení</w:t>
      </w:r>
    </w:p>
    <w:p w14:paraId="5E774AE6" w14:textId="6D3110AA" w:rsidR="002C1E2F" w:rsidRDefault="00614457" w:rsidP="002C1E2F">
      <w:pPr>
        <w:pStyle w:val="Odstavecseseznamem"/>
        <w:numPr>
          <w:ilvl w:val="0"/>
          <w:numId w:val="28"/>
        </w:numPr>
        <w:rPr>
          <w:lang w:eastAsia="cs-CZ"/>
        </w:rPr>
      </w:pPr>
      <w:r w:rsidRPr="002C1E2F">
        <w:rPr>
          <w:b/>
          <w:lang w:eastAsia="cs-CZ"/>
        </w:rPr>
        <w:t>S nízkým obsahem sodíku/soli</w:t>
      </w:r>
      <w:r>
        <w:rPr>
          <w:lang w:eastAsia="cs-CZ"/>
        </w:rPr>
        <w:t xml:space="preserve"> </w:t>
      </w:r>
    </w:p>
    <w:p w14:paraId="1CB05B42" w14:textId="016EE91C" w:rsidR="00614457" w:rsidRDefault="00614457" w:rsidP="002C1E2F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lastRenderedPageBreak/>
        <w:t xml:space="preserve">ne více než </w:t>
      </w:r>
      <w:r w:rsidRPr="002C1E2F">
        <w:rPr>
          <w:b/>
          <w:bCs/>
          <w:lang w:eastAsia="cs-CZ"/>
        </w:rPr>
        <w:t>0,12 g sodíku</w:t>
      </w:r>
      <w:r>
        <w:rPr>
          <w:lang w:eastAsia="cs-CZ"/>
        </w:rPr>
        <w:t>/rovnocenného množství soli na 100 g/100 ml (v</w:t>
      </w:r>
      <w:r w:rsidR="00625A2E">
        <w:rPr>
          <w:lang w:eastAsia="cs-CZ"/>
        </w:rPr>
        <w:t> </w:t>
      </w:r>
      <w:r>
        <w:rPr>
          <w:lang w:eastAsia="cs-CZ"/>
        </w:rPr>
        <w:t>případě vod jiných než přírodních minerálních vod ne více než 2 mg sodíku na 100 ml).</w:t>
      </w:r>
    </w:p>
    <w:p w14:paraId="6E95BFD3" w14:textId="77777777" w:rsidR="002C1E2F" w:rsidRDefault="00614457" w:rsidP="002C1E2F">
      <w:pPr>
        <w:pStyle w:val="Odstavecseseznamem"/>
        <w:numPr>
          <w:ilvl w:val="0"/>
          <w:numId w:val="28"/>
        </w:numPr>
        <w:rPr>
          <w:lang w:eastAsia="cs-CZ"/>
        </w:rPr>
      </w:pPr>
      <w:r w:rsidRPr="002C1E2F">
        <w:rPr>
          <w:b/>
          <w:lang w:eastAsia="cs-CZ"/>
        </w:rPr>
        <w:t>S velmi nízkým obsahem sodíku/soli</w:t>
      </w:r>
      <w:r>
        <w:rPr>
          <w:lang w:eastAsia="cs-CZ"/>
        </w:rPr>
        <w:t xml:space="preserve">  </w:t>
      </w:r>
    </w:p>
    <w:p w14:paraId="34A9B43D" w14:textId="1157C10D" w:rsidR="00614457" w:rsidRDefault="00614457" w:rsidP="002C1E2F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 xml:space="preserve">ne více než </w:t>
      </w:r>
      <w:r w:rsidRPr="002C1E2F">
        <w:rPr>
          <w:b/>
          <w:bCs/>
          <w:lang w:eastAsia="cs-CZ"/>
        </w:rPr>
        <w:t>0,04 g sodíku</w:t>
      </w:r>
      <w:r>
        <w:rPr>
          <w:lang w:eastAsia="cs-CZ"/>
        </w:rPr>
        <w:t>/rovnocenného množství soli na 100 g/100 ml (tvrzení nelze použít v případě přírodních minerálních vod a jiných vod).</w:t>
      </w:r>
    </w:p>
    <w:p w14:paraId="5EB523C6" w14:textId="77777777" w:rsidR="002C1E2F" w:rsidRDefault="00614457" w:rsidP="002C1E2F">
      <w:pPr>
        <w:pStyle w:val="Odstavecseseznamem"/>
        <w:numPr>
          <w:ilvl w:val="0"/>
          <w:numId w:val="28"/>
        </w:numPr>
        <w:rPr>
          <w:lang w:eastAsia="cs-CZ"/>
        </w:rPr>
      </w:pPr>
      <w:r w:rsidRPr="002C1E2F">
        <w:rPr>
          <w:b/>
          <w:lang w:eastAsia="cs-CZ"/>
        </w:rPr>
        <w:t>Bez sodíku/soli</w:t>
      </w:r>
      <w:r>
        <w:rPr>
          <w:lang w:eastAsia="cs-CZ"/>
        </w:rPr>
        <w:t xml:space="preserve">  </w:t>
      </w:r>
    </w:p>
    <w:p w14:paraId="6D746A04" w14:textId="64E92173" w:rsidR="00614457" w:rsidRDefault="00614457" w:rsidP="002C1E2F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 xml:space="preserve">ne více než </w:t>
      </w:r>
      <w:r w:rsidRPr="002C1E2F">
        <w:rPr>
          <w:b/>
          <w:bCs/>
          <w:lang w:eastAsia="cs-CZ"/>
        </w:rPr>
        <w:t>0,005 g sodíku</w:t>
      </w:r>
      <w:r>
        <w:rPr>
          <w:lang w:eastAsia="cs-CZ"/>
        </w:rPr>
        <w:t>/rovnocenného množství soli na 100 g.</w:t>
      </w:r>
    </w:p>
    <w:p w14:paraId="28375475" w14:textId="0E092637" w:rsidR="002C1E2F" w:rsidRDefault="00614457" w:rsidP="002C1E2F">
      <w:pPr>
        <w:pStyle w:val="Odstavecseseznamem"/>
        <w:numPr>
          <w:ilvl w:val="0"/>
          <w:numId w:val="28"/>
        </w:numPr>
        <w:rPr>
          <w:lang w:eastAsia="cs-CZ"/>
        </w:rPr>
      </w:pPr>
      <w:r w:rsidRPr="002C1E2F">
        <w:rPr>
          <w:b/>
          <w:lang w:eastAsia="cs-CZ"/>
        </w:rPr>
        <w:t xml:space="preserve">Bez přídavku </w:t>
      </w:r>
      <w:r w:rsidR="003C0191">
        <w:rPr>
          <w:b/>
          <w:lang w:eastAsia="cs-CZ"/>
        </w:rPr>
        <w:t>sodíku/</w:t>
      </w:r>
      <w:r w:rsidRPr="002C1E2F">
        <w:rPr>
          <w:b/>
          <w:lang w:eastAsia="cs-CZ"/>
        </w:rPr>
        <w:t>soli</w:t>
      </w:r>
      <w:r>
        <w:rPr>
          <w:lang w:eastAsia="cs-CZ"/>
        </w:rPr>
        <w:t xml:space="preserve">  </w:t>
      </w:r>
    </w:p>
    <w:p w14:paraId="2613FDD6" w14:textId="6E7F644A" w:rsidR="00614457" w:rsidRDefault="00614457" w:rsidP="002C1E2F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>do produktu nebyl přidán žádný sodík/sůl (ani žádná jiná složka, do které byl přidán sodík/sůl) a neobsahuje více než 0,12 g sodíku/rovnocenné množství soli na 100 g/100 ml.</w:t>
      </w:r>
    </w:p>
    <w:p w14:paraId="40AE1F7B" w14:textId="40387F11" w:rsidR="002C1E2F" w:rsidRDefault="00614457" w:rsidP="002C1E2F">
      <w:pPr>
        <w:pStyle w:val="Odstavecseseznamem"/>
        <w:numPr>
          <w:ilvl w:val="0"/>
          <w:numId w:val="28"/>
        </w:numPr>
        <w:rPr>
          <w:lang w:eastAsia="cs-CZ"/>
        </w:rPr>
      </w:pPr>
      <w:r w:rsidRPr="002C1E2F">
        <w:rPr>
          <w:b/>
          <w:lang w:eastAsia="cs-CZ"/>
        </w:rPr>
        <w:t>Se sníženým obsahem</w:t>
      </w:r>
      <w:r>
        <w:rPr>
          <w:lang w:eastAsia="cs-CZ"/>
        </w:rPr>
        <w:t xml:space="preserve"> </w:t>
      </w:r>
    </w:p>
    <w:p w14:paraId="67FDC13F" w14:textId="40DB85F0" w:rsidR="00614457" w:rsidRPr="000156D3" w:rsidRDefault="00614457" w:rsidP="002C1E2F">
      <w:pPr>
        <w:pStyle w:val="Odstavecseseznamem"/>
        <w:numPr>
          <w:ilvl w:val="1"/>
          <w:numId w:val="28"/>
        </w:numPr>
        <w:rPr>
          <w:lang w:eastAsia="cs-CZ"/>
        </w:rPr>
      </w:pPr>
      <w:r>
        <w:rPr>
          <w:lang w:eastAsia="cs-CZ"/>
        </w:rPr>
        <w:t>snížení obsahu sodíku/soli představuje alespoň 25 % rozdíl referenčních hodnot.</w:t>
      </w:r>
    </w:p>
    <w:p w14:paraId="754FEEE2" w14:textId="77777777" w:rsidR="00D83DE2" w:rsidRPr="00383A36" w:rsidRDefault="00D83DE2" w:rsidP="00D83DE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/>
          <w:lang w:eastAsia="cs-CZ"/>
        </w:rPr>
        <w:t xml:space="preserve">Výživová doporučená dávka </w:t>
      </w:r>
    </w:p>
    <w:p w14:paraId="0A46B122" w14:textId="130A5E6C" w:rsidR="00864E57" w:rsidRPr="00864E57" w:rsidRDefault="00864E57" w:rsidP="00864E57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88352B" wp14:editId="4AE0F16C">
                <wp:simplePos x="0" y="0"/>
                <wp:positionH relativeFrom="column">
                  <wp:posOffset>2719705</wp:posOffset>
                </wp:positionH>
                <wp:positionV relativeFrom="paragraph">
                  <wp:posOffset>264160</wp:posOffset>
                </wp:positionV>
                <wp:extent cx="3048000" cy="15240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7F0A" w14:textId="6784468F" w:rsidR="00864E57" w:rsidRDefault="00864E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FCDE2E" wp14:editId="3411484E">
                                  <wp:extent cx="2743200" cy="1408176"/>
                                  <wp:effectExtent l="0" t="0" r="0" b="1905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0" cy="1408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3988352B">
                <v:stroke joinstyle="miter"/>
                <v:path gradientshapeok="t" o:connecttype="rect"/>
              </v:shapetype>
              <v:shape id="Textové pole 2" style="position:absolute;left:0;text-align:left;margin-left:214.15pt;margin-top:20.8pt;width:240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5OvCwIAAPc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">
                <v:textbox>
                  <w:txbxContent>
                    <w:p w:rsidR="00864E57" w:rsidRDefault="00864E57" w14:paraId="771D7F0A" w14:textId="6784468F">
                      <w:r>
                        <w:rPr>
                          <w:noProof/>
                        </w:rPr>
                        <w:drawing>
                          <wp:inline distT="0" distB="0" distL="0" distR="0" wp14:anchorId="51FCDE2E" wp14:editId="3411484E">
                            <wp:extent cx="2743200" cy="1408176"/>
                            <wp:effectExtent l="0" t="0" r="0" b="1905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0" cy="1408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3DE2" w:rsidRPr="00383A36">
        <w:rPr>
          <w:lang w:eastAsia="cs-CZ"/>
        </w:rPr>
        <w:t>Doporučení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dle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WHO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zní,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že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denní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dávka</w:t>
      </w:r>
      <w:r w:rsidR="00D83DE2">
        <w:rPr>
          <w:lang w:eastAsia="cs-CZ"/>
        </w:rPr>
        <w:t xml:space="preserve"> soli </w:t>
      </w:r>
      <w:r w:rsidR="00D83DE2" w:rsidRPr="00383A36">
        <w:rPr>
          <w:lang w:eastAsia="cs-CZ"/>
        </w:rPr>
        <w:t>by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neměla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překročit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5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gramů.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Z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toho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4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gramy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zahrnují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sůl,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která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je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přidaná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do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potravin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a</w:t>
      </w:r>
      <w:r>
        <w:rPr>
          <w:lang w:eastAsia="cs-CZ"/>
        </w:rPr>
        <w:t> </w:t>
      </w:r>
      <w:r w:rsidR="00D83DE2" w:rsidRPr="00383A36">
        <w:rPr>
          <w:lang w:eastAsia="cs-CZ"/>
        </w:rPr>
        <w:t>1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gram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sůl,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kterou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si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sami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do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jídla</w:t>
      </w:r>
      <w:r w:rsidR="00D83DE2">
        <w:rPr>
          <w:lang w:eastAsia="cs-CZ"/>
        </w:rPr>
        <w:t xml:space="preserve"> </w:t>
      </w:r>
      <w:r w:rsidR="00D83DE2" w:rsidRPr="00383A36">
        <w:rPr>
          <w:lang w:eastAsia="cs-CZ"/>
        </w:rPr>
        <w:t>přidáváme.</w:t>
      </w:r>
    </w:p>
    <w:p w14:paraId="79EC9288" w14:textId="77777777" w:rsidR="00D83DE2" w:rsidRPr="00383A36" w:rsidRDefault="00D83DE2" w:rsidP="00D83DE2">
      <w:pPr>
        <w:pStyle w:val="Nadpis3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83A36">
        <w:rPr>
          <w:rFonts w:eastAsia="Times New Roman"/>
          <w:lang w:eastAsia="cs-CZ"/>
        </w:rPr>
        <w:t>Zdroje</w:t>
      </w:r>
      <w:r>
        <w:rPr>
          <w:rFonts w:eastAsia="Times New Roman"/>
          <w:lang w:eastAsia="cs-CZ"/>
        </w:rPr>
        <w:t xml:space="preserve"> </w:t>
      </w:r>
    </w:p>
    <w:p w14:paraId="1ED3E423" w14:textId="77777777" w:rsidR="00864E57" w:rsidRDefault="00D83DE2" w:rsidP="00D83DE2">
      <w:pPr>
        <w:rPr>
          <w:lang w:eastAsia="cs-CZ"/>
        </w:rPr>
      </w:pPr>
      <w:r w:rsidRPr="00383A36">
        <w:rPr>
          <w:lang w:eastAsia="cs-CZ"/>
        </w:rPr>
        <w:t>Pro</w:t>
      </w:r>
      <w:r>
        <w:rPr>
          <w:lang w:eastAsia="cs-CZ"/>
        </w:rPr>
        <w:t xml:space="preserve"> </w:t>
      </w:r>
      <w:r w:rsidRPr="00383A36">
        <w:rPr>
          <w:lang w:eastAsia="cs-CZ"/>
        </w:rPr>
        <w:t>člověka</w:t>
      </w:r>
      <w:r>
        <w:rPr>
          <w:lang w:eastAsia="cs-CZ"/>
        </w:rPr>
        <w:t xml:space="preserve"> </w:t>
      </w:r>
      <w:r w:rsidRPr="00383A36">
        <w:rPr>
          <w:lang w:eastAsia="cs-CZ"/>
        </w:rPr>
        <w:t>je</w:t>
      </w:r>
      <w:r>
        <w:rPr>
          <w:lang w:eastAsia="cs-CZ"/>
        </w:rPr>
        <w:t xml:space="preserve"> </w:t>
      </w:r>
      <w:r w:rsidRPr="00383A36">
        <w:rPr>
          <w:lang w:eastAsia="cs-CZ"/>
        </w:rPr>
        <w:t>hlavní</w:t>
      </w:r>
      <w:r w:rsidR="00B374A1">
        <w:rPr>
          <w:lang w:eastAsia="cs-CZ"/>
        </w:rPr>
        <w:t>m</w:t>
      </w:r>
      <w:r>
        <w:rPr>
          <w:lang w:eastAsia="cs-CZ"/>
        </w:rPr>
        <w:t xml:space="preserve"> </w:t>
      </w:r>
      <w:r w:rsidRPr="00383A36">
        <w:rPr>
          <w:lang w:eastAsia="cs-CZ"/>
        </w:rPr>
        <w:t>zdroj</w:t>
      </w:r>
      <w:r w:rsidR="00B374A1">
        <w:rPr>
          <w:lang w:eastAsia="cs-CZ"/>
        </w:rPr>
        <w:t>em sodíku kamenná</w:t>
      </w:r>
      <w:r>
        <w:rPr>
          <w:lang w:eastAsia="cs-CZ"/>
        </w:rPr>
        <w:t xml:space="preserve"> </w:t>
      </w:r>
      <w:r w:rsidRPr="00383A36">
        <w:rPr>
          <w:lang w:eastAsia="cs-CZ"/>
        </w:rPr>
        <w:t>sůl,</w:t>
      </w:r>
      <w:r>
        <w:rPr>
          <w:lang w:eastAsia="cs-CZ"/>
        </w:rPr>
        <w:t xml:space="preserve"> </w:t>
      </w:r>
      <w:r w:rsidRPr="00383A36">
        <w:rPr>
          <w:lang w:eastAsia="cs-CZ"/>
        </w:rPr>
        <w:t>tedy</w:t>
      </w:r>
      <w:r>
        <w:rPr>
          <w:lang w:eastAsia="cs-CZ"/>
        </w:rPr>
        <w:t xml:space="preserve"> </w:t>
      </w:r>
      <w:r w:rsidRPr="00383A36">
        <w:rPr>
          <w:lang w:eastAsia="cs-CZ"/>
        </w:rPr>
        <w:t>chlorid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sodný</w:t>
      </w:r>
      <w:r w:rsidR="00B374A1">
        <w:rPr>
          <w:rStyle w:val="Znakapoznpodarou"/>
          <w:lang w:eastAsia="cs-CZ"/>
        </w:rPr>
        <w:footnoteReference w:id="9"/>
      </w:r>
      <w:r w:rsidRPr="00383A36">
        <w:rPr>
          <w:lang w:eastAsia="cs-CZ"/>
        </w:rPr>
        <w:t>.</w:t>
      </w:r>
      <w:r>
        <w:rPr>
          <w:lang w:eastAsia="cs-CZ"/>
        </w:rPr>
        <w:t xml:space="preserve"> </w:t>
      </w:r>
      <w:r w:rsidRPr="00383A36">
        <w:rPr>
          <w:lang w:eastAsia="cs-CZ"/>
        </w:rPr>
        <w:t>Kromě</w:t>
      </w:r>
      <w:r>
        <w:rPr>
          <w:lang w:eastAsia="cs-CZ"/>
        </w:rPr>
        <w:t xml:space="preserve"> </w:t>
      </w:r>
      <w:r w:rsidRPr="00383A36">
        <w:rPr>
          <w:lang w:eastAsia="cs-CZ"/>
        </w:rPr>
        <w:t>kuchyňské</w:t>
      </w:r>
      <w:r>
        <w:rPr>
          <w:lang w:eastAsia="cs-CZ"/>
        </w:rPr>
        <w:t xml:space="preserve"> </w:t>
      </w:r>
      <w:r w:rsidRPr="00383A36">
        <w:rPr>
          <w:lang w:eastAsia="cs-CZ"/>
        </w:rPr>
        <w:t>soli</w:t>
      </w:r>
      <w:r>
        <w:rPr>
          <w:lang w:eastAsia="cs-CZ"/>
        </w:rPr>
        <w:t xml:space="preserve"> </w:t>
      </w:r>
      <w:r w:rsidRPr="00383A36">
        <w:rPr>
          <w:lang w:eastAsia="cs-CZ"/>
        </w:rPr>
        <w:t>jsou</w:t>
      </w:r>
      <w:r>
        <w:rPr>
          <w:lang w:eastAsia="cs-CZ"/>
        </w:rPr>
        <w:t xml:space="preserve"> </w:t>
      </w:r>
      <w:r w:rsidRPr="00383A36">
        <w:rPr>
          <w:lang w:eastAsia="cs-CZ"/>
        </w:rPr>
        <w:t>zdrojem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sodíku</w:t>
      </w:r>
      <w:r>
        <w:rPr>
          <w:lang w:eastAsia="cs-CZ"/>
        </w:rPr>
        <w:t xml:space="preserve"> </w:t>
      </w:r>
      <w:r w:rsidRPr="00383A36">
        <w:rPr>
          <w:lang w:eastAsia="cs-CZ"/>
        </w:rPr>
        <w:t>také</w:t>
      </w:r>
      <w:r>
        <w:rPr>
          <w:lang w:eastAsia="cs-CZ"/>
        </w:rPr>
        <w:t xml:space="preserve"> </w:t>
      </w:r>
      <w:r w:rsidRPr="00383A36">
        <w:rPr>
          <w:lang w:eastAsia="cs-CZ"/>
        </w:rPr>
        <w:t>minerální</w:t>
      </w:r>
      <w:r>
        <w:rPr>
          <w:lang w:eastAsia="cs-CZ"/>
        </w:rPr>
        <w:t xml:space="preserve"> </w:t>
      </w:r>
      <w:r w:rsidRPr="00383A36">
        <w:rPr>
          <w:lang w:eastAsia="cs-CZ"/>
        </w:rPr>
        <w:t>vody,</w:t>
      </w:r>
      <w:r>
        <w:rPr>
          <w:lang w:eastAsia="cs-CZ"/>
        </w:rPr>
        <w:t xml:space="preserve"> </w:t>
      </w:r>
      <w:r w:rsidRPr="00383A36">
        <w:rPr>
          <w:lang w:eastAsia="cs-CZ"/>
        </w:rPr>
        <w:t>případně</w:t>
      </w:r>
      <w:r>
        <w:rPr>
          <w:lang w:eastAsia="cs-CZ"/>
        </w:rPr>
        <w:t xml:space="preserve"> </w:t>
      </w:r>
      <w:r w:rsidRPr="00383A36">
        <w:rPr>
          <w:lang w:eastAsia="cs-CZ"/>
        </w:rPr>
        <w:t>jiné</w:t>
      </w:r>
      <w:r>
        <w:rPr>
          <w:lang w:eastAsia="cs-CZ"/>
        </w:rPr>
        <w:t xml:space="preserve"> </w:t>
      </w:r>
      <w:r w:rsidRPr="00383A36">
        <w:rPr>
          <w:lang w:eastAsia="cs-CZ"/>
        </w:rPr>
        <w:t>sloučeniny,</w:t>
      </w:r>
      <w:r>
        <w:rPr>
          <w:lang w:eastAsia="cs-CZ"/>
        </w:rPr>
        <w:t xml:space="preserve"> </w:t>
      </w:r>
      <w:r w:rsidRPr="00383A36">
        <w:rPr>
          <w:lang w:eastAsia="cs-CZ"/>
        </w:rPr>
        <w:t>které</w:t>
      </w:r>
      <w:r>
        <w:rPr>
          <w:lang w:eastAsia="cs-CZ"/>
        </w:rPr>
        <w:t xml:space="preserve"> </w:t>
      </w:r>
      <w:r w:rsidRPr="00383A36">
        <w:rPr>
          <w:lang w:eastAsia="cs-CZ"/>
        </w:rPr>
        <w:t>mají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sodík</w:t>
      </w:r>
      <w:r>
        <w:rPr>
          <w:lang w:eastAsia="cs-CZ"/>
        </w:rPr>
        <w:t xml:space="preserve"> </w:t>
      </w:r>
      <w:r w:rsidRPr="00383A36">
        <w:rPr>
          <w:lang w:eastAsia="cs-CZ"/>
        </w:rPr>
        <w:t>ve</w:t>
      </w:r>
      <w:r>
        <w:rPr>
          <w:lang w:eastAsia="cs-CZ"/>
        </w:rPr>
        <w:t xml:space="preserve"> </w:t>
      </w:r>
      <w:r w:rsidRPr="00383A36">
        <w:rPr>
          <w:lang w:eastAsia="cs-CZ"/>
        </w:rPr>
        <w:t>své</w:t>
      </w:r>
      <w:r>
        <w:rPr>
          <w:lang w:eastAsia="cs-CZ"/>
        </w:rPr>
        <w:t xml:space="preserve"> </w:t>
      </w:r>
      <w:r w:rsidRPr="00383A36">
        <w:rPr>
          <w:lang w:eastAsia="cs-CZ"/>
        </w:rPr>
        <w:t>struktuře</w:t>
      </w:r>
      <w:r>
        <w:rPr>
          <w:lang w:eastAsia="cs-CZ"/>
        </w:rPr>
        <w:t xml:space="preserve"> </w:t>
      </w:r>
      <w:r w:rsidRPr="00383A36">
        <w:rPr>
          <w:lang w:eastAsia="cs-CZ"/>
        </w:rPr>
        <w:t>(např.</w:t>
      </w:r>
      <w:r>
        <w:rPr>
          <w:lang w:eastAsia="cs-CZ"/>
        </w:rPr>
        <w:t xml:space="preserve"> </w:t>
      </w:r>
      <w:r w:rsidRPr="00383A36">
        <w:rPr>
          <w:lang w:eastAsia="cs-CZ"/>
        </w:rPr>
        <w:t>glutamát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sodný,</w:t>
      </w:r>
      <w:r>
        <w:rPr>
          <w:lang w:eastAsia="cs-CZ"/>
        </w:rPr>
        <w:t xml:space="preserve"> </w:t>
      </w:r>
      <w:r w:rsidRPr="00383A36">
        <w:rPr>
          <w:lang w:eastAsia="cs-CZ"/>
        </w:rPr>
        <w:t>dusičnan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sodný,</w:t>
      </w:r>
      <w:r>
        <w:rPr>
          <w:lang w:eastAsia="cs-CZ"/>
        </w:rPr>
        <w:t xml:space="preserve"> </w:t>
      </w:r>
      <w:r w:rsidRPr="00383A36">
        <w:rPr>
          <w:lang w:eastAsia="cs-CZ"/>
        </w:rPr>
        <w:t>fosforečnan</w:t>
      </w:r>
      <w:r>
        <w:rPr>
          <w:lang w:eastAsia="cs-CZ"/>
        </w:rPr>
        <w:t xml:space="preserve"> </w:t>
      </w:r>
      <w:r w:rsidRPr="00383A36">
        <w:rPr>
          <w:lang w:eastAsia="cs-CZ"/>
        </w:rPr>
        <w:t>sodný…).</w:t>
      </w:r>
      <w:r>
        <w:rPr>
          <w:lang w:eastAsia="cs-CZ"/>
        </w:rPr>
        <w:t xml:space="preserve"> </w:t>
      </w:r>
    </w:p>
    <w:p w14:paraId="3B2A71BB" w14:textId="7D90E8FC" w:rsidR="00D83DE2" w:rsidRDefault="00D83DE2" w:rsidP="00D83DE2">
      <w:pPr>
        <w:rPr>
          <w:lang w:eastAsia="cs-CZ"/>
        </w:rPr>
      </w:pPr>
      <w:r>
        <w:rPr>
          <w:lang w:eastAsia="cs-CZ"/>
        </w:rPr>
        <w:t xml:space="preserve">Asi 10 % soli v naší stravě se v ní vyskytuje přirozeně, 15 % soli je přidáno </w:t>
      </w:r>
      <w:r w:rsidR="00273CE7">
        <w:rPr>
          <w:lang w:eastAsia="cs-CZ"/>
        </w:rPr>
        <w:t>při přípravě pokrmů</w:t>
      </w:r>
      <w:r>
        <w:rPr>
          <w:lang w:eastAsia="cs-CZ"/>
        </w:rPr>
        <w:t xml:space="preserve"> a 75 % je sůl, která </w:t>
      </w:r>
      <w:r w:rsidR="00614457">
        <w:rPr>
          <w:lang w:eastAsia="cs-CZ"/>
        </w:rPr>
        <w:t>j</w:t>
      </w:r>
      <w:r>
        <w:rPr>
          <w:lang w:eastAsia="cs-CZ"/>
        </w:rPr>
        <w:t>e „skrytá“ v průmyslově zpracovaných potravinách.</w:t>
      </w:r>
    </w:p>
    <w:p w14:paraId="6659F8AF" w14:textId="104ECA4F" w:rsidR="00D83DE2" w:rsidRDefault="00D83DE2" w:rsidP="00D83DE2">
      <w:pPr>
        <w:rPr>
          <w:lang w:eastAsia="cs-CZ"/>
        </w:rPr>
      </w:pPr>
      <w:r>
        <w:rPr>
          <w:lang w:eastAsia="cs-CZ"/>
        </w:rPr>
        <w:t>Na přívodu soli se nejvíce podílí pečivo (cca 31 %), uzeniny (cca 15 %) a mléčné výrobky (cca</w:t>
      </w:r>
      <w:r w:rsidR="00273CE7">
        <w:rPr>
          <w:lang w:eastAsia="cs-CZ"/>
        </w:rPr>
        <w:t> </w:t>
      </w:r>
      <w:r>
        <w:rPr>
          <w:lang w:eastAsia="cs-CZ"/>
        </w:rPr>
        <w:t>9</w:t>
      </w:r>
      <w:r w:rsidR="00273CE7">
        <w:rPr>
          <w:lang w:eastAsia="cs-CZ"/>
        </w:rPr>
        <w:t> </w:t>
      </w:r>
      <w:r>
        <w:rPr>
          <w:lang w:eastAsia="cs-CZ"/>
        </w:rPr>
        <w:t>%)</w:t>
      </w:r>
      <w:r w:rsidR="00B374A1">
        <w:rPr>
          <w:lang w:eastAsia="cs-CZ"/>
        </w:rPr>
        <w:t>, dále pak hotové polévky,</w:t>
      </w:r>
      <w:r w:rsidR="006C64DD">
        <w:rPr>
          <w:lang w:eastAsia="cs-CZ"/>
        </w:rPr>
        <w:t xml:space="preserve"> sardinky, mleté masné výrobky,</w:t>
      </w:r>
      <w:r w:rsidR="00B374A1">
        <w:rPr>
          <w:lang w:eastAsia="cs-CZ"/>
        </w:rPr>
        <w:t xml:space="preserve"> nakládaná zelenina</w:t>
      </w:r>
      <w:r w:rsidR="006C64DD">
        <w:rPr>
          <w:lang w:eastAsia="cs-CZ"/>
        </w:rPr>
        <w:t xml:space="preserve"> (olivy,</w:t>
      </w:r>
      <w:r w:rsidR="00273CE7">
        <w:rPr>
          <w:lang w:eastAsia="cs-CZ"/>
        </w:rPr>
        <w:t> </w:t>
      </w:r>
      <w:r w:rsidR="006C64DD">
        <w:rPr>
          <w:lang w:eastAsia="cs-CZ"/>
        </w:rPr>
        <w:t>kysané zelí aj.)</w:t>
      </w:r>
      <w:r w:rsidR="00B374A1">
        <w:rPr>
          <w:lang w:eastAsia="cs-CZ"/>
        </w:rPr>
        <w:t xml:space="preserve"> či chipsy. </w:t>
      </w:r>
    </w:p>
    <w:p w14:paraId="2A5C5634" w14:textId="55C50A91" w:rsidR="006C64DD" w:rsidRDefault="006C64DD" w:rsidP="006C64DD">
      <w:pPr>
        <w:pStyle w:val="Nadpis3"/>
        <w:rPr>
          <w:lang w:eastAsia="cs-CZ"/>
        </w:rPr>
      </w:pPr>
      <w:r>
        <w:rPr>
          <w:lang w:eastAsia="cs-CZ"/>
        </w:rPr>
        <w:t>Skupiny potravin dle obsahu sodíku</w:t>
      </w:r>
    </w:p>
    <w:p w14:paraId="18B0E5A4" w14:textId="4F20D2FC" w:rsidR="006C64DD" w:rsidRDefault="006C64DD" w:rsidP="006C64DD">
      <w:pPr>
        <w:pStyle w:val="Odstavecseseznamem"/>
        <w:numPr>
          <w:ilvl w:val="0"/>
          <w:numId w:val="24"/>
        </w:numPr>
        <w:rPr>
          <w:lang w:eastAsia="cs-CZ"/>
        </w:rPr>
      </w:pPr>
      <w:r w:rsidRPr="006C64DD">
        <w:rPr>
          <w:lang w:eastAsia="cs-CZ"/>
        </w:rPr>
        <w:lastRenderedPageBreak/>
        <w:t>S velmi nízkým obsahem: &lt;40 mg Na/100g potraviny</w:t>
      </w:r>
    </w:p>
    <w:p w14:paraId="42798790" w14:textId="77777777" w:rsidR="006C64DD" w:rsidRDefault="006C64DD" w:rsidP="006C64DD">
      <w:pPr>
        <w:pStyle w:val="Odstavecseseznamem"/>
        <w:numPr>
          <w:ilvl w:val="1"/>
          <w:numId w:val="24"/>
        </w:numPr>
        <w:rPr>
          <w:lang w:eastAsia="cs-CZ"/>
        </w:rPr>
      </w:pPr>
      <w:r w:rsidRPr="006C64DD">
        <w:rPr>
          <w:lang w:eastAsia="cs-CZ"/>
        </w:rPr>
        <w:t>čerstvé ovoce a zelenina, většina tuků, cukr, některé cukrovinky, některé mléčné výrobky</w:t>
      </w:r>
    </w:p>
    <w:p w14:paraId="34359367" w14:textId="77777777" w:rsidR="006C64DD" w:rsidRDefault="006C64DD" w:rsidP="006C64DD">
      <w:pPr>
        <w:pStyle w:val="Odstavecseseznamem"/>
        <w:numPr>
          <w:ilvl w:val="0"/>
          <w:numId w:val="24"/>
        </w:numPr>
        <w:rPr>
          <w:lang w:eastAsia="cs-CZ"/>
        </w:rPr>
      </w:pPr>
      <w:r w:rsidRPr="006C64DD">
        <w:rPr>
          <w:lang w:eastAsia="cs-CZ"/>
        </w:rPr>
        <w:t>S nízkým obsahem: 40-120 mg Na /100g potraviny</w:t>
      </w:r>
    </w:p>
    <w:p w14:paraId="0FE224DF" w14:textId="77777777" w:rsidR="006C64DD" w:rsidRDefault="006C64DD" w:rsidP="006C64DD">
      <w:pPr>
        <w:pStyle w:val="Odstavecseseznamem"/>
        <w:numPr>
          <w:ilvl w:val="1"/>
          <w:numId w:val="24"/>
        </w:numPr>
        <w:rPr>
          <w:lang w:eastAsia="cs-CZ"/>
        </w:rPr>
      </w:pPr>
      <w:r w:rsidRPr="006C64DD">
        <w:rPr>
          <w:lang w:eastAsia="cs-CZ"/>
        </w:rPr>
        <w:t xml:space="preserve">mléko a mléčné výrobky (kromě tvrdých a tavených sýrů), čerstvé maso, drůbež, ryby, některé tuky </w:t>
      </w:r>
    </w:p>
    <w:p w14:paraId="1CB0347F" w14:textId="2EDABFFC" w:rsidR="006C64DD" w:rsidRDefault="006C64DD" w:rsidP="006C64DD">
      <w:pPr>
        <w:pStyle w:val="Odstavecseseznamem"/>
        <w:numPr>
          <w:ilvl w:val="0"/>
          <w:numId w:val="24"/>
        </w:numPr>
        <w:rPr>
          <w:lang w:eastAsia="cs-CZ"/>
        </w:rPr>
      </w:pPr>
      <w:r w:rsidRPr="006C64DD">
        <w:rPr>
          <w:lang w:eastAsia="cs-CZ"/>
        </w:rPr>
        <w:t>S vysokým obsahem: 120-400 mg</w:t>
      </w:r>
      <w:r>
        <w:rPr>
          <w:lang w:eastAsia="cs-CZ"/>
        </w:rPr>
        <w:t xml:space="preserve"> </w:t>
      </w:r>
      <w:r w:rsidRPr="006C64DD">
        <w:rPr>
          <w:lang w:eastAsia="cs-CZ"/>
        </w:rPr>
        <w:t>Na/100g potraviny</w:t>
      </w:r>
    </w:p>
    <w:p w14:paraId="08535944" w14:textId="77777777" w:rsidR="006C64DD" w:rsidRDefault="006C64DD" w:rsidP="006C64DD">
      <w:pPr>
        <w:pStyle w:val="Odstavecseseznamem"/>
        <w:numPr>
          <w:ilvl w:val="1"/>
          <w:numId w:val="24"/>
        </w:numPr>
        <w:rPr>
          <w:lang w:eastAsia="cs-CZ"/>
        </w:rPr>
      </w:pPr>
      <w:r w:rsidRPr="006C64DD">
        <w:rPr>
          <w:lang w:eastAsia="cs-CZ"/>
        </w:rPr>
        <w:t>pečivo, chléb, nakládaná zelenina</w:t>
      </w:r>
    </w:p>
    <w:p w14:paraId="513FECEF" w14:textId="47149288" w:rsidR="006C64DD" w:rsidRDefault="006C64DD" w:rsidP="006C64DD">
      <w:pPr>
        <w:pStyle w:val="Odstavecseseznamem"/>
        <w:numPr>
          <w:ilvl w:val="0"/>
          <w:numId w:val="24"/>
        </w:numPr>
        <w:rPr>
          <w:lang w:eastAsia="cs-CZ"/>
        </w:rPr>
      </w:pPr>
      <w:r w:rsidRPr="006C64DD">
        <w:rPr>
          <w:lang w:eastAsia="cs-CZ"/>
        </w:rPr>
        <w:t xml:space="preserve">S velmi vysokým obsahem:&gt; 400 mg Na/100g potraviny </w:t>
      </w:r>
    </w:p>
    <w:p w14:paraId="03334BB9" w14:textId="00943849" w:rsidR="006C64DD" w:rsidRDefault="006C64DD" w:rsidP="006C64DD">
      <w:pPr>
        <w:pStyle w:val="Odstavecseseznamem"/>
        <w:numPr>
          <w:ilvl w:val="1"/>
          <w:numId w:val="24"/>
        </w:numPr>
        <w:rPr>
          <w:lang w:eastAsia="cs-CZ"/>
        </w:rPr>
      </w:pPr>
      <w:r w:rsidRPr="09552452">
        <w:rPr>
          <w:lang w:eastAsia="cs-CZ"/>
        </w:rPr>
        <w:t>tvrdé a tavené sýry, masné výrobky, instantní polévky, slané pochutiny</w:t>
      </w:r>
    </w:p>
    <w:p w14:paraId="595036DD" w14:textId="36E02445" w:rsidR="2DC43152" w:rsidRDefault="2DC43152" w:rsidP="09552452">
      <w:pPr>
        <w:rPr>
          <w:b/>
          <w:bCs/>
          <w:lang w:eastAsia="cs-CZ"/>
        </w:rPr>
      </w:pPr>
      <w:r w:rsidRPr="09552452">
        <w:rPr>
          <w:b/>
          <w:bCs/>
          <w:lang w:eastAsia="cs-CZ"/>
        </w:rPr>
        <w:t>Funkce</w:t>
      </w:r>
    </w:p>
    <w:p w14:paraId="6B234765" w14:textId="4697255A" w:rsidR="2DC43152" w:rsidRDefault="2DC43152" w:rsidP="09552452">
      <w:r w:rsidRPr="09552452">
        <w:rPr>
          <w:lang w:eastAsia="cs-CZ"/>
        </w:rPr>
        <w:t>Sodík hraje klíčovou roli při udržování osmotického tlaku a rovnováhy tekutin mezi buňkami a jejich okolím. Jako hlavní extracelulární kationt pomáhá regulovat pohyb vody v těle, což je důležité pro správnou hydrataci buněk a udržování celkového objemu tekutin. Sodík je rovněž nezbytný pro přenos nervových impulzů, protože se podílí na tvorbě a šíření akčního potenciálu v nervových buňkách. Tento proces je základním mechanismem komunikace mezi mozkem a tělem, což ovlivňuje všechny nervové funkce, od pohybu po smyslové vnímání.</w:t>
      </w:r>
    </w:p>
    <w:p w14:paraId="077C4F59" w14:textId="50674F0F" w:rsidR="2DC43152" w:rsidRDefault="2DC43152" w:rsidP="09552452">
      <w:r w:rsidRPr="09552452">
        <w:rPr>
          <w:lang w:eastAsia="cs-CZ"/>
        </w:rPr>
        <w:t xml:space="preserve">Další významnou funkcí sodíku je jeho role při svalové kontrakci. Během svalové aktivity dochází ke střídavému pohybu sodíku a draslíku přes buněčné membrány, což umožňuje svalové kontrakce. To se týká nejen kosterních svalů, ale i srdečního svalu, což má zásadní vliv na udržení normálního srdečního rytmu. Sodík také přispívá k udržování acidobazické rovnováhy v těle, kdy jeho účast v </w:t>
      </w:r>
      <w:proofErr w:type="spellStart"/>
      <w:r w:rsidRPr="09552452">
        <w:rPr>
          <w:lang w:eastAsia="cs-CZ"/>
        </w:rPr>
        <w:t>pufrovacích</w:t>
      </w:r>
      <w:proofErr w:type="spellEnd"/>
      <w:r w:rsidRPr="09552452">
        <w:rPr>
          <w:lang w:eastAsia="cs-CZ"/>
        </w:rPr>
        <w:t xml:space="preserve"> systémech pomáhá regulovat pH krve a dalších tělesných tekutin.</w:t>
      </w:r>
    </w:p>
    <w:p w14:paraId="52D85260" w14:textId="5E31D00E" w:rsidR="2DC43152" w:rsidRDefault="2DC43152" w:rsidP="09552452">
      <w:r w:rsidRPr="09552452">
        <w:rPr>
          <w:lang w:eastAsia="cs-CZ"/>
        </w:rPr>
        <w:t>Důležitou funkcí sodíku je jeho vliv na regulaci krevního tlaku. Nadměrný pří</w:t>
      </w:r>
      <w:r w:rsidR="1BB12E7A" w:rsidRPr="09552452">
        <w:rPr>
          <w:lang w:eastAsia="cs-CZ"/>
        </w:rPr>
        <w:t>vod</w:t>
      </w:r>
      <w:r w:rsidRPr="09552452">
        <w:rPr>
          <w:lang w:eastAsia="cs-CZ"/>
        </w:rPr>
        <w:t xml:space="preserve"> sodíku zvyšuje zadržování vody v těle, což vede ke zvýšení objemu krve a tím i krevního tlaku, což může zvyšovat riziko vzniku hypertenze. Sodík se také podílí na vstřebávání živin v trávicím traktu, zejména glukózy a aminokyselin, což je klíčové pro tvorbu energie a výživu buněk.</w:t>
      </w:r>
    </w:p>
    <w:p w14:paraId="1793CD08" w14:textId="0B1ECB8B" w:rsidR="09552452" w:rsidRDefault="09552452" w:rsidP="09552452">
      <w:pPr>
        <w:rPr>
          <w:lang w:eastAsia="cs-CZ"/>
        </w:rPr>
      </w:pPr>
    </w:p>
    <w:p w14:paraId="69AD16CE" w14:textId="20E3CD10" w:rsidR="3AD9C1B6" w:rsidRDefault="3AD9C1B6" w:rsidP="09552452">
      <w:pPr>
        <w:rPr>
          <w:b/>
          <w:bCs/>
          <w:lang w:eastAsia="cs-CZ"/>
        </w:rPr>
      </w:pPr>
      <w:r w:rsidRPr="09552452">
        <w:rPr>
          <w:b/>
          <w:bCs/>
          <w:lang w:eastAsia="cs-CZ"/>
        </w:rPr>
        <w:t>Rizika</w:t>
      </w:r>
    </w:p>
    <w:p w14:paraId="1156DDD9" w14:textId="7D7EDF5D" w:rsidR="3AD9C1B6" w:rsidRDefault="3AD9C1B6">
      <w:r>
        <w:t>Reálný přívod soli v ČR je až dvakrát až třikrát vyšší, než je doporučované množství. Doporučená denní dávka je podle WHO a dalších organizací 5 g soli (asi 2 g sodíku). V ČR však lidé často konzumují 10–15 g soli denně.</w:t>
      </w:r>
    </w:p>
    <w:p w14:paraId="4D894ACF" w14:textId="5EEA7B1B" w:rsidR="3AD9C1B6" w:rsidRDefault="3AD9C1B6" w:rsidP="09552452">
      <w:r>
        <w:lastRenderedPageBreak/>
        <w:t xml:space="preserve">Podle Monitoringu dietární expozice člověka v ČR 2023 (prof. </w:t>
      </w:r>
      <w:proofErr w:type="spellStart"/>
      <w:r>
        <w:t>Ruprich</w:t>
      </w:r>
      <w:proofErr w:type="spellEnd"/>
      <w:r>
        <w:t>) je nadměrný přívod soli zejména u mužů ve věku 15–59 let. Do těchto výsledků však není zahrnuta sůl používaná při vaření a dosolování pokrmů, což znamená, že reálný přívod soli může být ještě vyšší.</w:t>
      </w:r>
    </w:p>
    <w:p w14:paraId="1646D0D9" w14:textId="4B538819" w:rsidR="3AD9C1B6" w:rsidRDefault="3AD9C1B6" w:rsidP="09552452">
      <w:r>
        <w:t>Vysoký přívod soli:</w:t>
      </w:r>
    </w:p>
    <w:p w14:paraId="662B5C15" w14:textId="2295AD3C" w:rsidR="3AD9C1B6" w:rsidRDefault="3AD9C1B6" w:rsidP="09552452">
      <w:pPr>
        <w:pStyle w:val="Odstavecseseznamem"/>
        <w:numPr>
          <w:ilvl w:val="0"/>
          <w:numId w:val="1"/>
        </w:numPr>
      </w:pPr>
      <w:r>
        <w:t>Zvýšení krevního tlaku – U predisponovaných jedinců může nadměrný příjem soli vést ke vzniku hypertenze.</w:t>
      </w:r>
    </w:p>
    <w:p w14:paraId="141B1DEF" w14:textId="1F406D62" w:rsidR="3AD9C1B6" w:rsidRDefault="3AD9C1B6" w:rsidP="09552452">
      <w:pPr>
        <w:pStyle w:val="Odstavecseseznamem"/>
        <w:numPr>
          <w:ilvl w:val="0"/>
          <w:numId w:val="1"/>
        </w:numPr>
      </w:pPr>
      <w:r>
        <w:t>Zvýšené vylučování vápníku močí – Nadměrný přívod soli může způsobit zvýšené ztráty vápníku močí, což u postmenopauzálních žen urychluje proces odbourávání kostní hmoty a zvyšuje riziko osteoporózy.</w:t>
      </w:r>
    </w:p>
    <w:p w14:paraId="05E99C1E" w14:textId="064E2A3D" w:rsidR="3AD9C1B6" w:rsidRDefault="3AD9C1B6" w:rsidP="09552452">
      <w:pPr>
        <w:pStyle w:val="Odstavecseseznamem"/>
        <w:numPr>
          <w:ilvl w:val="0"/>
          <w:numId w:val="1"/>
        </w:numPr>
      </w:pPr>
      <w:r>
        <w:t xml:space="preserve">Karcinom žaludku – Nadměrný přívod soli, zejména z potravin konzervovaných solí (například slané a uzené maso), může být rizikovým faktorem pro vznik karcinomu žaludku, pravděpodobně kvůli poškození žaludeční sliznice a podpoře růstu bakterií, jako je 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>.</w:t>
      </w:r>
    </w:p>
    <w:p w14:paraId="246FEDB4" w14:textId="7D93D1D4" w:rsidR="3AD9C1B6" w:rsidRDefault="3AD9C1B6" w:rsidP="09552452">
      <w:r>
        <w:t>Nedostatek sodíku:</w:t>
      </w:r>
    </w:p>
    <w:p w14:paraId="3732E3E6" w14:textId="74B1E1B7" w:rsidR="3AD9C1B6" w:rsidRDefault="3AD9C1B6" w:rsidP="09552452">
      <w:r>
        <w:t xml:space="preserve">Při těžkých průjmech nebo zvracení může dojít k závažné ztrátě sodíku, což vede k příznakům jako nauzea, svalové křeče a zmatenost. </w:t>
      </w:r>
    </w:p>
    <w:sectPr w:rsidR="3AD9C1B6" w:rsidSect="00B70C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4778" w14:textId="77777777" w:rsidR="00520905" w:rsidRDefault="00520905" w:rsidP="00E92958">
      <w:pPr>
        <w:spacing w:line="240" w:lineRule="auto"/>
      </w:pPr>
      <w:r>
        <w:separator/>
      </w:r>
    </w:p>
  </w:endnote>
  <w:endnote w:type="continuationSeparator" w:id="0">
    <w:p w14:paraId="27541696" w14:textId="77777777" w:rsidR="00520905" w:rsidRDefault="00520905" w:rsidP="00E92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335503"/>
      <w:docPartObj>
        <w:docPartGallery w:val="Page Numbers (Bottom of Page)"/>
        <w:docPartUnique/>
      </w:docPartObj>
    </w:sdtPr>
    <w:sdtEndPr/>
    <w:sdtContent>
      <w:p w14:paraId="7355C487" w14:textId="77777777" w:rsidR="00687CCB" w:rsidRDefault="00687C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71E6A" w14:textId="77777777" w:rsidR="00687CCB" w:rsidRDefault="00687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845F" w14:textId="77777777" w:rsidR="00520905" w:rsidRDefault="00520905" w:rsidP="00E92958">
      <w:pPr>
        <w:spacing w:line="240" w:lineRule="auto"/>
      </w:pPr>
      <w:r>
        <w:separator/>
      </w:r>
    </w:p>
  </w:footnote>
  <w:footnote w:type="continuationSeparator" w:id="0">
    <w:p w14:paraId="12DAEB32" w14:textId="77777777" w:rsidR="00520905" w:rsidRDefault="00520905" w:rsidP="00E92958">
      <w:pPr>
        <w:spacing w:line="240" w:lineRule="auto"/>
      </w:pPr>
      <w:r>
        <w:continuationSeparator/>
      </w:r>
    </w:p>
  </w:footnote>
  <w:footnote w:id="1">
    <w:p w14:paraId="433FF09F" w14:textId="3DE08229" w:rsidR="00141EC2" w:rsidRDefault="00141EC2">
      <w:pPr>
        <w:pStyle w:val="Textpoznpodarou"/>
      </w:pPr>
      <w:r>
        <w:rPr>
          <w:rStyle w:val="Znakapoznpodarou"/>
        </w:rPr>
        <w:footnoteRef/>
      </w:r>
      <w:r>
        <w:t xml:space="preserve"> Rozložení dle DACH</w:t>
      </w:r>
      <w:r w:rsidR="00A05DC6">
        <w:t xml:space="preserve"> – </w:t>
      </w:r>
      <w:r w:rsidR="00A05DC6" w:rsidRPr="00A05DC6">
        <w:t>oblast označující evropské německy mluvící země, tedy Německo (D), Rakousko (A) a</w:t>
      </w:r>
      <w:r w:rsidR="00A05DC6">
        <w:t> </w:t>
      </w:r>
      <w:r w:rsidR="00A05DC6" w:rsidRPr="00A05DC6">
        <w:t>Švýcarsko (CH)</w:t>
      </w:r>
      <w:r>
        <w:t>.</w:t>
      </w:r>
    </w:p>
  </w:footnote>
  <w:footnote w:id="2">
    <w:p w14:paraId="3E282625" w14:textId="27E825CD" w:rsidR="00E92958" w:rsidRDefault="00E92958">
      <w:pPr>
        <w:pStyle w:val="Textpoznpodarou"/>
      </w:pPr>
      <w:r>
        <w:rPr>
          <w:rStyle w:val="Znakapoznpodarou"/>
        </w:rPr>
        <w:footnoteRef/>
      </w:r>
      <w:r>
        <w:t xml:space="preserve"> Dobrá biologická dostupnost při fortifikaci uhličitanem vápenatým. </w:t>
      </w:r>
    </w:p>
  </w:footnote>
  <w:footnote w:id="3">
    <w:p w14:paraId="030BF2FA" w14:textId="370CF722" w:rsidR="00456A8F" w:rsidRDefault="00456A8F">
      <w:pPr>
        <w:pStyle w:val="Textpoznpodarou"/>
      </w:pPr>
      <w:r>
        <w:rPr>
          <w:rStyle w:val="Znakapoznpodarou"/>
        </w:rPr>
        <w:footnoteRef/>
      </w:r>
      <w:r>
        <w:t xml:space="preserve"> K snížené absorpci dochází kvůli kladnému či zápornému náboji</w:t>
      </w:r>
      <w:r w:rsidR="00E4008C">
        <w:t>, díky kterému se</w:t>
      </w:r>
      <w:r>
        <w:t xml:space="preserve"> </w:t>
      </w:r>
      <w:r w:rsidR="00E4008C">
        <w:t>mohou minerální látky vázat na ostatní sloučeniny obsažené v dané potravině. Proto se z listů špenátu vstřebá velmi</w:t>
      </w:r>
      <w:r w:rsidR="00B9562B">
        <w:t xml:space="preserve"> málo</w:t>
      </w:r>
      <w:r w:rsidR="00E4008C">
        <w:t xml:space="preserve"> vápníku, neboť ten vytvoří </w:t>
      </w:r>
      <w:r w:rsidR="009319B7">
        <w:t>pevnou</w:t>
      </w:r>
      <w:r w:rsidR="00E4008C">
        <w:t xml:space="preserve"> vazbu s oxaláty. </w:t>
      </w:r>
    </w:p>
  </w:footnote>
  <w:footnote w:id="4">
    <w:p w14:paraId="06AA4A0D" w14:textId="4645989E" w:rsidR="007F365D" w:rsidRDefault="007F36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365D">
        <w:t xml:space="preserve">Strava s vysokým obsahem soli může snižovat hladinu vápníku v našem těle, a to i v případě, že pravidelně přijímáme dostatečné množství vápníku ve stravě. Je to proto, že naše tělo využívá vápník uložený v kostech k tomu, aby se přebytečné soli zbavilo močí. Sodík a vápník jsou </w:t>
      </w:r>
      <w:proofErr w:type="spellStart"/>
      <w:r w:rsidRPr="007F365D">
        <w:t>reabsorbovány</w:t>
      </w:r>
      <w:proofErr w:type="spellEnd"/>
      <w:r w:rsidRPr="007F365D">
        <w:t xml:space="preserve"> v ledvinách podobnými mechanismy. Když je příjem sodíku vysoký, ledviny vylučují více sodíku močí, a to často vede k současnému zvýšenému vylučování vápníku. Tento proces může způsobit, že tělo ztrácí více vápníku, než kolik je schopno efektivně </w:t>
      </w:r>
      <w:proofErr w:type="spellStart"/>
      <w:r w:rsidRPr="007F365D">
        <w:t>reabsorbovat</w:t>
      </w:r>
      <w:proofErr w:type="spellEnd"/>
      <w:r w:rsidRPr="007F365D">
        <w:t>. Aby tělo udrželo stabilní hladinu vápníku v krvi, může při zvýšeném vylučování vápníku močí začít mobilizovat vápník z kostí. To může v dlouhodobém horizontu vést k oslabení kostí a zvýšenému riziku osteoporózy.</w:t>
      </w:r>
    </w:p>
  </w:footnote>
  <w:footnote w:id="5">
    <w:p w14:paraId="7EFDEBE9" w14:textId="15767AF3" w:rsidR="006F7504" w:rsidRDefault="006F75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7504">
        <w:t>Steatorea je stav, kdy se ve stolici nachází nadměrné množství tuku. Tento problém vzniká v důsledku poruchy trávení nebo vstřebávání tuků v trávicím traktu. Stolice bývá objemná, mastná, světlá a může mít nepříjemný zápach. Steatorea je často spojena s onemocněními, jako jsou celiakie, pankreatitida nebo poruchy funkce jater a žlučníku.</w:t>
      </w:r>
    </w:p>
  </w:footnote>
  <w:footnote w:id="6">
    <w:p w14:paraId="062FC910" w14:textId="24B6AC14" w:rsidR="001111C8" w:rsidRDefault="001111C8">
      <w:pPr>
        <w:pStyle w:val="Textpoznpodarou"/>
      </w:pPr>
      <w:r>
        <w:rPr>
          <w:rStyle w:val="Znakapoznpodarou"/>
        </w:rPr>
        <w:footnoteRef/>
      </w:r>
      <w:r>
        <w:t xml:space="preserve"> Naopak u těžce nemocných hospitalizovaných pacientů</w:t>
      </w:r>
      <w:r w:rsidR="007318CE">
        <w:t>, u kterých není zajištěna adekvátní výživa,</w:t>
      </w:r>
      <w:r>
        <w:t xml:space="preserve"> se s</w:t>
      </w:r>
      <w:r w:rsidR="007318CE">
        <w:t> nízkou hladinou fosforu tj. „</w:t>
      </w:r>
      <w:proofErr w:type="spellStart"/>
      <w:r w:rsidR="007318CE">
        <w:t>hypofosfatemií</w:t>
      </w:r>
      <w:proofErr w:type="spellEnd"/>
      <w:r w:rsidR="007318CE">
        <w:t xml:space="preserve">“ setkáváme poměrně často. </w:t>
      </w:r>
    </w:p>
  </w:footnote>
  <w:footnote w:id="7">
    <w:p w14:paraId="1BC133A6" w14:textId="3420BFBF" w:rsidR="00993538" w:rsidRDefault="009935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3538">
        <w:t>Vitamin D je zase obzvláště důležitý pro to, aby našemu tělu pomáhal vstřebávat fosfor z potravy a také aby mu pomáhal (společně s vápníkem) budovat a udržovat silné kosti a zuby. Tento proces využívá také vitamin K, a proto potřebujeme dobrou rovnováhu všech těchto mikroživin, abychom udrželi optimální růst a zdraví kostí</w:t>
      </w:r>
    </w:p>
  </w:footnote>
  <w:footnote w:id="8">
    <w:p w14:paraId="4F1ADA2A" w14:textId="77777777" w:rsidR="008329F2" w:rsidRDefault="008329F2" w:rsidP="008329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3A36">
        <w:rPr>
          <w:rFonts w:cs="Times New Roman"/>
          <w:lang w:eastAsia="cs-CZ"/>
        </w:rPr>
        <w:t>Tvrzení nelze použít na chlorid, jehož zdrojem je chlorid sodný. </w:t>
      </w:r>
    </w:p>
  </w:footnote>
  <w:footnote w:id="9">
    <w:p w14:paraId="231E3616" w14:textId="2BD83282" w:rsidR="00B374A1" w:rsidRDefault="00B374A1">
      <w:pPr>
        <w:pStyle w:val="Textpoznpodarou"/>
      </w:pPr>
      <w:r>
        <w:rPr>
          <w:rStyle w:val="Znakapoznpodarou"/>
        </w:rPr>
        <w:footnoteRef/>
      </w:r>
      <w:r>
        <w:t xml:space="preserve"> Ekvivalent pro výpočet gramů sodíku z gramů soli: Na(g)x2,5 = sůl(g)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CB45"/>
    <w:multiLevelType w:val="hybridMultilevel"/>
    <w:tmpl w:val="C5BE8A2A"/>
    <w:lvl w:ilvl="0" w:tplc="DC2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41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8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0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3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6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AB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83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A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0BDB"/>
    <w:multiLevelType w:val="hybridMultilevel"/>
    <w:tmpl w:val="EC0657F0"/>
    <w:lvl w:ilvl="0" w:tplc="040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3F43811"/>
    <w:multiLevelType w:val="hybridMultilevel"/>
    <w:tmpl w:val="FB465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197"/>
    <w:multiLevelType w:val="hybridMultilevel"/>
    <w:tmpl w:val="8852495E"/>
    <w:lvl w:ilvl="0" w:tplc="486CBFFE">
      <w:start w:val="1"/>
      <w:numFmt w:val="decimal"/>
      <w:pStyle w:val="Podnadpis"/>
      <w:lvlText w:val="%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1802"/>
    <w:multiLevelType w:val="multilevel"/>
    <w:tmpl w:val="7D6291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DE2671"/>
    <w:multiLevelType w:val="hybridMultilevel"/>
    <w:tmpl w:val="17AA1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2BE3"/>
    <w:multiLevelType w:val="hybridMultilevel"/>
    <w:tmpl w:val="9CA606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F504A"/>
    <w:multiLevelType w:val="hybridMultilevel"/>
    <w:tmpl w:val="D4D22528"/>
    <w:lvl w:ilvl="0" w:tplc="3BA6A908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279F"/>
    <w:multiLevelType w:val="hybridMultilevel"/>
    <w:tmpl w:val="55342484"/>
    <w:lvl w:ilvl="0" w:tplc="8E6C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423A"/>
    <w:multiLevelType w:val="hybridMultilevel"/>
    <w:tmpl w:val="E97A8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1AF"/>
    <w:multiLevelType w:val="hybridMultilevel"/>
    <w:tmpl w:val="517C627E"/>
    <w:lvl w:ilvl="0" w:tplc="8E6C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5289F"/>
    <w:multiLevelType w:val="hybridMultilevel"/>
    <w:tmpl w:val="1DF22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D2CC1"/>
    <w:multiLevelType w:val="hybridMultilevel"/>
    <w:tmpl w:val="5D12D066"/>
    <w:lvl w:ilvl="0" w:tplc="DCAE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7541"/>
    <w:multiLevelType w:val="hybridMultilevel"/>
    <w:tmpl w:val="144C2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6044"/>
    <w:multiLevelType w:val="hybridMultilevel"/>
    <w:tmpl w:val="A7BECBAE"/>
    <w:lvl w:ilvl="0" w:tplc="8E6C34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A32A7"/>
    <w:multiLevelType w:val="hybridMultilevel"/>
    <w:tmpl w:val="BE58A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78B"/>
    <w:multiLevelType w:val="hybridMultilevel"/>
    <w:tmpl w:val="0C5C7020"/>
    <w:lvl w:ilvl="0" w:tplc="8E6C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365C4"/>
    <w:multiLevelType w:val="hybridMultilevel"/>
    <w:tmpl w:val="C5607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F11D0"/>
    <w:multiLevelType w:val="hybridMultilevel"/>
    <w:tmpl w:val="16F4FCD4"/>
    <w:lvl w:ilvl="0" w:tplc="040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590269A9"/>
    <w:multiLevelType w:val="hybridMultilevel"/>
    <w:tmpl w:val="7C484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033E"/>
    <w:multiLevelType w:val="hybridMultilevel"/>
    <w:tmpl w:val="1CD2132A"/>
    <w:lvl w:ilvl="0" w:tplc="5CDCD45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50F8D"/>
    <w:multiLevelType w:val="hybridMultilevel"/>
    <w:tmpl w:val="6D50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6AC"/>
    <w:multiLevelType w:val="hybridMultilevel"/>
    <w:tmpl w:val="D40A14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22390"/>
    <w:multiLevelType w:val="hybridMultilevel"/>
    <w:tmpl w:val="0644BCE8"/>
    <w:lvl w:ilvl="0" w:tplc="8E6C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5317"/>
    <w:multiLevelType w:val="hybridMultilevel"/>
    <w:tmpl w:val="B07A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359BB"/>
    <w:multiLevelType w:val="hybridMultilevel"/>
    <w:tmpl w:val="3B5C9708"/>
    <w:lvl w:ilvl="0" w:tplc="FBEAEEB6">
      <w:start w:val="1"/>
      <w:numFmt w:val="ordinal"/>
      <w:lvlText w:val="1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A7D6F"/>
    <w:multiLevelType w:val="hybridMultilevel"/>
    <w:tmpl w:val="E95052B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EAE23DA"/>
    <w:multiLevelType w:val="hybridMultilevel"/>
    <w:tmpl w:val="113A519A"/>
    <w:lvl w:ilvl="0" w:tplc="8E6C3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6"/>
  </w:num>
  <w:num w:numId="5">
    <w:abstractNumId w:val="21"/>
  </w:num>
  <w:num w:numId="6">
    <w:abstractNumId w:val="22"/>
  </w:num>
  <w:num w:numId="7">
    <w:abstractNumId w:val="20"/>
  </w:num>
  <w:num w:numId="8">
    <w:abstractNumId w:val="12"/>
  </w:num>
  <w:num w:numId="9">
    <w:abstractNumId w:val="25"/>
  </w:num>
  <w:num w:numId="10">
    <w:abstractNumId w:val="10"/>
  </w:num>
  <w:num w:numId="11">
    <w:abstractNumId w:val="14"/>
  </w:num>
  <w:num w:numId="12">
    <w:abstractNumId w:val="8"/>
  </w:num>
  <w:num w:numId="13">
    <w:abstractNumId w:val="23"/>
  </w:num>
  <w:num w:numId="14">
    <w:abstractNumId w:val="11"/>
  </w:num>
  <w:num w:numId="15">
    <w:abstractNumId w:val="18"/>
  </w:num>
  <w:num w:numId="16">
    <w:abstractNumId w:val="1"/>
  </w:num>
  <w:num w:numId="17">
    <w:abstractNumId w:val="6"/>
  </w:num>
  <w:num w:numId="18">
    <w:abstractNumId w:val="24"/>
  </w:num>
  <w:num w:numId="19">
    <w:abstractNumId w:val="17"/>
  </w:num>
  <w:num w:numId="20">
    <w:abstractNumId w:val="26"/>
  </w:num>
  <w:num w:numId="21">
    <w:abstractNumId w:val="2"/>
  </w:num>
  <w:num w:numId="22">
    <w:abstractNumId w:val="27"/>
  </w:num>
  <w:num w:numId="23">
    <w:abstractNumId w:val="19"/>
  </w:num>
  <w:num w:numId="24">
    <w:abstractNumId w:val="5"/>
  </w:num>
  <w:num w:numId="25">
    <w:abstractNumId w:val="13"/>
  </w:num>
  <w:num w:numId="26">
    <w:abstractNumId w:val="9"/>
  </w:num>
  <w:num w:numId="27">
    <w:abstractNumId w:val="7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efaultTableStyle w:val="Tmavtabulkasmkou5zvraznn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4"/>
    <w:rsid w:val="000344D2"/>
    <w:rsid w:val="00045F32"/>
    <w:rsid w:val="00073A39"/>
    <w:rsid w:val="000809E0"/>
    <w:rsid w:val="000A16BE"/>
    <w:rsid w:val="000C51A9"/>
    <w:rsid w:val="000D1A3E"/>
    <w:rsid w:val="000D35FD"/>
    <w:rsid w:val="000D47CE"/>
    <w:rsid w:val="000F7007"/>
    <w:rsid w:val="0011099C"/>
    <w:rsid w:val="001111C8"/>
    <w:rsid w:val="00121F6B"/>
    <w:rsid w:val="00123B45"/>
    <w:rsid w:val="00141EC2"/>
    <w:rsid w:val="001429A1"/>
    <w:rsid w:val="00153BEB"/>
    <w:rsid w:val="001B41AE"/>
    <w:rsid w:val="001C07CD"/>
    <w:rsid w:val="001E0766"/>
    <w:rsid w:val="00273CE7"/>
    <w:rsid w:val="00277768"/>
    <w:rsid w:val="002B5064"/>
    <w:rsid w:val="002C1A63"/>
    <w:rsid w:val="002C1E2F"/>
    <w:rsid w:val="002C6218"/>
    <w:rsid w:val="002E2F9A"/>
    <w:rsid w:val="003167BD"/>
    <w:rsid w:val="003173AE"/>
    <w:rsid w:val="0034064D"/>
    <w:rsid w:val="00355887"/>
    <w:rsid w:val="003A7005"/>
    <w:rsid w:val="003B428A"/>
    <w:rsid w:val="003C0191"/>
    <w:rsid w:val="003C29B7"/>
    <w:rsid w:val="003D0399"/>
    <w:rsid w:val="003F61B4"/>
    <w:rsid w:val="004002A1"/>
    <w:rsid w:val="004051A4"/>
    <w:rsid w:val="00410B90"/>
    <w:rsid w:val="00456A8F"/>
    <w:rsid w:val="00457158"/>
    <w:rsid w:val="004730C9"/>
    <w:rsid w:val="004B42FC"/>
    <w:rsid w:val="004E6BF0"/>
    <w:rsid w:val="004F5698"/>
    <w:rsid w:val="00520905"/>
    <w:rsid w:val="00531232"/>
    <w:rsid w:val="00554A73"/>
    <w:rsid w:val="00570B7A"/>
    <w:rsid w:val="0057288C"/>
    <w:rsid w:val="0059506B"/>
    <w:rsid w:val="005D71E0"/>
    <w:rsid w:val="005E51D9"/>
    <w:rsid w:val="00604082"/>
    <w:rsid w:val="0060749C"/>
    <w:rsid w:val="00614457"/>
    <w:rsid w:val="00625A2E"/>
    <w:rsid w:val="00646EF6"/>
    <w:rsid w:val="00652823"/>
    <w:rsid w:val="00654845"/>
    <w:rsid w:val="00655874"/>
    <w:rsid w:val="00687CCB"/>
    <w:rsid w:val="006C64DD"/>
    <w:rsid w:val="006D0411"/>
    <w:rsid w:val="006E204D"/>
    <w:rsid w:val="006F7504"/>
    <w:rsid w:val="00704622"/>
    <w:rsid w:val="007318CE"/>
    <w:rsid w:val="00737476"/>
    <w:rsid w:val="007F1DD8"/>
    <w:rsid w:val="007F365D"/>
    <w:rsid w:val="007F4321"/>
    <w:rsid w:val="00814747"/>
    <w:rsid w:val="008301E3"/>
    <w:rsid w:val="008329F2"/>
    <w:rsid w:val="00864E57"/>
    <w:rsid w:val="008924B0"/>
    <w:rsid w:val="00895104"/>
    <w:rsid w:val="008953F5"/>
    <w:rsid w:val="008B15D3"/>
    <w:rsid w:val="008C3580"/>
    <w:rsid w:val="008D6CDB"/>
    <w:rsid w:val="008E49D5"/>
    <w:rsid w:val="008E6264"/>
    <w:rsid w:val="00913A5C"/>
    <w:rsid w:val="009179FB"/>
    <w:rsid w:val="009319B7"/>
    <w:rsid w:val="00941654"/>
    <w:rsid w:val="00961831"/>
    <w:rsid w:val="0096441E"/>
    <w:rsid w:val="00982D5E"/>
    <w:rsid w:val="00987533"/>
    <w:rsid w:val="00993538"/>
    <w:rsid w:val="009A24B8"/>
    <w:rsid w:val="009A59ED"/>
    <w:rsid w:val="009C416D"/>
    <w:rsid w:val="009D091C"/>
    <w:rsid w:val="009D5392"/>
    <w:rsid w:val="009E33BB"/>
    <w:rsid w:val="00A02248"/>
    <w:rsid w:val="00A02A0E"/>
    <w:rsid w:val="00A05580"/>
    <w:rsid w:val="00A05DC6"/>
    <w:rsid w:val="00A060D8"/>
    <w:rsid w:val="00A12814"/>
    <w:rsid w:val="00A33A31"/>
    <w:rsid w:val="00A51324"/>
    <w:rsid w:val="00A51BE9"/>
    <w:rsid w:val="00A543A4"/>
    <w:rsid w:val="00A660F0"/>
    <w:rsid w:val="00A76CC5"/>
    <w:rsid w:val="00A85529"/>
    <w:rsid w:val="00AD10EF"/>
    <w:rsid w:val="00AD3D69"/>
    <w:rsid w:val="00AF4371"/>
    <w:rsid w:val="00B374A1"/>
    <w:rsid w:val="00B52D17"/>
    <w:rsid w:val="00B70CB8"/>
    <w:rsid w:val="00B8174F"/>
    <w:rsid w:val="00B9562B"/>
    <w:rsid w:val="00BC0EFF"/>
    <w:rsid w:val="00BD72B5"/>
    <w:rsid w:val="00BE5FEF"/>
    <w:rsid w:val="00BE60F3"/>
    <w:rsid w:val="00C16790"/>
    <w:rsid w:val="00C519E1"/>
    <w:rsid w:val="00C6101F"/>
    <w:rsid w:val="00C97E00"/>
    <w:rsid w:val="00CB583E"/>
    <w:rsid w:val="00CB77B5"/>
    <w:rsid w:val="00CC4028"/>
    <w:rsid w:val="00CC62D0"/>
    <w:rsid w:val="00CC6D1D"/>
    <w:rsid w:val="00CD579D"/>
    <w:rsid w:val="00CE53A6"/>
    <w:rsid w:val="00CE56BD"/>
    <w:rsid w:val="00CE7393"/>
    <w:rsid w:val="00D350D3"/>
    <w:rsid w:val="00D45F19"/>
    <w:rsid w:val="00D60916"/>
    <w:rsid w:val="00D64FA0"/>
    <w:rsid w:val="00D70850"/>
    <w:rsid w:val="00D83DE2"/>
    <w:rsid w:val="00DB6603"/>
    <w:rsid w:val="00DC51E7"/>
    <w:rsid w:val="00DD05C5"/>
    <w:rsid w:val="00DD7237"/>
    <w:rsid w:val="00E01868"/>
    <w:rsid w:val="00E24122"/>
    <w:rsid w:val="00E4008C"/>
    <w:rsid w:val="00E71171"/>
    <w:rsid w:val="00E92958"/>
    <w:rsid w:val="00E96C74"/>
    <w:rsid w:val="00ED5102"/>
    <w:rsid w:val="00ED7744"/>
    <w:rsid w:val="00EE6855"/>
    <w:rsid w:val="00EE7A93"/>
    <w:rsid w:val="00EF39D8"/>
    <w:rsid w:val="00F0123F"/>
    <w:rsid w:val="00F038FF"/>
    <w:rsid w:val="00F15D7F"/>
    <w:rsid w:val="00F35B00"/>
    <w:rsid w:val="00F43E7C"/>
    <w:rsid w:val="00F442DA"/>
    <w:rsid w:val="00F65C39"/>
    <w:rsid w:val="00F664A1"/>
    <w:rsid w:val="00FB229B"/>
    <w:rsid w:val="019EAC08"/>
    <w:rsid w:val="02F7C027"/>
    <w:rsid w:val="03B15082"/>
    <w:rsid w:val="049C5AC5"/>
    <w:rsid w:val="05AC3B11"/>
    <w:rsid w:val="065CF7F6"/>
    <w:rsid w:val="0688C027"/>
    <w:rsid w:val="07038581"/>
    <w:rsid w:val="07A070FC"/>
    <w:rsid w:val="08D68845"/>
    <w:rsid w:val="090860A0"/>
    <w:rsid w:val="09552452"/>
    <w:rsid w:val="0A29E8D9"/>
    <w:rsid w:val="0A53FF31"/>
    <w:rsid w:val="0BA49DD0"/>
    <w:rsid w:val="0BCCA1E2"/>
    <w:rsid w:val="0C237C4D"/>
    <w:rsid w:val="0D3D474D"/>
    <w:rsid w:val="0EBDFF1B"/>
    <w:rsid w:val="0ECCF594"/>
    <w:rsid w:val="0ED35726"/>
    <w:rsid w:val="0F46CB3A"/>
    <w:rsid w:val="10B9141C"/>
    <w:rsid w:val="13249450"/>
    <w:rsid w:val="144D0441"/>
    <w:rsid w:val="14F2F015"/>
    <w:rsid w:val="150FE30A"/>
    <w:rsid w:val="199E4354"/>
    <w:rsid w:val="1AFD7D89"/>
    <w:rsid w:val="1B8C4B8A"/>
    <w:rsid w:val="1BB12E7A"/>
    <w:rsid w:val="1C5C6D90"/>
    <w:rsid w:val="1C6ADD7E"/>
    <w:rsid w:val="1CE8F20D"/>
    <w:rsid w:val="1DB33735"/>
    <w:rsid w:val="20792EB8"/>
    <w:rsid w:val="21943053"/>
    <w:rsid w:val="230C3D7F"/>
    <w:rsid w:val="299CBB33"/>
    <w:rsid w:val="29EA97D6"/>
    <w:rsid w:val="2ABDEA2C"/>
    <w:rsid w:val="2C607E59"/>
    <w:rsid w:val="2D716D70"/>
    <w:rsid w:val="2DC43152"/>
    <w:rsid w:val="2DE78A18"/>
    <w:rsid w:val="2F723509"/>
    <w:rsid w:val="2FAB290E"/>
    <w:rsid w:val="300DFC8C"/>
    <w:rsid w:val="31AEAED6"/>
    <w:rsid w:val="31FC5EE4"/>
    <w:rsid w:val="32273D56"/>
    <w:rsid w:val="32DF91C1"/>
    <w:rsid w:val="33E28C16"/>
    <w:rsid w:val="34253F6F"/>
    <w:rsid w:val="34B61F20"/>
    <w:rsid w:val="352292B0"/>
    <w:rsid w:val="365517BC"/>
    <w:rsid w:val="372FC76E"/>
    <w:rsid w:val="37A31410"/>
    <w:rsid w:val="3917D789"/>
    <w:rsid w:val="3A742DCF"/>
    <w:rsid w:val="3AD9C1B6"/>
    <w:rsid w:val="3CD61989"/>
    <w:rsid w:val="3CE703B1"/>
    <w:rsid w:val="3D73472B"/>
    <w:rsid w:val="40835E69"/>
    <w:rsid w:val="418A90FB"/>
    <w:rsid w:val="4224C5FA"/>
    <w:rsid w:val="42817BDC"/>
    <w:rsid w:val="42857160"/>
    <w:rsid w:val="43DCEBFB"/>
    <w:rsid w:val="45787BD8"/>
    <w:rsid w:val="4581ECBB"/>
    <w:rsid w:val="45E682C9"/>
    <w:rsid w:val="473B0AA3"/>
    <w:rsid w:val="48F8E41A"/>
    <w:rsid w:val="4CF459AE"/>
    <w:rsid w:val="4D6FFC41"/>
    <w:rsid w:val="4D7763FA"/>
    <w:rsid w:val="4E6600D2"/>
    <w:rsid w:val="4FE77D55"/>
    <w:rsid w:val="500A5541"/>
    <w:rsid w:val="501959A7"/>
    <w:rsid w:val="51C86977"/>
    <w:rsid w:val="51DD8D74"/>
    <w:rsid w:val="52132EA5"/>
    <w:rsid w:val="53E2D3DB"/>
    <w:rsid w:val="54783CC4"/>
    <w:rsid w:val="54F26624"/>
    <w:rsid w:val="551BC0C0"/>
    <w:rsid w:val="55AB0450"/>
    <w:rsid w:val="55C6BC0D"/>
    <w:rsid w:val="56641FCA"/>
    <w:rsid w:val="57E0F5D9"/>
    <w:rsid w:val="58CE240C"/>
    <w:rsid w:val="5A0B616B"/>
    <w:rsid w:val="5B73364A"/>
    <w:rsid w:val="5E2362C3"/>
    <w:rsid w:val="5FF029D1"/>
    <w:rsid w:val="6045F877"/>
    <w:rsid w:val="61B0F5A5"/>
    <w:rsid w:val="61D663A4"/>
    <w:rsid w:val="629CDBC7"/>
    <w:rsid w:val="6319EF25"/>
    <w:rsid w:val="639D47C5"/>
    <w:rsid w:val="653605B3"/>
    <w:rsid w:val="656B2F16"/>
    <w:rsid w:val="66163B44"/>
    <w:rsid w:val="666CAC99"/>
    <w:rsid w:val="67A62CA6"/>
    <w:rsid w:val="67C286D6"/>
    <w:rsid w:val="681E683B"/>
    <w:rsid w:val="6919F3BD"/>
    <w:rsid w:val="6A092062"/>
    <w:rsid w:val="6C93BA30"/>
    <w:rsid w:val="6D3DC5A7"/>
    <w:rsid w:val="6ECBD476"/>
    <w:rsid w:val="6F6A42A4"/>
    <w:rsid w:val="6F7CE043"/>
    <w:rsid w:val="6FEF0545"/>
    <w:rsid w:val="71B4DB27"/>
    <w:rsid w:val="722838DF"/>
    <w:rsid w:val="745081DA"/>
    <w:rsid w:val="74C25039"/>
    <w:rsid w:val="7626FF77"/>
    <w:rsid w:val="778B2DE8"/>
    <w:rsid w:val="7843C9F6"/>
    <w:rsid w:val="789C1137"/>
    <w:rsid w:val="79C34F06"/>
    <w:rsid w:val="7A6D4F81"/>
    <w:rsid w:val="7C9EA13C"/>
    <w:rsid w:val="7D2EE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FBF8"/>
  <w15:chartTrackingRefBased/>
  <w15:docId w15:val="{2C582B00-4661-4ABA-B848-48A3E70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9D8"/>
    <w:p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39D8"/>
    <w:pPr>
      <w:framePr w:wrap="notBeside" w:vAnchor="text" w:hAnchor="text" w:y="1"/>
      <w:outlineLvl w:val="0"/>
    </w:pPr>
    <w:rPr>
      <w:spacing w:val="15"/>
      <w:sz w:val="3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32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jc w:val="center"/>
      <w:outlineLvl w:val="1"/>
    </w:pPr>
    <w:rPr>
      <w:rFonts w:ascii="Calibri" w:hAnsi="Calibri"/>
      <w:b/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A59ED"/>
    <w:pPr>
      <w:spacing w:before="300"/>
      <w:outlineLvl w:val="2"/>
    </w:pPr>
    <w:rPr>
      <w:b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321"/>
    <w:pPr>
      <w:pBdr>
        <w:top w:val="dotted" w:sz="6" w:space="2" w:color="1CADE4" w:themeColor="accent1"/>
      </w:pBdr>
      <w:spacing w:before="20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321"/>
    <w:pPr>
      <w:pBdr>
        <w:bottom w:val="single" w:sz="6" w:space="1" w:color="1CADE4" w:themeColor="accent1"/>
      </w:pBdr>
      <w:spacing w:before="20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321"/>
    <w:pPr>
      <w:pBdr>
        <w:bottom w:val="dotted" w:sz="6" w:space="1" w:color="1CADE4" w:themeColor="accent1"/>
      </w:pBdr>
      <w:spacing w:before="20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321"/>
    <w:pPr>
      <w:spacing w:before="20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321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32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4321"/>
    <w:rPr>
      <w:rFonts w:ascii="Calibri" w:hAnsi="Calibri"/>
      <w:b/>
      <w:caps/>
      <w:spacing w:val="15"/>
      <w:sz w:val="24"/>
      <w:shd w:val="clear" w:color="auto" w:fill="D1EEF9" w:themeFill="accent1" w:themeFillTint="33"/>
    </w:rPr>
  </w:style>
  <w:style w:type="table" w:styleId="Barevntabulkaseznamu6zvraznn3">
    <w:name w:val="List Table 6 Colorful Accent 3"/>
    <w:basedOn w:val="Normlntabulka"/>
    <w:uiPriority w:val="51"/>
    <w:rsid w:val="00531232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0F7007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1CADE4" w:themeColor="accent1"/>
        <w:insideV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EF39D8"/>
    <w:pPr>
      <w:jc w:val="center"/>
    </w:pPr>
    <w:rPr>
      <w:rFonts w:eastAsiaTheme="majorEastAsia" w:cstheme="majorBidi"/>
      <w:caps/>
      <w:spacing w:val="10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39D8"/>
    <w:rPr>
      <w:rFonts w:ascii="Times New Roman" w:eastAsiaTheme="majorEastAsia" w:hAnsi="Times New Roman" w:cstheme="majorBidi"/>
      <w:caps/>
      <w:spacing w:val="10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39D8"/>
    <w:rPr>
      <w:rFonts w:ascii="Times New Roman" w:hAnsi="Times New Roman"/>
      <w:spacing w:val="15"/>
      <w:sz w:val="32"/>
      <w:szCs w:val="22"/>
    </w:rPr>
  </w:style>
  <w:style w:type="paragraph" w:styleId="Odstavecseseznamem">
    <w:name w:val="List Paragraph"/>
    <w:basedOn w:val="Normln"/>
    <w:uiPriority w:val="34"/>
    <w:qFormat/>
    <w:rsid w:val="007F432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A59ED"/>
    <w:rPr>
      <w:rFonts w:ascii="Times New Roman" w:hAnsi="Times New Roman"/>
      <w:b/>
      <w:spacing w:val="15"/>
      <w:sz w:val="24"/>
    </w:rPr>
  </w:style>
  <w:style w:type="table" w:styleId="Svtlmkatabulky">
    <w:name w:val="Grid Table Light"/>
    <w:basedOn w:val="Normlntabulka"/>
    <w:uiPriority w:val="40"/>
    <w:rsid w:val="00DD05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2958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29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295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7C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CC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687C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CCB"/>
    <w:rPr>
      <w:sz w:val="24"/>
    </w:rPr>
  </w:style>
  <w:style w:type="table" w:styleId="Prosttabulka1">
    <w:name w:val="Plain Table 1"/>
    <w:basedOn w:val="Normlntabulka"/>
    <w:uiPriority w:val="41"/>
    <w:rsid w:val="00B70C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F4321"/>
    <w:rPr>
      <w:caps/>
      <w:color w:val="1481AB" w:themeColor="accent1" w:themeShade="BF"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321"/>
    <w:rPr>
      <w:caps/>
      <w:color w:val="1481AB" w:themeColor="accent1" w:themeShade="BF"/>
      <w:spacing w:val="10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321"/>
    <w:rPr>
      <w:caps/>
      <w:color w:val="1481AB" w:themeColor="accent1" w:themeShade="BF"/>
      <w:spacing w:val="1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321"/>
    <w:rPr>
      <w:caps/>
      <w:color w:val="1481AB" w:themeColor="accent1" w:themeShade="BF"/>
      <w:spacing w:val="1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32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321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F4321"/>
    <w:rPr>
      <w:b/>
      <w:bCs/>
      <w:color w:val="1481AB" w:themeColor="accent1" w:themeShade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29A1"/>
    <w:pPr>
      <w:numPr>
        <w:numId w:val="29"/>
      </w:numPr>
      <w:spacing w:after="120" w:line="240" w:lineRule="auto"/>
      <w:ind w:left="357" w:hanging="357"/>
    </w:pPr>
    <w:rPr>
      <w:spacing w:val="10"/>
      <w:sz w:val="28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1429A1"/>
    <w:rPr>
      <w:rFonts w:ascii="Times New Roman" w:hAnsi="Times New Roman"/>
      <w:spacing w:val="10"/>
      <w:sz w:val="28"/>
      <w:szCs w:val="21"/>
    </w:rPr>
  </w:style>
  <w:style w:type="character" w:styleId="Siln">
    <w:name w:val="Strong"/>
    <w:uiPriority w:val="22"/>
    <w:qFormat/>
    <w:rsid w:val="007F4321"/>
    <w:rPr>
      <w:b/>
      <w:bCs/>
    </w:rPr>
  </w:style>
  <w:style w:type="character" w:styleId="Zdraznn">
    <w:name w:val="Emphasis"/>
    <w:uiPriority w:val="20"/>
    <w:qFormat/>
    <w:rsid w:val="007F4321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7F432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F4321"/>
    <w:rPr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F4321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4321"/>
    <w:pPr>
      <w:spacing w:before="240" w:after="240" w:line="240" w:lineRule="auto"/>
      <w:ind w:left="1080" w:right="1080"/>
      <w:jc w:val="center"/>
    </w:pPr>
    <w:rPr>
      <w:color w:val="1CADE4" w:themeColor="accent1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4321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7F4321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7F4321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7F4321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7F4321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7F4321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F4321"/>
    <w:pPr>
      <w:framePr w:wrap="notBeside"/>
      <w:outlineLvl w:val="9"/>
    </w:pPr>
  </w:style>
  <w:style w:type="table" w:styleId="Tmavtabulkasmkou5zvraznn1">
    <w:name w:val="Grid Table 5 Dark Accent 1"/>
    <w:basedOn w:val="Normlntabulka"/>
    <w:uiPriority w:val="50"/>
    <w:rsid w:val="007F43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4730C9"/>
    <w:rPr>
      <w:color w:val="6EAC1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0C9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ln"/>
    <w:rsid w:val="00A060D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cf01">
    <w:name w:val="cf01"/>
    <w:basedOn w:val="Standardnpsmoodstavce"/>
    <w:rsid w:val="00A060D8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uiPriority w:val="39"/>
    <w:rsid w:val="009A59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fbonehealth.org/calcium-calculator" TargetMode="External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DOfficeLightV0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4" ma:contentTypeDescription="Vytvoří nový dokument" ma:contentTypeScope="" ma:versionID="32f8ddf8fc72bc59ff0083641ae7778b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9f58204dfbe7d188a88e4701f4901e07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48ae6b-23fd-4bab-aa86-629d11f74ac3}" ma:internalName="TaxCatchAll" ma:showField="CatchAllData" ma:web="65e27c90-cfd7-4300-b56f-431f0c449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27c90-cfd7-4300-b56f-431f0c449b80" xsi:nil="true"/>
    <lcf76f155ced4ddcb4097134ff3c332f xmlns="4e556105-c29a-463f-954a-f69b50614a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4EAFF-7657-4D11-B5DB-E30BA8B8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BEC78-37CF-4989-B0F2-485FA6F53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40A93-B18D-45D2-9045-5BDC8F06482E}">
  <ds:schemaRefs>
    <ds:schemaRef ds:uri="http://schemas.microsoft.com/office/2006/metadata/properties"/>
    <ds:schemaRef ds:uri="http://schemas.microsoft.com/office/infopath/2007/PartnerControls"/>
    <ds:schemaRef ds:uri="65e27c90-cfd7-4300-b56f-431f0c449b80"/>
    <ds:schemaRef ds:uri="4e556105-c29a-463f-954a-f69b50614a4f"/>
  </ds:schemaRefs>
</ds:datastoreItem>
</file>

<file path=customXml/itemProps4.xml><?xml version="1.0" encoding="utf-8"?>
<ds:datastoreItem xmlns:ds="http://schemas.openxmlformats.org/officeDocument/2006/customXml" ds:itemID="{D87866A7-B701-4BDB-B8DD-4E32DF585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4024</Words>
  <Characters>23746</Characters>
  <Application>Microsoft Office Word</Application>
  <DocSecurity>0</DocSecurity>
  <Lines>197</Lines>
  <Paragraphs>55</Paragraphs>
  <ScaleCrop>false</ScaleCrop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Kunzová</dc:creator>
  <cp:keywords/>
  <dc:description/>
  <cp:lastModifiedBy>Veronika Suchodolová</cp:lastModifiedBy>
  <cp:revision>2</cp:revision>
  <dcterms:created xsi:type="dcterms:W3CDTF">2024-11-07T11:19:00Z</dcterms:created>
  <dcterms:modified xsi:type="dcterms:W3CDTF">2024-11-07T11:19:00Z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MediaServiceImageTags">
    <vt:lpwstr/>
  </property>
</Properties>
</file>