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2AF9" w:rsidRDefault="00431034" w:rsidP="00B52AF9">
      <w:pPr>
        <w:numPr>
          <w:ilvl w:val="0"/>
          <w:numId w:val="1"/>
        </w:numPr>
      </w:pPr>
      <w:r w:rsidRPr="00B52AF9">
        <w:rPr>
          <w:b/>
          <w:bCs/>
        </w:rPr>
        <w:t xml:space="preserve">Osobnost člověka se zrakovým postižením </w:t>
      </w:r>
    </w:p>
    <w:p w:rsidR="00B52AF9" w:rsidRPr="00B52AF9" w:rsidRDefault="00B52AF9" w:rsidP="00B52AF9">
      <w:pPr>
        <w:ind w:left="720"/>
      </w:pPr>
    </w:p>
    <w:p w:rsidR="00000000" w:rsidRPr="00B52AF9" w:rsidRDefault="00431034" w:rsidP="00B52AF9">
      <w:r w:rsidRPr="00B52AF9">
        <w:rPr>
          <w:b/>
          <w:bCs/>
        </w:rPr>
        <w:t xml:space="preserve">Vliv zrakové vady na osobnost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 xml:space="preserve">vliv na celou osobnost 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psychický a fyzický vývoj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primární postižení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sekundární změny – senzorická deprivace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míra vlivu závisí na: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diagnóze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závažnosti – stupni vady</w:t>
      </w:r>
    </w:p>
    <w:p w:rsidR="00000000" w:rsidRDefault="00431034" w:rsidP="00B52AF9">
      <w:pPr>
        <w:numPr>
          <w:ilvl w:val="1"/>
          <w:numId w:val="1"/>
        </w:numPr>
      </w:pPr>
      <w:r w:rsidRPr="00B52AF9">
        <w:t xml:space="preserve">době vzniku a etiologii vady </w:t>
      </w:r>
    </w:p>
    <w:p w:rsidR="00B52AF9" w:rsidRPr="00B52AF9" w:rsidRDefault="00B52AF9" w:rsidP="00B52AF9">
      <w:pPr>
        <w:ind w:left="1080"/>
      </w:pPr>
    </w:p>
    <w:p w:rsidR="00000000" w:rsidRPr="00B52AF9" w:rsidRDefault="00431034" w:rsidP="00B52AF9">
      <w:r w:rsidRPr="00B52AF9">
        <w:rPr>
          <w:b/>
          <w:bCs/>
        </w:rPr>
        <w:t xml:space="preserve">Vada vrozená nebo získaná?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 xml:space="preserve">v jaké míře byly vytvořeny adekvátní vizuální představy o okolním světě 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5-7 let – hranice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zformování osobnosti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subjektivní zpracování zátěže sebou samým a blízkým okolím</w:t>
      </w:r>
      <w:r w:rsidRPr="00B52AF9">
        <w:rPr>
          <w:b/>
          <w:bCs/>
        </w:rPr>
        <w:t xml:space="preserve"> </w:t>
      </w:r>
    </w:p>
    <w:p w:rsidR="00B52AF9" w:rsidRDefault="00B52AF9" w:rsidP="00B52AF9">
      <w:pPr>
        <w:rPr>
          <w:b/>
          <w:bCs/>
        </w:rPr>
      </w:pPr>
      <w:r>
        <w:rPr>
          <w:b/>
          <w:bCs/>
        </w:rPr>
        <w:t>¨</w:t>
      </w:r>
    </w:p>
    <w:p w:rsidR="00000000" w:rsidRPr="00B52AF9" w:rsidRDefault="00431034" w:rsidP="00B52AF9">
      <w:r w:rsidRPr="00B52AF9">
        <w:rPr>
          <w:b/>
          <w:bCs/>
        </w:rPr>
        <w:t xml:space="preserve">Akceptace vady </w:t>
      </w:r>
    </w:p>
    <w:p w:rsidR="00000000" w:rsidRPr="00B52AF9" w:rsidRDefault="00431034" w:rsidP="00B52AF9">
      <w:r w:rsidRPr="00B52AF9">
        <w:t>De</w:t>
      </w:r>
      <w:r w:rsidRPr="00B52AF9">
        <w:t xml:space="preserve">finice, pojmy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rPr>
          <w:b/>
          <w:bCs/>
        </w:rPr>
        <w:t>přijetí</w:t>
      </w:r>
      <w:r w:rsidRPr="00B52AF9">
        <w:t xml:space="preserve">, osvojení všech životních </w:t>
      </w:r>
      <w:r w:rsidRPr="00B52AF9">
        <w:rPr>
          <w:b/>
          <w:bCs/>
        </w:rPr>
        <w:t>možností a</w:t>
      </w:r>
      <w:r w:rsidRPr="00B52AF9">
        <w:t xml:space="preserve"> </w:t>
      </w:r>
      <w:r w:rsidRPr="00B52AF9">
        <w:rPr>
          <w:b/>
          <w:bCs/>
        </w:rPr>
        <w:t>omezení</w:t>
      </w:r>
      <w:r w:rsidRPr="00B52AF9">
        <w:t xml:space="preserve"> souvisejících s postižením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aktivní přístup k životním situacím a motivace je řešit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sebeakceptace – sebepřijetí - sebeúcta</w:t>
      </w:r>
    </w:p>
    <w:p w:rsidR="00000000" w:rsidRPr="00B52AF9" w:rsidRDefault="00431034" w:rsidP="00B52AF9">
      <w:r w:rsidRPr="00B52AF9">
        <w:t xml:space="preserve">Faktory akceptace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osobnost člověka a její rysy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 xml:space="preserve">aspirace člověka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životní příběh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lastRenderedPageBreak/>
        <w:t>bezprostřední okolí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životní podmínky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kompenzační schopnosti</w:t>
      </w:r>
    </w:p>
    <w:p w:rsidR="00000000" w:rsidRDefault="00431034" w:rsidP="00B52AF9">
      <w:pPr>
        <w:numPr>
          <w:ilvl w:val="0"/>
          <w:numId w:val="1"/>
        </w:numPr>
      </w:pPr>
      <w:r w:rsidRPr="00B52AF9">
        <w:t>naplnění kvality života</w:t>
      </w:r>
    </w:p>
    <w:p w:rsidR="00AB4169" w:rsidRPr="00B52AF9" w:rsidRDefault="00AB4169" w:rsidP="00AB4169">
      <w:pPr>
        <w:ind w:left="720"/>
      </w:pPr>
    </w:p>
    <w:p w:rsidR="00000000" w:rsidRPr="00AB4169" w:rsidRDefault="00431034" w:rsidP="00AB4169">
      <w:pPr>
        <w:rPr>
          <w:b/>
        </w:rPr>
      </w:pPr>
      <w:r w:rsidRPr="00AB4169">
        <w:rPr>
          <w:b/>
        </w:rPr>
        <w:t xml:space="preserve">Nonakceptace/inakceptace ztráty zraku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může být dílčí nebo celková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stigmatizace, pocity méněcennosti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2 extrémy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rPr>
          <w:b/>
          <w:bCs/>
        </w:rPr>
        <w:t>popírání</w:t>
      </w:r>
      <w:r w:rsidRPr="00B52AF9">
        <w:t xml:space="preserve"> </w:t>
      </w:r>
      <w:r w:rsidRPr="00B52AF9">
        <w:t xml:space="preserve">– (např. prakticky nevidomí) - motivační hyperkompenzace 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rPr>
          <w:b/>
          <w:bCs/>
        </w:rPr>
        <w:t>zveličování</w:t>
      </w:r>
      <w:r w:rsidRPr="00B52AF9">
        <w:t xml:space="preserve"> - podlehnutí –syndrom naučené bezmocnosti </w:t>
      </w:r>
      <w:r w:rsidRPr="00B52AF9">
        <w:rPr>
          <w:vertAlign w:val="subscript"/>
        </w:rPr>
        <w:t>(Jesenský a kol., 2007)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důvodem nedostatečná informovanost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Rodina dítěte s </w:t>
      </w:r>
      <w:r w:rsidRPr="00B52AF9">
        <w:t>vrozeným</w:t>
      </w:r>
      <w:r w:rsidRPr="00B52AF9">
        <w:rPr>
          <w:b/>
          <w:bCs/>
        </w:rPr>
        <w:t xml:space="preserve"> zrakovým postižením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narození dítěte s postižením – trauma, zátěž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fáze přijetí pozice rodiče s postižením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šok a popření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postupná akceptace a vyrovnávání se s problémem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fáze realismu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plná akceptace?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 xml:space="preserve">sourozenci </w:t>
      </w:r>
    </w:p>
    <w:p w:rsidR="00431034" w:rsidRDefault="00431034" w:rsidP="00431034"/>
    <w:p w:rsidR="00000000" w:rsidRPr="00431034" w:rsidRDefault="00431034" w:rsidP="00431034">
      <w:pPr>
        <w:rPr>
          <w:b/>
        </w:rPr>
      </w:pPr>
      <w:r w:rsidRPr="00431034">
        <w:rPr>
          <w:b/>
        </w:rPr>
        <w:t xml:space="preserve">Oslabení či ztráta zraku v dospělém a seniorském věku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rozd</w:t>
      </w:r>
      <w:r w:rsidRPr="00B52AF9">
        <w:t>íl ve věkových pásmech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progresivní/pozvolná nebo náhlá ztráta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trauma, nevratná ztráta kompetencí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Senioři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lastRenderedPageBreak/>
        <w:t xml:space="preserve">postižení jednotlivých zrakových fcí 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odlišná rychlost zpracování informací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 xml:space="preserve">výrazné riziko </w:t>
      </w:r>
      <w:r w:rsidRPr="00B52AF9">
        <w:rPr>
          <w:b/>
          <w:bCs/>
        </w:rPr>
        <w:t>rezignace a sociální izolace</w:t>
      </w:r>
      <w:r w:rsidRPr="00B52AF9">
        <w:t xml:space="preserve"> </w:t>
      </w:r>
    </w:p>
    <w:p w:rsidR="00431034" w:rsidRDefault="00431034" w:rsidP="00431034">
      <w:pPr>
        <w:rPr>
          <w:b/>
          <w:bCs/>
        </w:rPr>
      </w:pP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431034">
        <w:rPr>
          <w:b/>
          <w:bCs/>
        </w:rPr>
        <w:t xml:space="preserve">Vývoj osobnosti dítěte s těžkou vrozenou vadou </w:t>
      </w:r>
      <w:r w:rsidRPr="00431034">
        <w:rPr>
          <w:b/>
          <w:bCs/>
          <w:vertAlign w:val="subscript"/>
        </w:rPr>
        <w:t>(Vágnerová, 1995, McLinden</w:t>
      </w:r>
      <w:r w:rsidRPr="00431034">
        <w:rPr>
          <w:vertAlign w:val="subscript"/>
        </w:rPr>
        <w:t>, 1997)</w:t>
      </w:r>
      <w:r w:rsidRPr="00431034">
        <w:rPr>
          <w:b/>
          <w:bCs/>
        </w:rPr>
        <w:t xml:space="preserve"> 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psychický vývoj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stejné fáze jako u intaktních, ale se specifiky</w:t>
      </w:r>
    </w:p>
    <w:p w:rsidR="00000000" w:rsidRPr="00B52AF9" w:rsidRDefault="00431034" w:rsidP="00B52AF9">
      <w:pPr>
        <w:numPr>
          <w:ilvl w:val="1"/>
          <w:numId w:val="1"/>
        </w:numPr>
      </w:pPr>
      <w:r w:rsidRPr="00B52AF9">
        <w:t>ovlivněn závažností vady, dědičností, prostředím,výchovným stylem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 xml:space="preserve">v raném věku mluvíme o </w:t>
      </w:r>
      <w:r w:rsidRPr="00B52AF9">
        <w:rPr>
          <w:b/>
          <w:bCs/>
        </w:rPr>
        <w:t>psychomotorickém vývoji</w:t>
      </w:r>
    </w:p>
    <w:p w:rsidR="00000000" w:rsidRPr="00B52AF9" w:rsidRDefault="00431034" w:rsidP="00B52AF9">
      <w:pPr>
        <w:numPr>
          <w:ilvl w:val="0"/>
          <w:numId w:val="1"/>
        </w:numPr>
      </w:pPr>
      <w:r w:rsidRPr="00B52AF9">
        <w:t>3 složky</w:t>
      </w:r>
    </w:p>
    <w:p w:rsidR="00B52AF9" w:rsidRPr="00B52AF9" w:rsidRDefault="00B52AF9" w:rsidP="00B52AF9">
      <w:r w:rsidRPr="00B52AF9">
        <w:t xml:space="preserve">                           kognitivní vývoj</w:t>
      </w:r>
    </w:p>
    <w:p w:rsidR="00B52AF9" w:rsidRPr="00B52AF9" w:rsidRDefault="00B52AF9" w:rsidP="00B52AF9">
      <w:r w:rsidRPr="00B52AF9">
        <w:t xml:space="preserve">                            sociální vývoj</w:t>
      </w:r>
    </w:p>
    <w:p w:rsidR="00B52AF9" w:rsidRPr="00B52AF9" w:rsidRDefault="00B52AF9" w:rsidP="00B52AF9">
      <w:r w:rsidRPr="00B52AF9">
        <w:t xml:space="preserve">                           pohybový vývoj 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Kognitivní vývoj, myšlení a řeč I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senzorická deprivace – snížení a</w:t>
      </w:r>
      <w:r w:rsidRPr="00B52AF9">
        <w:t>ktivační úrovně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omezení poznávacích schopností  zrakovou cestou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kompenzace hmatem, sluchem, čichem, atd.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koncentrace pozornosti – snížená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trénink paměti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nedostatek smyslové zkušenosti → narušení diferenciace představ →specifika v myšlení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řeč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kompenz</w:t>
      </w:r>
      <w:r w:rsidRPr="00B52AF9">
        <w:t>ační funkce – verbalismy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kognitivní a komunikační funkce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Pohybový vývoj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lastRenderedPageBreak/>
        <w:t>omezení aktivity a pohybu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opožděný vývoj a přeskočení některých fází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hypotonie, špatné držení těla, rotace chodidel, nakloněná hlava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automatismy – kývání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 xml:space="preserve">rozvoj prostorové orientace a samostatného pohybu (POSP), cílený nácvik 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Sociální vývoj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posilování v různých prostředích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omezení vizuálního kontaktu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nemožnost učení nápodobou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větší závislost na ostatních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posilování sociálních dovedností – zvládání s</w:t>
      </w:r>
      <w:r w:rsidRPr="00B52AF9">
        <w:t>ociálních situací</w:t>
      </w: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431034" w:rsidRDefault="00431034" w:rsidP="00431034">
      <w:pPr>
        <w:ind w:left="360"/>
        <w:rPr>
          <w:b/>
          <w:bCs/>
        </w:rPr>
      </w:pPr>
    </w:p>
    <w:p w:rsidR="00000000" w:rsidRPr="00B52AF9" w:rsidRDefault="00431034" w:rsidP="00431034">
      <w:pPr>
        <w:ind w:left="360"/>
      </w:pPr>
      <w:r w:rsidRPr="00B52AF9">
        <w:rPr>
          <w:b/>
          <w:bCs/>
        </w:rPr>
        <w:lastRenderedPageBreak/>
        <w:t>Raná péče pro rodiny</w:t>
      </w:r>
      <w:r w:rsidRPr="00B52AF9">
        <w:rPr>
          <w:b/>
          <w:bCs/>
        </w:rPr>
        <w:br/>
        <w:t>s dětmi s těžkým zrakovým postižením</w:t>
      </w:r>
    </w:p>
    <w:p w:rsidR="00431034" w:rsidRDefault="00431034" w:rsidP="00431034"/>
    <w:p w:rsidR="00431034" w:rsidRDefault="00431034" w:rsidP="00431034"/>
    <w:p w:rsidR="00000000" w:rsidRPr="00B52AF9" w:rsidRDefault="00431034" w:rsidP="00431034">
      <w:r w:rsidRPr="00B52AF9">
        <w:rPr>
          <w:b/>
          <w:bCs/>
        </w:rPr>
        <w:t xml:space="preserve">Poradenství osobám se zrakovým postižením v ČR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rPr>
          <w:b/>
          <w:bCs/>
        </w:rPr>
        <w:t>Střediska rané péče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od 0 do 4 let u ZP, do 7 let u KP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rPr>
          <w:b/>
          <w:bCs/>
        </w:rPr>
        <w:t xml:space="preserve">Speciálně pedagogická centra pro žáky se </w:t>
      </w:r>
      <w:r w:rsidRPr="00B52AF9">
        <w:rPr>
          <w:b/>
          <w:bCs/>
        </w:rPr>
        <w:t>zrakovým postižením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od 3-4 let do 19-20 let, po ukončení školní docházky)</w:t>
      </w:r>
      <w:r w:rsidRPr="00B52AF9">
        <w:rPr>
          <w:b/>
          <w:bCs/>
        </w:rPr>
        <w:t xml:space="preserve">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rPr>
          <w:b/>
          <w:bCs/>
        </w:rPr>
        <w:t>Tyfloservis</w:t>
      </w:r>
      <w:r w:rsidRPr="00B52AF9">
        <w:t xml:space="preserve"> </w:t>
      </w:r>
      <w:r>
        <w:t xml:space="preserve"> a </w:t>
      </w:r>
      <w:r w:rsidRPr="00B52AF9">
        <w:rPr>
          <w:b/>
          <w:bCs/>
        </w:rPr>
        <w:t xml:space="preserve">krajská TyfloCentra 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od 15 let výše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rPr>
          <w:b/>
          <w:bCs/>
        </w:rPr>
        <w:t>Vysokoškolská střediska pro podporu studia studentů s postižením</w:t>
      </w:r>
      <w:r w:rsidRPr="00B52AF9">
        <w:t xml:space="preserve"> </w:t>
      </w:r>
    </w:p>
    <w:p w:rsidR="00431034" w:rsidRDefault="00431034" w:rsidP="00431034"/>
    <w:p w:rsidR="00431034" w:rsidRDefault="00431034" w:rsidP="00431034"/>
    <w:p w:rsidR="00000000" w:rsidRPr="00B52AF9" w:rsidRDefault="00431034" w:rsidP="00431034">
      <w:r w:rsidRPr="00431034">
        <w:rPr>
          <w:b/>
          <w:bCs/>
        </w:rPr>
        <w:t xml:space="preserve">Raná péče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rPr>
          <w:b/>
          <w:bCs/>
        </w:rPr>
        <w:t xml:space="preserve">Raná péče - </w:t>
      </w:r>
      <w:r w:rsidRPr="00B52AF9">
        <w:t>soustava služeb a programů poskytovaný</w:t>
      </w:r>
      <w:r w:rsidRPr="00B52AF9">
        <w:t>ch ohroženým dětem a dětem se zdravotním postižením a jejich rodinám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rPr>
          <w:b/>
          <w:bCs/>
        </w:rPr>
        <w:t>Cíl</w:t>
      </w:r>
      <w:r w:rsidRPr="00B52AF9">
        <w:t xml:space="preserve"> - předcházet postižení, eliminovat nebo zmírnit jeho důsledky a poskytnout rodině, dítěti i společnosti předpoklady sociální integrace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Raná péče II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preventivní charakter - brání v</w:t>
      </w:r>
      <w:r w:rsidRPr="00B52AF9">
        <w:t>zniku postižení druhotného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posiluje rodinu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ekonomický přínos – rodiče se osamostatňují, ústavní výchova ne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předpoklad úspěšné sociální integrace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terénní práce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nezávislé informace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Střediska rané péče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lastRenderedPageBreak/>
        <w:t>Společnost pro ranou péči se sídlem v Praze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7 středisek – Praha, Brno, Ostrava, Olomouc, České Budějovice, Liberec, Plzeň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 xml:space="preserve">klienti 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rodiny s dětmi se zrakovým postižením (0-4 roky)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 xml:space="preserve">rodiny s dětmi se zrakovým a </w:t>
      </w:r>
      <w:r w:rsidRPr="00B52AF9">
        <w:rPr>
          <w:b/>
          <w:bCs/>
        </w:rPr>
        <w:t>kombinovaným postižením</w:t>
      </w:r>
      <w:r w:rsidRPr="00B52AF9">
        <w:t xml:space="preserve"> (0-7 let), tvoří cca. </w:t>
      </w:r>
      <w:r w:rsidRPr="00B52AF9">
        <w:rPr>
          <w:b/>
          <w:bCs/>
        </w:rPr>
        <w:t>80% klientely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multidisciplinární tým</w:t>
      </w:r>
    </w:p>
    <w:p w:rsidR="00431034" w:rsidRDefault="00431034" w:rsidP="00431034">
      <w:pPr>
        <w:rPr>
          <w:b/>
          <w:bCs/>
        </w:rPr>
      </w:pP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>For</w:t>
      </w:r>
      <w:r w:rsidRPr="00B52AF9">
        <w:rPr>
          <w:b/>
          <w:bCs/>
        </w:rPr>
        <w:t xml:space="preserve">my rané péče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návštěvy v rodinách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ambulantní návštěvy v SRP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týdenní rehabilitační pobyty</w:t>
      </w:r>
    </w:p>
    <w:p w:rsidR="00431034" w:rsidRDefault="00431034" w:rsidP="00431034">
      <w:pPr>
        <w:numPr>
          <w:ilvl w:val="0"/>
          <w:numId w:val="2"/>
        </w:numPr>
      </w:pPr>
      <w:r w:rsidRPr="00B52AF9">
        <w:t xml:space="preserve">setkávání rodičů/odborné semináře </w:t>
      </w:r>
    </w:p>
    <w:p w:rsidR="00431034" w:rsidRDefault="00431034" w:rsidP="00431034"/>
    <w:p w:rsidR="00431034" w:rsidRDefault="00431034" w:rsidP="00431034"/>
    <w:p w:rsidR="00000000" w:rsidRPr="00B52AF9" w:rsidRDefault="00431034" w:rsidP="00431034">
      <w:r w:rsidRPr="00431034">
        <w:rPr>
          <w:b/>
          <w:bCs/>
        </w:rPr>
        <w:t xml:space="preserve">Programy rané péče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osvěta a vzdělávání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 xml:space="preserve">podpora rodiny 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půjčování pomůcek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provázení a doprovázení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IVP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podpora rozvoje dít</w:t>
      </w:r>
      <w:r w:rsidRPr="00B52AF9">
        <w:t>ěte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zraková stimulace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výcvik kompenzačních mechanismů</w:t>
      </w:r>
    </w:p>
    <w:p w:rsidR="00431034" w:rsidRDefault="00431034" w:rsidP="00431034">
      <w:pPr>
        <w:numPr>
          <w:ilvl w:val="1"/>
          <w:numId w:val="2"/>
        </w:numPr>
      </w:pPr>
      <w:r w:rsidRPr="00B52AF9">
        <w:t>podpora ohrožených funkcí</w:t>
      </w:r>
    </w:p>
    <w:p w:rsidR="00431034" w:rsidRDefault="00431034" w:rsidP="00431034">
      <w:pPr>
        <w:numPr>
          <w:ilvl w:val="1"/>
          <w:numId w:val="2"/>
        </w:numPr>
      </w:pPr>
    </w:p>
    <w:p w:rsidR="00431034" w:rsidRDefault="00431034" w:rsidP="00431034"/>
    <w:p w:rsidR="00000000" w:rsidRPr="00B52AF9" w:rsidRDefault="00431034" w:rsidP="00431034">
      <w:r w:rsidRPr="00431034">
        <w:rPr>
          <w:b/>
          <w:bCs/>
        </w:rPr>
        <w:lastRenderedPageBreak/>
        <w:t xml:space="preserve">Zraková stimulace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metodika rozvoje těžce postiženého zraku dítěte v raném věku a využívání zbylého vidění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úprava prostředí a nácvik využívání zraku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Fáze zrakové stimulace - motivační, uvědomovací, lokalizace, fixační, přenášení pozornosti, sledování předmětu v pohybu, skenování, uchopování (koordinace oko-ruka), symbolická, zobecnění</w:t>
      </w:r>
    </w:p>
    <w:p w:rsidR="00000000" w:rsidRPr="00B52AF9" w:rsidRDefault="00431034" w:rsidP="00431034">
      <w:r w:rsidRPr="00B52AF9">
        <w:rPr>
          <w:b/>
          <w:bCs/>
        </w:rPr>
        <w:t xml:space="preserve">Zraková stimulace </w:t>
      </w:r>
    </w:p>
    <w:p w:rsidR="00000000" w:rsidRPr="00B52AF9" w:rsidRDefault="00431034" w:rsidP="00B52AF9">
      <w:pPr>
        <w:numPr>
          <w:ilvl w:val="0"/>
          <w:numId w:val="2"/>
        </w:numPr>
      </w:pPr>
      <w:hyperlink r:id="rId5" w:history="1">
        <w:r w:rsidRPr="00B52AF9">
          <w:rPr>
            <w:rStyle w:val="Hypertextovodkaz"/>
          </w:rPr>
          <w:t>http://www.</w:t>
        </w:r>
      </w:hyperlink>
      <w:hyperlink r:id="rId6" w:history="1">
        <w:r w:rsidRPr="00B52AF9">
          <w:rPr>
            <w:rStyle w:val="Hypertextovodkaz"/>
          </w:rPr>
          <w:t>ranapece.cz</w:t>
        </w:r>
      </w:hyperlink>
      <w:hyperlink r:id="rId7" w:history="1">
        <w:r w:rsidRPr="00B52AF9">
          <w:rPr>
            <w:rStyle w:val="Hypertextovodkaz"/>
          </w:rPr>
          <w:t>/index.</w:t>
        </w:r>
      </w:hyperlink>
      <w:hyperlink r:id="rId8" w:history="1">
        <w:r w:rsidRPr="00B52AF9">
          <w:rPr>
            <w:rStyle w:val="Hypertextovodkaz"/>
          </w:rPr>
          <w:t>php</w:t>
        </w:r>
      </w:hyperlink>
      <w:hyperlink r:id="rId9" w:history="1">
        <w:r w:rsidRPr="00B52AF9">
          <w:rPr>
            <w:rStyle w:val="Hypertextovodkaz"/>
          </w:rPr>
          <w:t>/</w:t>
        </w:r>
      </w:hyperlink>
      <w:hyperlink r:id="rId10" w:history="1">
        <w:r w:rsidRPr="00B52AF9">
          <w:rPr>
            <w:rStyle w:val="Hypertextovodkaz"/>
          </w:rPr>
          <w:t>cs</w:t>
        </w:r>
      </w:hyperlink>
      <w:hyperlink r:id="rId11" w:history="1">
        <w:r w:rsidRPr="00B52AF9">
          <w:rPr>
            <w:rStyle w:val="Hypertextovodkaz"/>
          </w:rPr>
          <w:t>/stimulace-zraku/projekt-posel/video-posel.</w:t>
        </w:r>
      </w:hyperlink>
      <w:hyperlink r:id="rId12" w:history="1">
        <w:r w:rsidRPr="00B52AF9">
          <w:rPr>
            <w:rStyle w:val="Hypertextovodkaz"/>
          </w:rPr>
          <w:t>html</w:t>
        </w:r>
      </w:hyperlink>
      <w:hyperlink r:id="rId13" w:history="1">
        <w:r w:rsidRPr="00B52AF9">
          <w:rPr>
            <w:rStyle w:val="Hypertextovodkaz"/>
          </w:rPr>
          <w:t xml:space="preserve"> </w:t>
        </w:r>
      </w:hyperlink>
    </w:p>
    <w:p w:rsidR="00000000" w:rsidRPr="00B52AF9" w:rsidRDefault="00431034" w:rsidP="00B52AF9">
      <w:pPr>
        <w:numPr>
          <w:ilvl w:val="0"/>
          <w:numId w:val="2"/>
        </w:numPr>
      </w:pPr>
      <w:hyperlink r:id="rId14" w:history="1">
        <w:r w:rsidRPr="00B52AF9">
          <w:rPr>
            <w:rStyle w:val="Hypertextovodkaz"/>
          </w:rPr>
          <w:t>http://www.</w:t>
        </w:r>
      </w:hyperlink>
      <w:hyperlink r:id="rId15" w:history="1">
        <w:r w:rsidRPr="00B52AF9">
          <w:rPr>
            <w:rStyle w:val="Hypertextovodkaz"/>
          </w:rPr>
          <w:t>ranapece.cz</w:t>
        </w:r>
      </w:hyperlink>
      <w:hyperlink r:id="rId16" w:history="1">
        <w:r w:rsidRPr="00B52AF9">
          <w:rPr>
            <w:rStyle w:val="Hypertextovodkaz"/>
          </w:rPr>
          <w:t>/index.</w:t>
        </w:r>
      </w:hyperlink>
      <w:hyperlink r:id="rId17" w:history="1">
        <w:r w:rsidRPr="00B52AF9">
          <w:rPr>
            <w:rStyle w:val="Hypertextovodkaz"/>
          </w:rPr>
          <w:t>php</w:t>
        </w:r>
      </w:hyperlink>
      <w:hyperlink r:id="rId18" w:history="1">
        <w:r w:rsidRPr="00B52AF9">
          <w:rPr>
            <w:rStyle w:val="Hypertextovodkaz"/>
          </w:rPr>
          <w:t>/</w:t>
        </w:r>
      </w:hyperlink>
      <w:hyperlink r:id="rId19" w:history="1">
        <w:r w:rsidRPr="00B52AF9">
          <w:rPr>
            <w:rStyle w:val="Hypertextovodkaz"/>
          </w:rPr>
          <w:t>cs</w:t>
        </w:r>
      </w:hyperlink>
      <w:hyperlink r:id="rId20" w:history="1">
        <w:r w:rsidRPr="00B52AF9">
          <w:rPr>
            <w:rStyle w:val="Hypertextovodkaz"/>
          </w:rPr>
          <w:t>/stimulace-zraku/</w:t>
        </w:r>
      </w:hyperlink>
      <w:hyperlink r:id="rId21" w:history="1">
        <w:r w:rsidRPr="00B52AF9">
          <w:rPr>
            <w:rStyle w:val="Hypertextovodkaz"/>
          </w:rPr>
          <w:t>nahled</w:t>
        </w:r>
      </w:hyperlink>
      <w:hyperlink r:id="rId22" w:history="1">
        <w:r w:rsidRPr="00B52AF9">
          <w:rPr>
            <w:rStyle w:val="Hypertextovodkaz"/>
          </w:rPr>
          <w:t>-stimulace-1.html</w:t>
        </w:r>
      </w:hyperlink>
      <w:hyperlink r:id="rId23" w:history="1">
        <w:r w:rsidRPr="00B52AF9">
          <w:rPr>
            <w:rStyle w:val="Hypertextovodkaz"/>
          </w:rPr>
          <w:t xml:space="preserve"> </w:t>
        </w:r>
      </w:hyperlink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Pomůcky 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pro zrakovou stimulaci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světelný panel, audiovizuální panel, černé světlo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zrakově stimulační desky a hračky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zvýrazněné kontury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pro podporu zbylých funkcí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>hmatové desky, závěsy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 xml:space="preserve"> hmatové knížky</w:t>
      </w:r>
    </w:p>
    <w:p w:rsidR="00000000" w:rsidRPr="00B52AF9" w:rsidRDefault="00431034" w:rsidP="00B52AF9">
      <w:pPr>
        <w:numPr>
          <w:ilvl w:val="0"/>
          <w:numId w:val="2"/>
        </w:numPr>
      </w:pPr>
      <w:r w:rsidRPr="00B52AF9">
        <w:t>Pro podporu kombinovaného postižení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 xml:space="preserve">Little room, další pomůcky Lilli Nielsenové </w:t>
      </w:r>
    </w:p>
    <w:p w:rsidR="00000000" w:rsidRPr="00B52AF9" w:rsidRDefault="00431034" w:rsidP="00B52AF9">
      <w:pPr>
        <w:numPr>
          <w:ilvl w:val="1"/>
          <w:numId w:val="2"/>
        </w:numPr>
      </w:pPr>
      <w:r w:rsidRPr="00B52AF9">
        <w:t xml:space="preserve">soundbox </w:t>
      </w:r>
    </w:p>
    <w:p w:rsidR="00431034" w:rsidRDefault="00431034" w:rsidP="00431034">
      <w:pPr>
        <w:rPr>
          <w:b/>
          <w:bCs/>
        </w:rPr>
      </w:pPr>
    </w:p>
    <w:p w:rsidR="00000000" w:rsidRPr="00B52AF9" w:rsidRDefault="00431034" w:rsidP="00431034">
      <w:r w:rsidRPr="00B52AF9">
        <w:rPr>
          <w:b/>
          <w:bCs/>
        </w:rPr>
        <w:t xml:space="preserve">Dokument ČT o střediscích rané péči </w:t>
      </w:r>
    </w:p>
    <w:p w:rsidR="00000000" w:rsidRPr="00B52AF9" w:rsidRDefault="00431034" w:rsidP="00B52AF9">
      <w:pPr>
        <w:numPr>
          <w:ilvl w:val="0"/>
          <w:numId w:val="2"/>
        </w:numPr>
      </w:pPr>
      <w:hyperlink r:id="rId24" w:history="1">
        <w:r w:rsidRPr="00B52AF9">
          <w:rPr>
            <w:rStyle w:val="Hypertextovodkaz"/>
          </w:rPr>
          <w:t>http://www.</w:t>
        </w:r>
      </w:hyperlink>
      <w:hyperlink r:id="rId25" w:history="1">
        <w:r w:rsidRPr="00B52AF9">
          <w:rPr>
            <w:rStyle w:val="Hypertextovodkaz"/>
          </w:rPr>
          <w:t>ceskatelevize.cz</w:t>
        </w:r>
      </w:hyperlink>
      <w:hyperlink r:id="rId26" w:history="1">
        <w:r w:rsidRPr="00B52AF9">
          <w:rPr>
            <w:rStyle w:val="Hypertextovodkaz"/>
          </w:rPr>
          <w:t>/</w:t>
        </w:r>
      </w:hyperlink>
      <w:hyperlink r:id="rId27" w:history="1">
        <w:r w:rsidRPr="00B52AF9">
          <w:rPr>
            <w:rStyle w:val="Hypertextovodkaz"/>
          </w:rPr>
          <w:t>ivysilani</w:t>
        </w:r>
      </w:hyperlink>
      <w:hyperlink r:id="rId28" w:history="1">
        <w:r w:rsidRPr="00B52AF9">
          <w:rPr>
            <w:rStyle w:val="Hypertextovodkaz"/>
          </w:rPr>
          <w:t>/210562221700006-</w:t>
        </w:r>
      </w:hyperlink>
      <w:hyperlink r:id="rId29" w:history="1">
        <w:r w:rsidRPr="00B52AF9">
          <w:rPr>
            <w:rStyle w:val="Hypertextovodkaz"/>
          </w:rPr>
          <w:t>kl</w:t>
        </w:r>
        <w:r w:rsidRPr="00B52AF9">
          <w:rPr>
            <w:rStyle w:val="Hypertextovodkaz"/>
          </w:rPr>
          <w:t>ic</w:t>
        </w:r>
      </w:hyperlink>
      <w:hyperlink r:id="rId30" w:history="1">
        <w:r w:rsidRPr="00B52AF9">
          <w:rPr>
            <w:rStyle w:val="Hypertextovodkaz"/>
          </w:rPr>
          <w:t>/</w:t>
        </w:r>
      </w:hyperlink>
      <w:r w:rsidRPr="00B52AF9">
        <w:t xml:space="preserve"> </w:t>
      </w:r>
    </w:p>
    <w:p w:rsidR="003023FA" w:rsidRDefault="003023FA"/>
    <w:sectPr w:rsidR="003023FA" w:rsidSect="0030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998"/>
    <w:multiLevelType w:val="hybridMultilevel"/>
    <w:tmpl w:val="BF14F24C"/>
    <w:lvl w:ilvl="0" w:tplc="ECF03A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25EC">
      <w:start w:val="11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8CE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AA6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3C32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F21F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4603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34DE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A6C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17E5D83"/>
    <w:multiLevelType w:val="hybridMultilevel"/>
    <w:tmpl w:val="71CAC51E"/>
    <w:lvl w:ilvl="0" w:tplc="BFEA2A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E2B33C">
      <w:start w:val="11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E25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4E4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3E82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EEC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A67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D4D2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6017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9273DC9"/>
    <w:multiLevelType w:val="hybridMultilevel"/>
    <w:tmpl w:val="241A47DE"/>
    <w:lvl w:ilvl="0" w:tplc="8A6A64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864EC">
      <w:start w:val="115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10BB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8DD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693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0D1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E88A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AC5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CD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2AF9"/>
    <w:rsid w:val="003023FA"/>
    <w:rsid w:val="00431034"/>
    <w:rsid w:val="00AB4169"/>
    <w:rsid w:val="00B5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F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5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8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2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3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9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2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58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27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8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1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99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4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0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4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2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1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5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221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254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5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8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17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65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0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07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6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5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6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9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8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97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81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2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7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2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4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5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89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4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7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8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4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27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7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2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1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5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2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9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7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7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7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1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3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9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5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0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2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5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5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6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6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5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1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8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5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4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6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1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9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4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3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4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2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3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0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0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9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1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9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3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6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5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8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8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0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1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1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8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9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apece.cz/index.php/cs/stimulace-zraku/projekt-posel/video-posel.html" TargetMode="External"/><Relationship Id="rId13" Type="http://schemas.openxmlformats.org/officeDocument/2006/relationships/hyperlink" Target="Z&#225;klady%20oftalmopedie_6.pptx" TargetMode="External"/><Relationship Id="rId18" Type="http://schemas.openxmlformats.org/officeDocument/2006/relationships/hyperlink" Target="http://www.ranapece.cz/index.php/cs/stimulace-zraku/nahled-stimulace-1.html" TargetMode="External"/><Relationship Id="rId26" Type="http://schemas.openxmlformats.org/officeDocument/2006/relationships/hyperlink" Target="http://www.ceskatelevize.cz/ivysilani/210562221700006-kl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napece.cz/index.php/cs/stimulace-zraku/nahled-stimulace-1.html" TargetMode="External"/><Relationship Id="rId7" Type="http://schemas.openxmlformats.org/officeDocument/2006/relationships/hyperlink" Target="http://www.ranapece.cz/index.php/cs/stimulace-zraku/projekt-posel/video-posel.html" TargetMode="External"/><Relationship Id="rId12" Type="http://schemas.openxmlformats.org/officeDocument/2006/relationships/hyperlink" Target="http://www.ranapece.cz/index.php/cs/stimulace-zraku/projekt-posel/video-posel.html" TargetMode="External"/><Relationship Id="rId17" Type="http://schemas.openxmlformats.org/officeDocument/2006/relationships/hyperlink" Target="http://www.ranapece.cz/index.php/cs/stimulace-zraku/nahled-stimulace-1.html" TargetMode="External"/><Relationship Id="rId25" Type="http://schemas.openxmlformats.org/officeDocument/2006/relationships/hyperlink" Target="http://www.ceskatelevize.cz/ivysilani/210562221700006-kli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napece.cz/index.php/cs/stimulace-zraku/nahled-stimulace-1.html" TargetMode="External"/><Relationship Id="rId20" Type="http://schemas.openxmlformats.org/officeDocument/2006/relationships/hyperlink" Target="http://www.ranapece.cz/index.php/cs/stimulace-zraku/nahled-stimulace-1.html" TargetMode="External"/><Relationship Id="rId29" Type="http://schemas.openxmlformats.org/officeDocument/2006/relationships/hyperlink" Target="http://www.ceskatelevize.cz/ivysilani/210562221700006-kl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napece.cz/index.php/cs/stimulace-zraku/projekt-posel/video-posel.html" TargetMode="External"/><Relationship Id="rId11" Type="http://schemas.openxmlformats.org/officeDocument/2006/relationships/hyperlink" Target="http://www.ranapece.cz/index.php/cs/stimulace-zraku/projekt-posel/video-posel.html" TargetMode="External"/><Relationship Id="rId24" Type="http://schemas.openxmlformats.org/officeDocument/2006/relationships/hyperlink" Target="http://www.ceskatelevize.cz/ivysilani/210562221700006-klic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ranapece.cz/index.php/cs/stimulace-zraku/projekt-posel/video-posel.html" TargetMode="External"/><Relationship Id="rId15" Type="http://schemas.openxmlformats.org/officeDocument/2006/relationships/hyperlink" Target="http://www.ranapece.cz/index.php/cs/stimulace-zraku/nahled-stimulace-1.html" TargetMode="External"/><Relationship Id="rId23" Type="http://schemas.openxmlformats.org/officeDocument/2006/relationships/hyperlink" Target="Z&#225;klady%20oftalmopedie_6.pptx" TargetMode="External"/><Relationship Id="rId28" Type="http://schemas.openxmlformats.org/officeDocument/2006/relationships/hyperlink" Target="http://www.ceskatelevize.cz/ivysilani/210562221700006-klic/" TargetMode="External"/><Relationship Id="rId10" Type="http://schemas.openxmlformats.org/officeDocument/2006/relationships/hyperlink" Target="http://www.ranapece.cz/index.php/cs/stimulace-zraku/projekt-posel/video-posel.html" TargetMode="External"/><Relationship Id="rId19" Type="http://schemas.openxmlformats.org/officeDocument/2006/relationships/hyperlink" Target="http://www.ranapece.cz/index.php/cs/stimulace-zraku/nahled-stimulace-1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napece.cz/index.php/cs/stimulace-zraku/projekt-posel/video-posel.html" TargetMode="External"/><Relationship Id="rId14" Type="http://schemas.openxmlformats.org/officeDocument/2006/relationships/hyperlink" Target="http://www.ranapece.cz/index.php/cs/stimulace-zraku/nahled-stimulace-1.html" TargetMode="External"/><Relationship Id="rId22" Type="http://schemas.openxmlformats.org/officeDocument/2006/relationships/hyperlink" Target="http://www.ranapece.cz/index.php/cs/stimulace-zraku/nahled-stimulace-1.html" TargetMode="External"/><Relationship Id="rId27" Type="http://schemas.openxmlformats.org/officeDocument/2006/relationships/hyperlink" Target="http://www.ceskatelevize.cz/ivysilani/210562221700006-klic/" TargetMode="External"/><Relationship Id="rId30" Type="http://schemas.openxmlformats.org/officeDocument/2006/relationships/hyperlink" Target="http://www.ceskatelevize.cz/ivysilani/210562221700006-klic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1098</Words>
  <Characters>6481</Characters>
  <Application>Microsoft Office Word</Application>
  <DocSecurity>0</DocSecurity>
  <Lines>54</Lines>
  <Paragraphs>15</Paragraphs>
  <ScaleCrop>false</ScaleCrop>
  <Company>ANECT a.s.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4</cp:revision>
  <dcterms:created xsi:type="dcterms:W3CDTF">2011-04-05T23:00:00Z</dcterms:created>
  <dcterms:modified xsi:type="dcterms:W3CDTF">2011-04-05T23:04:00Z</dcterms:modified>
</cp:coreProperties>
</file>