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10" w:rsidRPr="00346F30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b/>
          <w:sz w:val="28"/>
          <w:szCs w:val="28"/>
          <w:lang w:val="de-DE"/>
        </w:rPr>
        <w:t>Stationenlernen</w:t>
      </w:r>
    </w:p>
    <w:p w:rsidR="00675410" w:rsidRPr="008473CD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b/>
          <w:sz w:val="28"/>
          <w:szCs w:val="28"/>
          <w:lang w:val="de-DE"/>
        </w:rPr>
        <w:t>S</w:t>
      </w:r>
      <w:r w:rsidRPr="00346F30">
        <w:rPr>
          <w:rFonts w:ascii="Times New Roman" w:hAnsi="Times New Roman"/>
          <w:sz w:val="28"/>
          <w:szCs w:val="28"/>
          <w:lang w:val="de-DE"/>
        </w:rPr>
        <w:t>pa</w:t>
      </w:r>
      <w:r w:rsidRPr="008473CD">
        <w:rPr>
          <w:rFonts w:ascii="Times New Roman" w:hAnsi="Times New Roman"/>
          <w:sz w:val="28"/>
          <w:szCs w:val="28"/>
          <w:lang w:val="de-DE"/>
        </w:rPr>
        <w:t>ß</w:t>
      </w:r>
    </w:p>
    <w:p w:rsidR="00675410" w:rsidRPr="00346F30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Mo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T</w:t>
      </w:r>
      <w:r w:rsidRPr="00346F30">
        <w:rPr>
          <w:rFonts w:ascii="Times New Roman" w:hAnsi="Times New Roman"/>
          <w:sz w:val="28"/>
          <w:szCs w:val="28"/>
          <w:lang w:val="de-DE"/>
        </w:rPr>
        <w:t>ivation</w:t>
      </w:r>
      <w:proofErr w:type="spellEnd"/>
    </w:p>
    <w:p w:rsidR="00675410" w:rsidRPr="00346F30" w:rsidRDefault="00675410" w:rsidP="00675410">
      <w:pPr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b/>
          <w:sz w:val="28"/>
          <w:szCs w:val="28"/>
          <w:lang w:val="de-DE"/>
        </w:rPr>
        <w:t xml:space="preserve">                                                       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Kre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A</w:t>
      </w:r>
      <w:r w:rsidRPr="00346F30">
        <w:rPr>
          <w:rFonts w:ascii="Times New Roman" w:hAnsi="Times New Roman"/>
          <w:sz w:val="28"/>
          <w:szCs w:val="28"/>
          <w:lang w:val="de-DE"/>
        </w:rPr>
        <w:t>tivität</w:t>
      </w:r>
      <w:proofErr w:type="spellEnd"/>
    </w:p>
    <w:p w:rsidR="00675410" w:rsidRPr="00346F30" w:rsidRDefault="00675410" w:rsidP="00675410">
      <w:pPr>
        <w:rPr>
          <w:rFonts w:ascii="Times New Roman" w:hAnsi="Times New Roman"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       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Konzen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T</w:t>
      </w:r>
      <w:r w:rsidRPr="00346F30">
        <w:rPr>
          <w:rFonts w:ascii="Times New Roman" w:hAnsi="Times New Roman"/>
          <w:sz w:val="28"/>
          <w:szCs w:val="28"/>
          <w:lang w:val="de-DE"/>
        </w:rPr>
        <w:t>ration</w:t>
      </w:r>
      <w:proofErr w:type="spellEnd"/>
    </w:p>
    <w:p w:rsidR="00675410" w:rsidRPr="00346F30" w:rsidRDefault="00675410" w:rsidP="00675410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346F30">
        <w:rPr>
          <w:rFonts w:ascii="Times New Roman" w:hAnsi="Times New Roman"/>
          <w:b/>
          <w:sz w:val="28"/>
          <w:szCs w:val="28"/>
          <w:lang w:val="de-DE"/>
        </w:rPr>
        <w:t xml:space="preserve">            I</w:t>
      </w:r>
      <w:r w:rsidRPr="00346F30">
        <w:rPr>
          <w:rFonts w:ascii="Times New Roman" w:hAnsi="Times New Roman"/>
          <w:sz w:val="28"/>
          <w:szCs w:val="28"/>
          <w:lang w:val="de-DE"/>
        </w:rPr>
        <w:t>deenbörse</w:t>
      </w:r>
    </w:p>
    <w:p w:rsidR="00675410" w:rsidRPr="00346F30" w:rsidRDefault="00675410" w:rsidP="00675410">
      <w:pPr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               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Erf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O</w:t>
      </w:r>
      <w:r w:rsidRPr="00346F30">
        <w:rPr>
          <w:rFonts w:ascii="Times New Roman" w:hAnsi="Times New Roman"/>
          <w:sz w:val="28"/>
          <w:szCs w:val="28"/>
          <w:lang w:val="de-DE"/>
        </w:rPr>
        <w:t>lg</w:t>
      </w:r>
      <w:proofErr w:type="spellEnd"/>
    </w:p>
    <w:p w:rsidR="00675410" w:rsidRPr="00346F30" w:rsidRDefault="00675410" w:rsidP="00675410">
      <w:pPr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              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Lau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N</w:t>
      </w:r>
      <w:r w:rsidRPr="00346F30">
        <w:rPr>
          <w:rFonts w:ascii="Times New Roman" w:hAnsi="Times New Roman"/>
          <w:sz w:val="28"/>
          <w:szCs w:val="28"/>
          <w:lang w:val="de-DE"/>
        </w:rPr>
        <w:t>e</w:t>
      </w:r>
      <w:proofErr w:type="spellEnd"/>
    </w:p>
    <w:p w:rsidR="00675410" w:rsidRPr="00346F30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R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E</w:t>
      </w:r>
      <w:r w:rsidRPr="00346F30">
        <w:rPr>
          <w:rFonts w:ascii="Times New Roman" w:hAnsi="Times New Roman"/>
          <w:sz w:val="28"/>
          <w:szCs w:val="28"/>
          <w:lang w:val="de-DE"/>
        </w:rPr>
        <w:t>geln</w:t>
      </w:r>
      <w:proofErr w:type="spellEnd"/>
    </w:p>
    <w:p w:rsidR="00675410" w:rsidRPr="00346F30" w:rsidRDefault="00675410" w:rsidP="00675410">
      <w:pPr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       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Erfahru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N</w:t>
      </w:r>
      <w:r w:rsidRPr="00346F30">
        <w:rPr>
          <w:rFonts w:ascii="Times New Roman" w:hAnsi="Times New Roman"/>
          <w:sz w:val="28"/>
          <w:szCs w:val="28"/>
          <w:lang w:val="de-DE"/>
        </w:rPr>
        <w:t>gen</w:t>
      </w:r>
      <w:proofErr w:type="spellEnd"/>
    </w:p>
    <w:p w:rsidR="00675410" w:rsidRPr="00346F30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b/>
          <w:sz w:val="28"/>
          <w:szCs w:val="28"/>
          <w:lang w:val="de-DE"/>
        </w:rPr>
        <w:t xml:space="preserve">    L</w:t>
      </w:r>
      <w:r w:rsidRPr="00346F30">
        <w:rPr>
          <w:rFonts w:ascii="Times New Roman" w:hAnsi="Times New Roman"/>
          <w:sz w:val="28"/>
          <w:szCs w:val="28"/>
          <w:lang w:val="de-DE"/>
        </w:rPr>
        <w:t>ust</w:t>
      </w:r>
    </w:p>
    <w:p w:rsidR="00675410" w:rsidRPr="00346F30" w:rsidRDefault="00675410" w:rsidP="00675410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346F30">
        <w:rPr>
          <w:rFonts w:ascii="Times New Roman" w:hAnsi="Times New Roman"/>
          <w:b/>
          <w:sz w:val="28"/>
          <w:szCs w:val="28"/>
          <w:lang w:val="de-DE"/>
        </w:rPr>
        <w:t xml:space="preserve">               E</w:t>
      </w:r>
      <w:r w:rsidRPr="00346F30">
        <w:rPr>
          <w:rFonts w:ascii="Times New Roman" w:hAnsi="Times New Roman"/>
          <w:sz w:val="28"/>
          <w:szCs w:val="28"/>
          <w:lang w:val="de-DE"/>
        </w:rPr>
        <w:t>xperiment</w:t>
      </w:r>
    </w:p>
    <w:p w:rsidR="00675410" w:rsidRPr="00346F30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b/>
          <w:sz w:val="28"/>
          <w:szCs w:val="28"/>
          <w:lang w:val="de-DE"/>
        </w:rPr>
        <w:t xml:space="preserve">            R</w:t>
      </w:r>
      <w:r w:rsidRPr="00346F30">
        <w:rPr>
          <w:rFonts w:ascii="Times New Roman" w:hAnsi="Times New Roman"/>
          <w:sz w:val="28"/>
          <w:szCs w:val="28"/>
          <w:lang w:val="de-DE"/>
        </w:rPr>
        <w:t>eflexion</w:t>
      </w:r>
    </w:p>
    <w:p w:rsidR="00675410" w:rsidRPr="00346F30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Si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N</w:t>
      </w:r>
      <w:r w:rsidRPr="00346F30">
        <w:rPr>
          <w:rFonts w:ascii="Times New Roman" w:hAnsi="Times New Roman"/>
          <w:sz w:val="28"/>
          <w:szCs w:val="28"/>
          <w:lang w:val="de-DE"/>
        </w:rPr>
        <w:t>nen</w:t>
      </w:r>
      <w:proofErr w:type="spellEnd"/>
    </w:p>
    <w:p w:rsidR="00675410" w:rsidRPr="00346F30" w:rsidRDefault="00675410" w:rsidP="00675410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      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Diff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E</w:t>
      </w:r>
      <w:r w:rsidRPr="00346F30">
        <w:rPr>
          <w:rFonts w:ascii="Times New Roman" w:hAnsi="Times New Roman"/>
          <w:sz w:val="28"/>
          <w:szCs w:val="28"/>
          <w:lang w:val="de-DE"/>
        </w:rPr>
        <w:t>renzierung</w:t>
      </w:r>
      <w:proofErr w:type="spellEnd"/>
    </w:p>
    <w:p w:rsidR="00675410" w:rsidRPr="00346F30" w:rsidRDefault="00675410" w:rsidP="00675410">
      <w:pPr>
        <w:rPr>
          <w:rFonts w:ascii="Times New Roman" w:hAnsi="Times New Roman"/>
          <w:b/>
          <w:sz w:val="28"/>
          <w:szCs w:val="28"/>
          <w:lang w:val="de-DE"/>
        </w:rPr>
      </w:pPr>
      <w:r w:rsidRPr="00346F30">
        <w:rPr>
          <w:rFonts w:ascii="Times New Roman" w:hAnsi="Times New Roman"/>
          <w:sz w:val="28"/>
          <w:szCs w:val="28"/>
          <w:lang w:val="de-DE"/>
        </w:rPr>
        <w:t xml:space="preserve">                                          </w:t>
      </w:r>
      <w:proofErr w:type="spellStart"/>
      <w:r w:rsidRPr="00346F30">
        <w:rPr>
          <w:rFonts w:ascii="Times New Roman" w:hAnsi="Times New Roman"/>
          <w:sz w:val="28"/>
          <w:szCs w:val="28"/>
          <w:lang w:val="de-DE"/>
        </w:rPr>
        <w:t>Dokumentatio</w:t>
      </w:r>
      <w:r w:rsidRPr="00346F30">
        <w:rPr>
          <w:rFonts w:ascii="Times New Roman" w:hAnsi="Times New Roman"/>
          <w:b/>
          <w:sz w:val="28"/>
          <w:szCs w:val="28"/>
          <w:lang w:val="de-DE"/>
        </w:rPr>
        <w:t>N</w:t>
      </w:r>
      <w:proofErr w:type="spellEnd"/>
    </w:p>
    <w:p w:rsidR="00675410" w:rsidRPr="00346F30" w:rsidRDefault="00675410" w:rsidP="006754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>Das Lernen an Stationen weist vier typische Unterrichtsphasen auf: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7654"/>
      </w:tblGrid>
      <w:tr w:rsidR="00675410" w:rsidRPr="00346F30" w:rsidTr="00E73434">
        <w:trPr>
          <w:tblCellSpacing w:w="15" w:type="dxa"/>
        </w:trPr>
        <w:tc>
          <w:tcPr>
            <w:tcW w:w="0" w:type="auto"/>
            <w:hideMark/>
          </w:tcPr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1.Motivation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80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9"/>
            </w:tblGrid>
            <w:tr w:rsidR="00675410" w:rsidRPr="00346F30" w:rsidTr="00E73434">
              <w:trPr>
                <w:tblCellSpacing w:w="15" w:type="dxa"/>
              </w:trPr>
              <w:tc>
                <w:tcPr>
                  <w:tcW w:w="0" w:type="auto"/>
                  <w:shd w:val="clear" w:color="auto" w:fill="80FFFF"/>
                  <w:vAlign w:val="center"/>
                  <w:hideMark/>
                </w:tcPr>
                <w:p w:rsidR="00675410" w:rsidRPr="00346F30" w:rsidRDefault="00675410" w:rsidP="00E734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</w:pPr>
                  <w:r w:rsidRPr="00346F30"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  <w:t>Die Heranführung an die Thematik leistet ein Anfangsgespräch, eine Motivationsfigur, eine Stille-Übung oder die Erinnerung an bereits Gelerntes.</w:t>
                  </w:r>
                </w:p>
              </w:tc>
            </w:tr>
          </w:tbl>
          <w:p w:rsidR="00675410" w:rsidRPr="00346F30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</w:tr>
      <w:tr w:rsidR="00675410" w:rsidRPr="0074680A" w:rsidTr="00E73434">
        <w:trPr>
          <w:tblCellSpacing w:w="15" w:type="dxa"/>
        </w:trPr>
        <w:tc>
          <w:tcPr>
            <w:tcW w:w="0" w:type="auto"/>
            <w:hideMark/>
          </w:tcPr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2.Rundgang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80FF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9"/>
            </w:tblGrid>
            <w:tr w:rsidR="00675410" w:rsidRPr="0074680A" w:rsidTr="00E73434">
              <w:trPr>
                <w:tblCellSpacing w:w="15" w:type="dxa"/>
              </w:trPr>
              <w:tc>
                <w:tcPr>
                  <w:tcW w:w="0" w:type="auto"/>
                  <w:shd w:val="clear" w:color="auto" w:fill="80FF80"/>
                  <w:vAlign w:val="center"/>
                  <w:hideMark/>
                </w:tcPr>
                <w:p w:rsidR="00675410" w:rsidRPr="0074680A" w:rsidRDefault="00675410" w:rsidP="00E734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</w:pPr>
                  <w:r w:rsidRPr="00346F30"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  <w:t xml:space="preserve">Ein Rundgang entlang der Stationen bietet Gelegenheit zu kurzen Erläuterungen. </w:t>
                  </w:r>
                  <w:r w:rsidRPr="00675410"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  <w:t>Mit dem Stationenlernen nicht vertraute Schüler werden eingewiesen</w:t>
                  </w:r>
                  <w:r w:rsidRPr="0074680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5410" w:rsidRPr="0074680A" w:rsidTr="00E734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3.Arbeit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9"/>
            </w:tblGrid>
            <w:tr w:rsidR="00675410" w:rsidRPr="0074680A" w:rsidTr="00E73434">
              <w:trPr>
                <w:tblCellSpacing w:w="15" w:type="dxa"/>
              </w:trPr>
              <w:tc>
                <w:tcPr>
                  <w:tcW w:w="0" w:type="auto"/>
                  <w:shd w:val="clear" w:color="auto" w:fill="FFFF80"/>
                  <w:vAlign w:val="center"/>
                  <w:hideMark/>
                </w:tcPr>
                <w:p w:rsidR="00675410" w:rsidRPr="0074680A" w:rsidRDefault="00675410" w:rsidP="00E734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SELBSTÄNDIGE </w:t>
                  </w:r>
                  <w:bookmarkStart w:id="0" w:name="_GoBack"/>
                  <w:bookmarkEnd w:id="0"/>
                  <w:proofErr w:type="spellStart"/>
                  <w:r w:rsidRPr="0074680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Arbeit</w:t>
                  </w:r>
                  <w:proofErr w:type="spellEnd"/>
                  <w:r w:rsidRPr="0074680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680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an</w:t>
                  </w:r>
                  <w:proofErr w:type="spellEnd"/>
                  <w:r w:rsidRPr="0074680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den </w:t>
                  </w:r>
                  <w:proofErr w:type="spellStart"/>
                  <w:r w:rsidRPr="0074680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Stationen</w:t>
                  </w:r>
                  <w:proofErr w:type="spellEnd"/>
                </w:p>
              </w:tc>
            </w:tr>
          </w:tbl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5410" w:rsidRPr="00346F30" w:rsidTr="00E73434">
        <w:trPr>
          <w:tblCellSpacing w:w="15" w:type="dxa"/>
        </w:trPr>
        <w:tc>
          <w:tcPr>
            <w:tcW w:w="0" w:type="auto"/>
            <w:hideMark/>
          </w:tcPr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4.Schlussgespräch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CC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9"/>
            </w:tblGrid>
            <w:tr w:rsidR="00675410" w:rsidRPr="00346F30" w:rsidTr="00E73434">
              <w:trPr>
                <w:tblCellSpacing w:w="15" w:type="dxa"/>
              </w:trPr>
              <w:tc>
                <w:tcPr>
                  <w:tcW w:w="0" w:type="auto"/>
                  <w:shd w:val="clear" w:color="auto" w:fill="FFCC99"/>
                  <w:vAlign w:val="center"/>
                  <w:hideMark/>
                </w:tcPr>
                <w:p w:rsidR="00675410" w:rsidRPr="00346F30" w:rsidRDefault="00675410" w:rsidP="00E734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</w:pPr>
                  <w:r w:rsidRPr="00346F30"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  <w:t xml:space="preserve">Im Schlussgespräch berichten die Schüler über ihre Arbeit, Lernergebnisse, einzelne thematische Aspekte kommen zur Sprache, es wird vorgelesen, Produkte, wie Zeichnungen, Modelle, Gestaltungsergebnisse und ähnliches </w:t>
                  </w:r>
                  <w:r w:rsidRPr="00346F30">
                    <w:rPr>
                      <w:rFonts w:ascii="Times New Roman" w:eastAsia="Times New Roman" w:hAnsi="Times New Roman"/>
                      <w:sz w:val="24"/>
                      <w:szCs w:val="24"/>
                      <w:lang w:val="de-DE"/>
                    </w:rPr>
                    <w:lastRenderedPageBreak/>
                    <w:t>werden vorgelegt.</w:t>
                  </w:r>
                </w:p>
              </w:tc>
            </w:tr>
          </w:tbl>
          <w:p w:rsidR="00675410" w:rsidRPr="00346F30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675410" w:rsidRPr="00346F30" w:rsidRDefault="00675410" w:rsidP="006754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lastRenderedPageBreak/>
        <w:t>Die Themen sollten zwei Bedingungen erfüllen:</w:t>
      </w:r>
    </w:p>
    <w:tbl>
      <w:tblPr>
        <w:tblW w:w="0" w:type="auto"/>
        <w:tblCellSpacing w:w="15" w:type="dxa"/>
        <w:shd w:val="clear" w:color="auto" w:fill="FF9D9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741"/>
      </w:tblGrid>
      <w:tr w:rsidR="00675410" w:rsidRPr="00346F30" w:rsidTr="00E73434">
        <w:trPr>
          <w:tblCellSpacing w:w="15" w:type="dxa"/>
        </w:trPr>
        <w:tc>
          <w:tcPr>
            <w:tcW w:w="0" w:type="auto"/>
            <w:shd w:val="clear" w:color="auto" w:fill="FF9D9D"/>
            <w:hideMark/>
          </w:tcPr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Selbständigkeit</w:t>
            </w:r>
            <w:proofErr w:type="spellEnd"/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9D9D"/>
            <w:vAlign w:val="center"/>
            <w:hideMark/>
          </w:tcPr>
          <w:p w:rsidR="00675410" w:rsidRPr="00346F30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346F30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Sachliche und didaktische Intention dürfen nicht die gleichzeitige Aufmerksamkeit aller erfordern und nicht vornehmlich die Verständigung in einem gemeinsamen Gespräch verlangen.</w:t>
            </w:r>
          </w:p>
        </w:tc>
      </w:tr>
      <w:tr w:rsidR="00675410" w:rsidRPr="00346F30" w:rsidTr="00E73434">
        <w:trPr>
          <w:tblCellSpacing w:w="15" w:type="dxa"/>
        </w:trPr>
        <w:tc>
          <w:tcPr>
            <w:tcW w:w="0" w:type="auto"/>
            <w:shd w:val="clear" w:color="auto" w:fill="FF9D9D"/>
            <w:hideMark/>
          </w:tcPr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Eigenständigkeit</w:t>
            </w:r>
            <w:proofErr w:type="spellEnd"/>
            <w:r w:rsidRPr="0074680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9D9D"/>
            <w:vAlign w:val="center"/>
            <w:hideMark/>
          </w:tcPr>
          <w:p w:rsidR="00675410" w:rsidRPr="0074680A" w:rsidRDefault="00675410" w:rsidP="00E7343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de-DE"/>
              </w:rPr>
            </w:pPr>
            <w:r w:rsidRPr="00346F30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Das didaktische Arrangement muss mehrere oder eine Vielzahl von Wegen durch das Gesamtthema ermöglichen.</w:t>
            </w:r>
          </w:p>
        </w:tc>
      </w:tr>
    </w:tbl>
    <w:p w:rsidR="00675410" w:rsidRPr="00346F30" w:rsidRDefault="00675410" w:rsidP="006754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>Andernfalls ist das Stationenlernen unterrichtsorganisatorisch unangebracht. Es gibt einige Verfahrensweisen, die sich für eine erfolgreiche Durchführung als notwendig erwiesen haben:</w:t>
      </w:r>
    </w:p>
    <w:p w:rsidR="00675410" w:rsidRPr="00346F30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Die Stationen sind </w:t>
      </w:r>
      <w:proofErr w:type="spellStart"/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numeriert</w:t>
      </w:r>
      <w:proofErr w:type="spellEnd"/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oder durch Symbole gekennzeichnet, um eine Übersicht und Orientierungsmöglichkeit zu gewährleisten. </w:t>
      </w:r>
    </w:p>
    <w:p w:rsidR="00675410" w:rsidRPr="0074680A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Jede Station sollte so aufgebaut sein, dass </w:t>
      </w:r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ohne Lehrerunterstützung</w:t>
      </w: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gearbeitet werden kann.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Dazu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680A">
        <w:rPr>
          <w:rFonts w:ascii="Times New Roman" w:eastAsia="Times New Roman" w:hAnsi="Times New Roman"/>
          <w:sz w:val="24"/>
          <w:szCs w:val="24"/>
        </w:rPr>
        <w:t>ist</w:t>
      </w:r>
      <w:proofErr w:type="spellEnd"/>
      <w:proofErr w:type="gram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unter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Umständen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eine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klare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kurze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Arbeitsanweisung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erforderlich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75410" w:rsidRPr="00346F30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Die Aufgaben müssen vom Arbeitsaufwand her </w:t>
      </w:r>
      <w:proofErr w:type="spellStart"/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leistbar</w:t>
      </w:r>
      <w:proofErr w:type="spellEnd"/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sein. Die einzelnen Stationen müssen geordnet und vom Arbeitsablauf her klar geregelt sein. </w:t>
      </w:r>
    </w:p>
    <w:p w:rsidR="00675410" w:rsidRPr="00346F30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Die Aufgaben sollen die Möglichkeit der </w:t>
      </w:r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Selbstkontrolle</w:t>
      </w: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bieten. </w:t>
      </w:r>
    </w:p>
    <w:p w:rsidR="00675410" w:rsidRPr="00346F30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Die Aufgaben sollen </w:t>
      </w:r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differenziertes Arbeiten</w:t>
      </w: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ermöglichen (Fächer, qualitatives/quantitatives Niveau, Sozialformen, kognitive/kreative/soziale Schwerpunkte) </w:t>
      </w:r>
    </w:p>
    <w:p w:rsidR="00675410" w:rsidRPr="00346F30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Es genügt, wenn die meisten </w:t>
      </w:r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Aufgaben nur einmal da</w:t>
      </w: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sind. Dadurch werden sie attraktiver und fordern Abwechslung und Verständigung. </w:t>
      </w:r>
    </w:p>
    <w:p w:rsidR="00675410" w:rsidRPr="00346F30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Die einzelnen Stationen sollten soweit möglich </w:t>
      </w:r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viele Sinne</w:t>
      </w: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berücksichtigen. </w:t>
      </w:r>
    </w:p>
    <w:p w:rsidR="00675410" w:rsidRPr="0074680A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Es wird bei umfangreichen Lernzirkeln von den Kindern nicht erwartet, dass sie an allen Stationen arbeiten. Es wird allerdings vereinbart, dass eine einmal angefangene Arbeit zu Ende geführt werden muss. </w:t>
      </w:r>
      <w:r w:rsidRPr="0074680A">
        <w:rPr>
          <w:rFonts w:ascii="Times New Roman" w:eastAsia="Times New Roman" w:hAnsi="Times New Roman"/>
          <w:sz w:val="24"/>
          <w:szCs w:val="24"/>
        </w:rPr>
        <w:t xml:space="preserve">Die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Auswahl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der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Reihenfolge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680A">
        <w:rPr>
          <w:rFonts w:ascii="Times New Roman" w:eastAsia="Times New Roman" w:hAnsi="Times New Roman"/>
          <w:sz w:val="24"/>
          <w:szCs w:val="24"/>
        </w:rPr>
        <w:t>ist</w:t>
      </w:r>
      <w:proofErr w:type="spellEnd"/>
      <w:proofErr w:type="gram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meist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80A">
        <w:rPr>
          <w:rFonts w:ascii="Times New Roman" w:eastAsia="Times New Roman" w:hAnsi="Times New Roman"/>
          <w:sz w:val="24"/>
          <w:szCs w:val="24"/>
        </w:rPr>
        <w:t>frei</w:t>
      </w:r>
      <w:proofErr w:type="spellEnd"/>
      <w:r w:rsidRPr="0074680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75410" w:rsidRPr="00346F30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Sein </w:t>
      </w:r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Arbeitstempo bestimmt jeder Schüler selbst</w:t>
      </w: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. </w:t>
      </w:r>
    </w:p>
    <w:p w:rsidR="00675410" w:rsidRPr="0074680A" w:rsidRDefault="00675410" w:rsidP="00675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>Die S</w:t>
      </w:r>
      <w:r w:rsidRPr="00346F30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chüler helfen sich gegenseitig</w:t>
      </w: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 und vergleichen und korrigieren ihre Ergebnisse. </w:t>
      </w:r>
      <w:hyperlink r:id="rId6" w:history="1">
        <w:r w:rsidRPr="0074680A">
          <w:rPr>
            <w:rStyle w:val="Hypertextovodkaz"/>
            <w:rFonts w:ascii="Times New Roman" w:eastAsia="Times New Roman" w:hAnsi="Times New Roman"/>
            <w:sz w:val="24"/>
            <w:szCs w:val="24"/>
          </w:rPr>
          <w:t>http://www.welleg.de/unterricht/stationen/</w:t>
        </w:r>
      </w:hyperlink>
    </w:p>
    <w:p w:rsidR="00675410" w:rsidRPr="0074680A" w:rsidRDefault="00675410" w:rsidP="006754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sz w:val="24"/>
          <w:szCs w:val="24"/>
          <w:lang w:val="de-DE"/>
        </w:rPr>
        <w:t xml:space="preserve">Methodisch – didaktische </w:t>
      </w:r>
      <w:r w:rsidRPr="0074680A">
        <w:rPr>
          <w:rFonts w:ascii="Times New Roman" w:eastAsia="Times New Roman" w:hAnsi="Times New Roman"/>
          <w:sz w:val="24"/>
          <w:szCs w:val="24"/>
          <w:lang w:val="de-DE"/>
        </w:rPr>
        <w:t xml:space="preserve"> Überlegungen über Stationenlernen: </w:t>
      </w:r>
    </w:p>
    <w:p w:rsidR="00675410" w:rsidRDefault="00675410" w:rsidP="006754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  <w:hyperlink r:id="rId7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http://drh-moskau.ru/upload/LHB_neu/C%20-%20Methodisch-didaktische%20Hinweise/9%20-%20Stationen%20-%20Einfuehrung,%20Checkliste.pdf</w:t>
        </w:r>
      </w:hyperlink>
    </w:p>
    <w:p w:rsidR="00675410" w:rsidRPr="00346F30" w:rsidRDefault="00675410" w:rsidP="00675410">
      <w:pPr>
        <w:shd w:val="clear" w:color="auto" w:fill="FFFFFF"/>
        <w:spacing w:after="72" w:line="36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  <w:t xml:space="preserve">Vorteile </w:t>
      </w:r>
    </w:p>
    <w:p w:rsidR="00675410" w:rsidRPr="00346F3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Das Stationenlernen ermöglicht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verschiedenen Lerntypen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ein leichteres Lernen als lehrerzentrierter Unterricht. Die Kinder können somit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individuell gefördert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werden. Auch der Einsatz vieler unterschiedlicher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Medien und Materialien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wird durch das Stationenlernen ermöglicht. Die Kinder erwerben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Sozialkompetenz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und lernen selbständiges Arbeiten. Alle Kinder bearbeiten einen Grundstock an Aufgaben und schaffen dadurch ein gemeinsames 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lastRenderedPageBreak/>
        <w:t xml:space="preserve">Fundament. Auch die Möglichkeit zur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Differenzierung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bleibt bestehen. Der Lehrer steht als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 xml:space="preserve">Berater 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und Moderator zur Seite.</w:t>
      </w:r>
    </w:p>
    <w:p w:rsidR="00675410" w:rsidRPr="00346F30" w:rsidRDefault="00675410" w:rsidP="00675410">
      <w:pPr>
        <w:shd w:val="clear" w:color="auto" w:fill="FFFFFF"/>
        <w:spacing w:after="72" w:line="36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  <w:t xml:space="preserve">Nachteile </w:t>
      </w:r>
    </w:p>
    <w:p w:rsidR="00675410" w:rsidRPr="00346F3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Probleme ergeben sich deshalb, da oft ein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akuter Zeitmangel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aufgrund des Lehrplans entsteht, der längeres und intensiveres Arbeiten an den Stationen untersagt. Auch die Kraft des Lehrers spielt eine Rolle, denn er muss das Stationenlernen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genauestens planen und vorbereiten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. Auch ist das Lernen an Stationen meist eine einzige „Materialschlacht“. </w:t>
      </w:r>
    </w:p>
    <w:p w:rsidR="00675410" w:rsidRPr="00346F30" w:rsidRDefault="00675410" w:rsidP="00675410">
      <w:pPr>
        <w:shd w:val="clear" w:color="auto" w:fill="FFFFFF"/>
        <w:spacing w:after="72" w:line="36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  <w:t xml:space="preserve">Möglichkeiten </w:t>
      </w:r>
    </w:p>
    <w:p w:rsidR="00675410" w:rsidRPr="00346F3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Beim Stationenlernen eignen sich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Laufzettel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als Hilfestellung für die Kinder, weil sie so sehen können, welche Aufgaben sie bereits gelöst haben. Eine schöne Präsentationsmöglichkeit nach dem Stationenlernen ist das Erstellen einer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Mappe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oder einer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Wandzeitung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. Auch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Video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oder Audioproduktionen, die das Arbeiten an den Stationen dokumentieren, sind eine weitere anspruchsvolle Alternative. Da man beim Stationenlernen nicht an das Klassenzimmer gebunden ist, kann man auch an anderen </w:t>
      </w:r>
      <w:r w:rsidRPr="00675410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außerschulischen Lernorten</w:t>
      </w:r>
      <w:r w:rsidRPr="00346F30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Stationenlernen praktizieren. </w:t>
      </w:r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8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http://wiki.bildungsserver.de/index.php/Methodik</w:t>
        </w:r>
      </w:hyperlink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Checkliste Stationenlernen:</w:t>
      </w:r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9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http://www.uni-muenster.de/imperia/md/content/didaktik_der_chemie/schulorientiertes/ws0607/checkliste_stationenlernen__nach_graf_.pdf</w:t>
        </w:r>
      </w:hyperlink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10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http://home.arcor.de/arthur.froehlich/verweise/hauptseminar/documents/Judith_Becker-Stationenlernen_Checkliste.pdf</w:t>
        </w:r>
      </w:hyperlink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11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http://www.sn.schule.de/~chemie/chik/praxis/wunderbar/checkliste.pdf</w:t>
        </w:r>
      </w:hyperlink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12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http://www.bulgarien-erleben.de/images/pdf/praesentation2.pdf</w:t>
        </w:r>
      </w:hyperlink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13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http://www.scribd.com/doc/19764753/Fremdsprache-Deutsch-Heft-35</w:t>
        </w:r>
      </w:hyperlink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Stationenlernen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DaF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:</w:t>
      </w:r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14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http://www.daf-online.hu/kre/Thesenblatt_Stationenlernen.pdf</w:t>
        </w:r>
      </w:hyperlink>
    </w:p>
    <w:p w:rsidR="00675410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15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http://www.lernen-mit-links.de/f5.html</w:t>
        </w:r>
      </w:hyperlink>
    </w:p>
    <w:p w:rsidR="00675410" w:rsidRPr="00184FA9" w:rsidRDefault="00675410" w:rsidP="00675410">
      <w:pPr>
        <w:shd w:val="clear" w:color="auto" w:fill="FFFFFF"/>
        <w:spacing w:before="96" w:after="144" w:line="360" w:lineRule="atLeast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hyperlink r:id="rId16" w:history="1">
        <w:r w:rsidRPr="00340B86">
          <w:rPr>
            <w:rStyle w:val="Hypertextovodkaz"/>
            <w:rFonts w:ascii="Times New Roman" w:eastAsia="Times New Roman" w:hAnsi="Times New Roman"/>
            <w:sz w:val="24"/>
            <w:szCs w:val="24"/>
            <w:lang w:val="de-DE"/>
          </w:rPr>
          <w:t>http://www.docstoc.com/docs/18965327/Lernen_an_Stationen-_Weihnachten</w:t>
        </w:r>
      </w:hyperlink>
    </w:p>
    <w:p w:rsidR="00675410" w:rsidRPr="00346F30" w:rsidRDefault="00675410" w:rsidP="00675410">
      <w:pPr>
        <w:rPr>
          <w:lang w:val="de-DE"/>
        </w:rPr>
      </w:pPr>
    </w:p>
    <w:p w:rsidR="004F40A4" w:rsidRPr="00675410" w:rsidRDefault="004F40A4">
      <w:pPr>
        <w:rPr>
          <w:lang w:val="de-DE"/>
        </w:rPr>
      </w:pPr>
    </w:p>
    <w:sectPr w:rsidR="004F40A4" w:rsidRPr="00675410" w:rsidSect="002031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C0D"/>
    <w:multiLevelType w:val="multilevel"/>
    <w:tmpl w:val="07D6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58"/>
    <w:rsid w:val="004F40A4"/>
    <w:rsid w:val="005E5E58"/>
    <w:rsid w:val="006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410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5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410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5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bildungsserver.de/index.php/Methodik" TargetMode="External"/><Relationship Id="rId13" Type="http://schemas.openxmlformats.org/officeDocument/2006/relationships/hyperlink" Target="http://www.scribd.com/doc/19764753/Fremdsprache-Deutsch-Heft-3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rh-moskau.ru/upload/LHB_neu/C%20-%20Methodisch-didaktische%20Hinweise/9%20-%20Stationen%20-%20Einfuehrung,%20Checkliste.pdf" TargetMode="External"/><Relationship Id="rId12" Type="http://schemas.openxmlformats.org/officeDocument/2006/relationships/hyperlink" Target="http://www.bulgarien-erleben.de/images/pdf/praesentation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cstoc.com/docs/18965327/Lernen_an_Stationen-_Weihnacht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lleg.de/unterricht/stationen/" TargetMode="External"/><Relationship Id="rId11" Type="http://schemas.openxmlformats.org/officeDocument/2006/relationships/hyperlink" Target="http://www.sn.schule.de/~chemie/chik/praxis/wunderbar/checklis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rnen-mit-links.de/f5.html" TargetMode="External"/><Relationship Id="rId10" Type="http://schemas.openxmlformats.org/officeDocument/2006/relationships/hyperlink" Target="http://home.arcor.de/arthur.froehlich/verweise/hauptseminar/documents/Judith_Becker-Stationenlernen_Checklis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muenster.de/imperia/md/content/didaktik_der_chemie/schulorientiertes/ws0607/checkliste_stationenlernen__nach_graf_.pdf" TargetMode="External"/><Relationship Id="rId14" Type="http://schemas.openxmlformats.org/officeDocument/2006/relationships/hyperlink" Target="http://www.daf-online.hu/kre/Thesenblatt_Stationenlernen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Brychová</dc:creator>
  <cp:keywords/>
  <dc:description/>
  <cp:lastModifiedBy>Brychová</cp:lastModifiedBy>
  <cp:revision>2</cp:revision>
  <dcterms:created xsi:type="dcterms:W3CDTF">2013-03-07T13:26:00Z</dcterms:created>
  <dcterms:modified xsi:type="dcterms:W3CDTF">2013-03-07T13:30:00Z</dcterms:modified>
</cp:coreProperties>
</file>