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5A" w:rsidRPr="000A665A" w:rsidRDefault="000A665A" w:rsidP="000A665A">
      <w:pPr>
        <w:pStyle w:val="Nadpis1"/>
        <w:ind w:left="0" w:firstLine="0"/>
        <w:jc w:val="right"/>
        <w:rPr>
          <w:rFonts w:asciiTheme="majorHAnsi" w:hAnsiTheme="majorHAnsi" w:cs="Verdana"/>
          <w:b/>
          <w:bCs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665A">
        <w:rPr>
          <w:rFonts w:asciiTheme="majorHAnsi" w:hAnsiTheme="majorHAnsi" w:cs="Segoe Script"/>
          <w:b/>
          <w:bCs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Edukace osob s mentálním postižením se zřetelem na lehké mentální postižení</w:t>
      </w:r>
    </w:p>
    <w:p w:rsidR="000A665A" w:rsidRPr="007A653C" w:rsidRDefault="000A665A" w:rsidP="000A665A">
      <w:pPr>
        <w:pStyle w:val="Nadpis2"/>
        <w:ind w:left="0" w:firstLine="0"/>
        <w:jc w:val="right"/>
        <w:rPr>
          <w:rFonts w:asciiTheme="majorHAnsi" w:hAnsiTheme="majorHAnsi" w:cs="Constantia"/>
          <w:b/>
          <w:bCs/>
          <w:color w:val="auto"/>
          <w:sz w:val="24"/>
          <w:szCs w:val="24"/>
        </w:rPr>
      </w:pPr>
    </w:p>
    <w:p w:rsidR="000A665A" w:rsidRPr="007A653C" w:rsidRDefault="000A665A" w:rsidP="00B56105">
      <w:pPr>
        <w:pStyle w:val="Nadpis2"/>
        <w:ind w:left="0" w:firstLine="0"/>
        <w:jc w:val="center"/>
        <w:rPr>
          <w:rFonts w:asciiTheme="majorHAnsi" w:hAnsiTheme="majorHAnsi" w:cs="Segoe Script"/>
          <w:b/>
          <w:bCs/>
          <w:color w:val="auto"/>
          <w:sz w:val="24"/>
          <w:szCs w:val="24"/>
        </w:rPr>
      </w:pPr>
      <w:r w:rsidRPr="007A653C">
        <w:rPr>
          <w:rFonts w:asciiTheme="majorHAnsi" w:hAnsiTheme="majorHAnsi" w:cs="Segoe Script"/>
          <w:b/>
          <w:bCs/>
          <w:color w:val="auto"/>
          <w:sz w:val="24"/>
          <w:szCs w:val="24"/>
        </w:rPr>
        <w:t xml:space="preserve">Systém </w:t>
      </w:r>
      <w:proofErr w:type="spellStart"/>
      <w:r w:rsidRPr="007A653C">
        <w:rPr>
          <w:rFonts w:asciiTheme="majorHAnsi" w:hAnsiTheme="majorHAnsi" w:cs="Segoe Script"/>
          <w:b/>
          <w:bCs/>
          <w:color w:val="auto"/>
          <w:sz w:val="24"/>
          <w:szCs w:val="24"/>
        </w:rPr>
        <w:t>kurikulárních</w:t>
      </w:r>
      <w:proofErr w:type="spellEnd"/>
      <w:r w:rsidRPr="007A653C">
        <w:rPr>
          <w:rFonts w:asciiTheme="majorHAnsi" w:hAnsiTheme="majorHAnsi" w:cs="Segoe Script"/>
          <w:b/>
          <w:bCs/>
          <w:color w:val="auto"/>
          <w:sz w:val="24"/>
          <w:szCs w:val="24"/>
        </w:rPr>
        <w:t xml:space="preserve"> dokumentů</w:t>
      </w:r>
    </w:p>
    <w:p w:rsidR="000A665A" w:rsidRPr="007A653C" w:rsidRDefault="000A665A" w:rsidP="000A665A">
      <w:pPr>
        <w:pStyle w:val="Nadpis2"/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</w:p>
    <w:p w:rsidR="000A665A" w:rsidRPr="00B56105" w:rsidRDefault="000A665A" w:rsidP="00B56105">
      <w:pPr>
        <w:pStyle w:val="Nadpis2"/>
        <w:numPr>
          <w:ilvl w:val="0"/>
          <w:numId w:val="1"/>
        </w:numPr>
        <w:ind w:left="810" w:hanging="810"/>
        <w:rPr>
          <w:rFonts w:asciiTheme="majorHAnsi" w:hAnsiTheme="majorHAnsi" w:cs="Calibri"/>
          <w:color w:val="auto"/>
          <w:sz w:val="24"/>
          <w:szCs w:val="24"/>
        </w:rPr>
      </w:pPr>
      <w:r w:rsidRPr="00B56105">
        <w:rPr>
          <w:rFonts w:asciiTheme="majorHAnsi" w:hAnsiTheme="majorHAnsi" w:cs="Calibri"/>
          <w:bCs/>
          <w:color w:val="auto"/>
          <w:sz w:val="24"/>
          <w:szCs w:val="24"/>
        </w:rPr>
        <w:t xml:space="preserve">Bílá kniha </w:t>
      </w:r>
      <w:r w:rsidRPr="00B56105">
        <w:rPr>
          <w:rFonts w:asciiTheme="majorHAnsi" w:hAnsiTheme="majorHAnsi" w:cs="Calibri"/>
          <w:color w:val="auto"/>
          <w:sz w:val="24"/>
          <w:szCs w:val="24"/>
        </w:rPr>
        <w:t xml:space="preserve">– Národní program rozvoje vzdělávání v ČR (2001). </w:t>
      </w:r>
      <w:r w:rsidRPr="00B56105">
        <w:rPr>
          <w:rFonts w:asciiTheme="majorHAnsi" w:hAnsiTheme="majorHAnsi" w:cs="Calibri"/>
          <w:bCs/>
          <w:color w:val="auto"/>
          <w:sz w:val="24"/>
          <w:szCs w:val="24"/>
        </w:rPr>
        <w:t xml:space="preserve">Dlouhodobý záměr vzdělávání a rozvoje vzdělávací soustavy České republiky </w:t>
      </w:r>
      <w:r w:rsidRPr="00B56105">
        <w:rPr>
          <w:rFonts w:asciiTheme="majorHAnsi" w:hAnsiTheme="majorHAnsi" w:cs="Calibri"/>
          <w:color w:val="auto"/>
          <w:sz w:val="24"/>
          <w:szCs w:val="24"/>
        </w:rPr>
        <w:t>(2005, 2007).</w:t>
      </w:r>
    </w:p>
    <w:p w:rsidR="000A665A" w:rsidRPr="00B56105" w:rsidRDefault="000A665A" w:rsidP="000A665A">
      <w:pPr>
        <w:pStyle w:val="Nadpis2"/>
        <w:numPr>
          <w:ilvl w:val="0"/>
          <w:numId w:val="1"/>
        </w:numPr>
        <w:ind w:left="810" w:hanging="810"/>
        <w:rPr>
          <w:rFonts w:asciiTheme="majorHAnsi" w:hAnsiTheme="majorHAnsi" w:cs="Calibri"/>
          <w:color w:val="auto"/>
          <w:sz w:val="24"/>
          <w:szCs w:val="24"/>
        </w:rPr>
      </w:pPr>
      <w:r w:rsidRPr="00B56105">
        <w:rPr>
          <w:rFonts w:asciiTheme="majorHAnsi" w:hAnsiTheme="majorHAnsi" w:cs="Calibri"/>
          <w:bCs/>
          <w:i/>
          <w:iCs/>
          <w:color w:val="auto"/>
          <w:sz w:val="24"/>
          <w:szCs w:val="24"/>
        </w:rPr>
        <w:t xml:space="preserve">Státní úroveň </w:t>
      </w:r>
      <w:r w:rsidRPr="00B56105">
        <w:rPr>
          <w:rFonts w:asciiTheme="majorHAnsi" w:hAnsiTheme="majorHAnsi" w:cs="Calibri"/>
          <w:bCs/>
          <w:color w:val="auto"/>
          <w:sz w:val="24"/>
          <w:szCs w:val="24"/>
        </w:rPr>
        <w:t>– Národní program vzdělávání a Rámcové vzdělávací programy (RVP)</w:t>
      </w:r>
      <w:r w:rsidRPr="00B56105">
        <w:rPr>
          <w:rFonts w:asciiTheme="majorHAnsi" w:hAnsiTheme="majorHAnsi" w:cs="Calibri"/>
          <w:color w:val="auto"/>
          <w:sz w:val="24"/>
          <w:szCs w:val="24"/>
        </w:rPr>
        <w:t>.</w:t>
      </w:r>
    </w:p>
    <w:p w:rsidR="000A665A" w:rsidRPr="00B56105" w:rsidRDefault="000A665A" w:rsidP="00B56105">
      <w:pPr>
        <w:pStyle w:val="Nadpis2"/>
        <w:numPr>
          <w:ilvl w:val="0"/>
          <w:numId w:val="1"/>
        </w:numPr>
        <w:ind w:left="810" w:hanging="810"/>
        <w:rPr>
          <w:rFonts w:asciiTheme="majorHAnsi" w:hAnsiTheme="majorHAnsi" w:cs="Calibri"/>
          <w:color w:val="auto"/>
          <w:sz w:val="24"/>
          <w:szCs w:val="24"/>
        </w:rPr>
      </w:pPr>
      <w:r w:rsidRPr="00B56105">
        <w:rPr>
          <w:rFonts w:asciiTheme="majorHAnsi" w:hAnsiTheme="majorHAnsi" w:cs="Calibri"/>
          <w:bCs/>
          <w:i/>
          <w:iCs/>
          <w:color w:val="auto"/>
          <w:sz w:val="24"/>
          <w:szCs w:val="24"/>
        </w:rPr>
        <w:t xml:space="preserve">Školní úroveň </w:t>
      </w:r>
      <w:r w:rsidRPr="00B56105">
        <w:rPr>
          <w:rFonts w:asciiTheme="majorHAnsi" w:hAnsiTheme="majorHAnsi" w:cs="Calibri"/>
          <w:color w:val="auto"/>
          <w:sz w:val="24"/>
          <w:szCs w:val="24"/>
        </w:rPr>
        <w:t xml:space="preserve">– </w:t>
      </w:r>
      <w:r w:rsidRPr="00B56105">
        <w:rPr>
          <w:rFonts w:asciiTheme="majorHAnsi" w:hAnsiTheme="majorHAnsi" w:cs="Calibri"/>
          <w:bCs/>
          <w:color w:val="auto"/>
          <w:sz w:val="24"/>
          <w:szCs w:val="24"/>
        </w:rPr>
        <w:t>Školní vzdělávací programy (ŠVP)</w:t>
      </w:r>
      <w:r w:rsidRPr="00B56105">
        <w:rPr>
          <w:rFonts w:asciiTheme="majorHAnsi" w:hAnsiTheme="majorHAnsi" w:cs="Calibri"/>
          <w:color w:val="auto"/>
          <w:sz w:val="24"/>
          <w:szCs w:val="24"/>
        </w:rPr>
        <w:t>.</w:t>
      </w:r>
    </w:p>
    <w:p w:rsidR="000A665A" w:rsidRPr="00B56105" w:rsidRDefault="000A665A" w:rsidP="00B56105">
      <w:pPr>
        <w:pStyle w:val="Nadpis2"/>
        <w:numPr>
          <w:ilvl w:val="0"/>
          <w:numId w:val="1"/>
        </w:numPr>
        <w:ind w:left="810" w:hanging="810"/>
        <w:rPr>
          <w:rFonts w:asciiTheme="majorHAnsi" w:hAnsiTheme="majorHAnsi" w:cs="Calibri"/>
          <w:color w:val="auto"/>
          <w:sz w:val="24"/>
          <w:szCs w:val="24"/>
        </w:rPr>
      </w:pPr>
      <w:r w:rsidRPr="00B56105">
        <w:rPr>
          <w:rFonts w:asciiTheme="majorHAnsi" w:hAnsiTheme="majorHAnsi" w:cs="Calibri"/>
          <w:color w:val="auto"/>
          <w:sz w:val="24"/>
          <w:szCs w:val="24"/>
        </w:rPr>
        <w:t>Manuály k tvorbě školních vzdělávacích programů.</w:t>
      </w:r>
    </w:p>
    <w:p w:rsidR="000A665A" w:rsidRPr="007A653C" w:rsidRDefault="000A665A" w:rsidP="000A665A">
      <w:pPr>
        <w:pStyle w:val="Nadpis2"/>
        <w:ind w:left="0" w:hanging="432"/>
        <w:jc w:val="both"/>
        <w:rPr>
          <w:rFonts w:asciiTheme="majorHAnsi" w:hAnsiTheme="majorHAnsi" w:cs="Constantia"/>
          <w:i/>
          <w:iCs/>
          <w:color w:val="auto"/>
          <w:sz w:val="24"/>
          <w:szCs w:val="24"/>
        </w:rPr>
      </w:pPr>
    </w:p>
    <w:p w:rsidR="000A665A" w:rsidRPr="00B56105" w:rsidRDefault="000A665A" w:rsidP="000A665A">
      <w:pPr>
        <w:pStyle w:val="Nadpis2"/>
        <w:ind w:left="0" w:hanging="432"/>
        <w:jc w:val="both"/>
        <w:rPr>
          <w:rFonts w:asciiTheme="majorHAnsi" w:hAnsiTheme="majorHAnsi" w:cs="Constantia"/>
          <w:b/>
          <w:i/>
          <w:iCs/>
          <w:color w:val="auto"/>
          <w:sz w:val="24"/>
          <w:szCs w:val="24"/>
        </w:rPr>
      </w:pPr>
    </w:p>
    <w:p w:rsidR="000A665A" w:rsidRPr="00B56105" w:rsidRDefault="000A665A" w:rsidP="000A665A">
      <w:pPr>
        <w:pStyle w:val="Nadpis1"/>
        <w:ind w:left="0" w:firstLine="0"/>
        <w:rPr>
          <w:rFonts w:asciiTheme="majorHAnsi" w:hAnsiTheme="majorHAnsi" w:cs="Verdana"/>
          <w:b/>
          <w:color w:val="auto"/>
          <w:sz w:val="24"/>
          <w:szCs w:val="24"/>
        </w:rPr>
      </w:pPr>
      <w:r w:rsidRPr="00B56105">
        <w:rPr>
          <w:rFonts w:asciiTheme="majorHAnsi" w:hAnsiTheme="majorHAnsi" w:cs="Verdana"/>
          <w:b/>
          <w:color w:val="auto"/>
          <w:sz w:val="24"/>
          <w:szCs w:val="24"/>
        </w:rPr>
        <w:t xml:space="preserve">RVP v systému </w:t>
      </w:r>
      <w:proofErr w:type="spellStart"/>
      <w:r w:rsidRPr="00B56105">
        <w:rPr>
          <w:rFonts w:asciiTheme="majorHAnsi" w:hAnsiTheme="majorHAnsi" w:cs="Verdana"/>
          <w:b/>
          <w:color w:val="auto"/>
          <w:sz w:val="24"/>
          <w:szCs w:val="24"/>
        </w:rPr>
        <w:t>kurikulárních</w:t>
      </w:r>
      <w:proofErr w:type="spellEnd"/>
      <w:r w:rsidRPr="00B56105">
        <w:rPr>
          <w:rFonts w:asciiTheme="majorHAnsi" w:hAnsiTheme="majorHAnsi" w:cs="Verdana"/>
          <w:b/>
          <w:color w:val="auto"/>
          <w:sz w:val="24"/>
          <w:szCs w:val="24"/>
        </w:rPr>
        <w:t xml:space="preserve"> dokumentů:</w:t>
      </w:r>
    </w:p>
    <w:p w:rsidR="000A665A" w:rsidRPr="007A653C" w:rsidRDefault="000A665A" w:rsidP="00B56105">
      <w:pPr>
        <w:pStyle w:val="Nadpis2"/>
        <w:ind w:left="0" w:firstLine="0"/>
        <w:jc w:val="both"/>
        <w:rPr>
          <w:rFonts w:asciiTheme="majorHAnsi" w:hAnsiTheme="majorHAnsi" w:cs="Constantia"/>
          <w:color w:val="auto"/>
          <w:sz w:val="24"/>
          <w:szCs w:val="24"/>
        </w:rPr>
      </w:pPr>
    </w:p>
    <w:p w:rsidR="000A665A" w:rsidRPr="007A653C" w:rsidRDefault="000A665A" w:rsidP="00B56105">
      <w:pPr>
        <w:pStyle w:val="Nadpis2"/>
        <w:ind w:left="720" w:hanging="720"/>
        <w:jc w:val="both"/>
        <w:rPr>
          <w:rFonts w:asciiTheme="majorHAnsi" w:hAnsiTheme="majorHAnsi" w:cs="Constantia"/>
          <w:color w:val="auto"/>
          <w:sz w:val="24"/>
          <w:szCs w:val="24"/>
        </w:rPr>
      </w:pPr>
      <w:r w:rsidRPr="000A665A">
        <w:rPr>
          <w:rFonts w:asciiTheme="majorHAnsi" w:hAnsiTheme="majorHAnsi" w:cs="Constantia"/>
          <w:color w:val="auto"/>
          <w:sz w:val="24"/>
          <w:szCs w:val="24"/>
        </w:rPr>
        <w:drawing>
          <wp:inline distT="0" distB="0" distL="0" distR="0" wp14:anchorId="3FB36B84" wp14:editId="61307613">
            <wp:extent cx="4593917" cy="2760453"/>
            <wp:effectExtent l="0" t="0" r="0" b="1905"/>
            <wp:docPr id="104452" name="Picture 2" descr="C:\Users\Soninka\Pictures\Moje naskenované obrázky\2010-11 (XI)\skenování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52" name="Picture 2" descr="C:\Users\Soninka\Pictures\Moje naskenované obrázky\2010-11 (XI)\skenování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189" cy="276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A665A" w:rsidRPr="007A653C" w:rsidRDefault="000A665A" w:rsidP="000A665A">
      <w:pPr>
        <w:pStyle w:val="Nadpis2"/>
        <w:ind w:left="0" w:hanging="432"/>
        <w:jc w:val="both"/>
        <w:rPr>
          <w:rFonts w:asciiTheme="majorHAnsi" w:hAnsiTheme="majorHAnsi" w:cs="Constantia"/>
          <w:i/>
          <w:iCs/>
          <w:color w:val="auto"/>
          <w:sz w:val="24"/>
          <w:szCs w:val="24"/>
        </w:rPr>
      </w:pPr>
    </w:p>
    <w:p w:rsidR="000A665A" w:rsidRPr="007A653C" w:rsidRDefault="000A665A" w:rsidP="000A665A">
      <w:pPr>
        <w:pStyle w:val="Nadpis2"/>
        <w:ind w:left="0" w:hanging="432"/>
        <w:jc w:val="both"/>
        <w:rPr>
          <w:rFonts w:asciiTheme="majorHAnsi" w:hAnsiTheme="majorHAnsi" w:cs="Constantia"/>
          <w:i/>
          <w:iCs/>
          <w:color w:val="auto"/>
          <w:sz w:val="24"/>
          <w:szCs w:val="24"/>
        </w:rPr>
      </w:pPr>
    </w:p>
    <w:p w:rsidR="000A665A" w:rsidRPr="00B56105" w:rsidRDefault="000A665A" w:rsidP="000A665A">
      <w:pPr>
        <w:pStyle w:val="Nadpis1"/>
        <w:ind w:left="0" w:firstLine="0"/>
        <w:rPr>
          <w:rFonts w:asciiTheme="majorHAnsi" w:hAnsiTheme="majorHAnsi" w:cs="Verdana"/>
          <w:b/>
          <w:color w:val="auto"/>
          <w:sz w:val="24"/>
          <w:szCs w:val="24"/>
        </w:rPr>
      </w:pPr>
      <w:r w:rsidRPr="00B56105">
        <w:rPr>
          <w:rFonts w:asciiTheme="majorHAnsi" w:hAnsiTheme="majorHAnsi" w:cs="Verdana"/>
          <w:b/>
          <w:color w:val="auto"/>
          <w:sz w:val="24"/>
          <w:szCs w:val="24"/>
        </w:rPr>
        <w:t>Rámcové vzdělávací programy § 4 školského zákona:</w:t>
      </w:r>
    </w:p>
    <w:p w:rsidR="000A665A" w:rsidRPr="007A653C" w:rsidRDefault="000A665A" w:rsidP="00B56105">
      <w:pPr>
        <w:pStyle w:val="Nadpis2"/>
        <w:ind w:left="0" w:firstLine="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7A653C">
        <w:rPr>
          <w:rFonts w:asciiTheme="majorHAnsi" w:hAnsiTheme="majorHAnsi" w:cs="Calibri"/>
          <w:color w:val="auto"/>
          <w:sz w:val="24"/>
          <w:szCs w:val="24"/>
        </w:rPr>
        <w:t>Pro každý obor vzdělání v předškolním, základním, středním, základním uměleckém a jazykovém vzdělání.</w:t>
      </w:r>
    </w:p>
    <w:p w:rsidR="000A665A" w:rsidRPr="007A653C" w:rsidRDefault="000A665A" w:rsidP="000A665A">
      <w:pPr>
        <w:pStyle w:val="Nadpis2"/>
        <w:ind w:left="810" w:hanging="810"/>
        <w:jc w:val="both"/>
        <w:rPr>
          <w:rFonts w:asciiTheme="majorHAnsi" w:hAnsiTheme="majorHAnsi" w:cs="Calibri"/>
          <w:b/>
          <w:bCs/>
          <w:color w:val="auto"/>
          <w:sz w:val="24"/>
          <w:szCs w:val="24"/>
          <w:u w:val="single"/>
        </w:rPr>
      </w:pPr>
      <w:r w:rsidRPr="007A653C">
        <w:rPr>
          <w:rFonts w:asciiTheme="majorHAnsi" w:hAnsiTheme="majorHAnsi" w:cs="Calibri"/>
          <w:b/>
          <w:bCs/>
          <w:color w:val="auto"/>
          <w:sz w:val="24"/>
          <w:szCs w:val="24"/>
          <w:u w:val="single"/>
        </w:rPr>
        <w:t>Stanovují:</w:t>
      </w:r>
    </w:p>
    <w:p w:rsidR="000A665A" w:rsidRPr="007A653C" w:rsidRDefault="000A665A" w:rsidP="000A665A">
      <w:pPr>
        <w:pStyle w:val="Nadpis2"/>
        <w:numPr>
          <w:ilvl w:val="0"/>
          <w:numId w:val="2"/>
        </w:numPr>
        <w:ind w:left="810" w:hanging="81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7A653C">
        <w:rPr>
          <w:rFonts w:asciiTheme="majorHAnsi" w:hAnsiTheme="majorHAnsi" w:cs="Calibri"/>
          <w:color w:val="auto"/>
          <w:sz w:val="24"/>
          <w:szCs w:val="24"/>
        </w:rPr>
        <w:t>Vzdělávací obsah.</w:t>
      </w:r>
    </w:p>
    <w:p w:rsidR="000A665A" w:rsidRPr="007A653C" w:rsidRDefault="000A665A" w:rsidP="000A665A">
      <w:pPr>
        <w:pStyle w:val="Nadpis2"/>
        <w:numPr>
          <w:ilvl w:val="0"/>
          <w:numId w:val="2"/>
        </w:numPr>
        <w:ind w:left="810" w:hanging="81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7A653C">
        <w:rPr>
          <w:rFonts w:asciiTheme="majorHAnsi" w:hAnsiTheme="majorHAnsi" w:cs="Calibri"/>
          <w:color w:val="auto"/>
          <w:sz w:val="24"/>
          <w:szCs w:val="24"/>
        </w:rPr>
        <w:t>Formy, délku vzdělání.</w:t>
      </w:r>
    </w:p>
    <w:p w:rsidR="000A665A" w:rsidRPr="007A653C" w:rsidRDefault="000A665A" w:rsidP="000A665A">
      <w:pPr>
        <w:pStyle w:val="Nadpis2"/>
        <w:numPr>
          <w:ilvl w:val="0"/>
          <w:numId w:val="2"/>
        </w:numPr>
        <w:ind w:left="810" w:hanging="81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7A653C">
        <w:rPr>
          <w:rFonts w:asciiTheme="majorHAnsi" w:hAnsiTheme="majorHAnsi" w:cs="Calibri"/>
          <w:color w:val="auto"/>
          <w:sz w:val="24"/>
          <w:szCs w:val="24"/>
        </w:rPr>
        <w:t>Klíčové kompetence, vzdělávací oblasti.</w:t>
      </w:r>
    </w:p>
    <w:p w:rsidR="000A665A" w:rsidRPr="007A653C" w:rsidRDefault="000A665A" w:rsidP="000A665A">
      <w:pPr>
        <w:pStyle w:val="Nadpis2"/>
        <w:numPr>
          <w:ilvl w:val="0"/>
          <w:numId w:val="2"/>
        </w:numPr>
        <w:ind w:left="810" w:hanging="81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7A653C">
        <w:rPr>
          <w:rFonts w:asciiTheme="majorHAnsi" w:hAnsiTheme="majorHAnsi" w:cs="Calibri"/>
          <w:color w:val="auto"/>
          <w:sz w:val="24"/>
          <w:szCs w:val="24"/>
        </w:rPr>
        <w:t>Podmínky vzdělávání a jeho ukončení.</w:t>
      </w:r>
    </w:p>
    <w:p w:rsidR="000A665A" w:rsidRPr="007A653C" w:rsidRDefault="000A665A" w:rsidP="000A665A">
      <w:pPr>
        <w:pStyle w:val="Nadpis2"/>
        <w:numPr>
          <w:ilvl w:val="0"/>
          <w:numId w:val="2"/>
        </w:numPr>
        <w:ind w:left="810" w:hanging="81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7A653C">
        <w:rPr>
          <w:rFonts w:asciiTheme="majorHAnsi" w:hAnsiTheme="majorHAnsi" w:cs="Calibri"/>
          <w:color w:val="auto"/>
          <w:sz w:val="24"/>
          <w:szCs w:val="24"/>
        </w:rPr>
        <w:t>Organizační uspořádání, profesní profil.</w:t>
      </w:r>
    </w:p>
    <w:p w:rsidR="000A665A" w:rsidRPr="007A653C" w:rsidRDefault="000A665A" w:rsidP="000A665A">
      <w:pPr>
        <w:pStyle w:val="Nadpis2"/>
        <w:numPr>
          <w:ilvl w:val="0"/>
          <w:numId w:val="2"/>
        </w:numPr>
        <w:ind w:left="810" w:hanging="81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7A653C">
        <w:rPr>
          <w:rFonts w:asciiTheme="majorHAnsi" w:hAnsiTheme="majorHAnsi" w:cs="Calibri"/>
          <w:color w:val="auto"/>
          <w:sz w:val="24"/>
          <w:szCs w:val="24"/>
        </w:rPr>
        <w:t>Zásady pro tvorbu ŠVP.</w:t>
      </w:r>
    </w:p>
    <w:p w:rsidR="000A665A" w:rsidRPr="007A653C" w:rsidRDefault="000A665A" w:rsidP="000A665A">
      <w:pPr>
        <w:pStyle w:val="Nadpis2"/>
        <w:numPr>
          <w:ilvl w:val="0"/>
          <w:numId w:val="2"/>
        </w:numPr>
        <w:ind w:left="810" w:hanging="81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7A653C">
        <w:rPr>
          <w:rFonts w:asciiTheme="majorHAnsi" w:hAnsiTheme="majorHAnsi" w:cs="Calibri"/>
          <w:color w:val="auto"/>
          <w:sz w:val="24"/>
          <w:szCs w:val="24"/>
        </w:rPr>
        <w:t>Podmínky pro vzdělávání žáků se SVP.</w:t>
      </w:r>
    </w:p>
    <w:p w:rsidR="000A665A" w:rsidRPr="007A653C" w:rsidRDefault="000A665A" w:rsidP="000A665A">
      <w:pPr>
        <w:pStyle w:val="Nadpis2"/>
        <w:numPr>
          <w:ilvl w:val="0"/>
          <w:numId w:val="2"/>
        </w:numPr>
        <w:ind w:left="810" w:hanging="81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7A653C">
        <w:rPr>
          <w:rFonts w:asciiTheme="majorHAnsi" w:hAnsiTheme="majorHAnsi" w:cs="Calibri"/>
          <w:color w:val="auto"/>
          <w:sz w:val="24"/>
          <w:szCs w:val="24"/>
        </w:rPr>
        <w:t>Materiální, personální, organizační podmínky.</w:t>
      </w:r>
    </w:p>
    <w:p w:rsidR="000A665A" w:rsidRPr="007A653C" w:rsidRDefault="000A665A" w:rsidP="000A665A">
      <w:pPr>
        <w:pStyle w:val="Nadpis2"/>
        <w:ind w:left="0" w:hanging="432"/>
        <w:jc w:val="both"/>
        <w:rPr>
          <w:rFonts w:asciiTheme="majorHAnsi" w:hAnsiTheme="majorHAnsi" w:cs="Constantia"/>
          <w:i/>
          <w:iCs/>
          <w:color w:val="auto"/>
          <w:sz w:val="24"/>
          <w:szCs w:val="24"/>
        </w:rPr>
      </w:pPr>
    </w:p>
    <w:p w:rsidR="000A665A" w:rsidRPr="00B56105" w:rsidRDefault="000A665A" w:rsidP="000A665A">
      <w:pPr>
        <w:pStyle w:val="Nadpis1"/>
        <w:ind w:left="0" w:firstLine="0"/>
        <w:rPr>
          <w:rFonts w:asciiTheme="majorHAnsi" w:hAnsiTheme="majorHAnsi" w:cs="Verdana"/>
          <w:b/>
          <w:color w:val="auto"/>
          <w:sz w:val="24"/>
          <w:szCs w:val="24"/>
        </w:rPr>
      </w:pPr>
      <w:r w:rsidRPr="00B56105">
        <w:rPr>
          <w:rFonts w:asciiTheme="majorHAnsi" w:hAnsiTheme="majorHAnsi" w:cs="Verdana"/>
          <w:b/>
          <w:color w:val="auto"/>
          <w:sz w:val="24"/>
          <w:szCs w:val="24"/>
        </w:rPr>
        <w:lastRenderedPageBreak/>
        <w:t>Školní vzdělávací programy (ŠVP) § 5 školského zákona:</w:t>
      </w:r>
    </w:p>
    <w:p w:rsidR="000A665A" w:rsidRPr="007A653C" w:rsidRDefault="000A665A" w:rsidP="00B56105">
      <w:pPr>
        <w:pStyle w:val="Nadpis2"/>
        <w:ind w:left="0" w:firstLine="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7A653C">
        <w:rPr>
          <w:rFonts w:asciiTheme="majorHAnsi" w:hAnsiTheme="majorHAnsi" w:cs="Calibri"/>
          <w:color w:val="auto"/>
          <w:sz w:val="24"/>
          <w:szCs w:val="24"/>
        </w:rPr>
        <w:t>Musí být v souladu s příslušným RVP.</w:t>
      </w:r>
    </w:p>
    <w:p w:rsidR="000A665A" w:rsidRPr="007A653C" w:rsidRDefault="000A665A" w:rsidP="000A665A">
      <w:pPr>
        <w:pStyle w:val="Nadpis2"/>
        <w:ind w:left="810" w:hanging="810"/>
        <w:jc w:val="both"/>
        <w:rPr>
          <w:rFonts w:asciiTheme="majorHAnsi" w:hAnsiTheme="majorHAnsi" w:cs="Calibri"/>
          <w:b/>
          <w:bCs/>
          <w:color w:val="auto"/>
          <w:sz w:val="24"/>
          <w:szCs w:val="24"/>
          <w:u w:val="single"/>
        </w:rPr>
      </w:pPr>
      <w:r w:rsidRPr="007A653C">
        <w:rPr>
          <w:rFonts w:asciiTheme="majorHAnsi" w:hAnsiTheme="majorHAnsi" w:cs="Calibri"/>
          <w:b/>
          <w:bCs/>
          <w:color w:val="auto"/>
          <w:sz w:val="24"/>
          <w:szCs w:val="24"/>
          <w:u w:val="single"/>
        </w:rPr>
        <w:t>Stanovují:</w:t>
      </w:r>
    </w:p>
    <w:p w:rsidR="000A665A" w:rsidRPr="007A653C" w:rsidRDefault="000A665A" w:rsidP="000A665A">
      <w:pPr>
        <w:pStyle w:val="Nadpis2"/>
        <w:numPr>
          <w:ilvl w:val="0"/>
          <w:numId w:val="2"/>
        </w:numPr>
        <w:ind w:left="810" w:hanging="81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7A653C">
        <w:rPr>
          <w:rFonts w:asciiTheme="majorHAnsi" w:hAnsiTheme="majorHAnsi" w:cs="Calibri"/>
          <w:color w:val="auto"/>
          <w:sz w:val="24"/>
          <w:szCs w:val="24"/>
        </w:rPr>
        <w:t>Identifikační údaje školy (název, zřizovatel).</w:t>
      </w:r>
    </w:p>
    <w:p w:rsidR="000A665A" w:rsidRPr="007A653C" w:rsidRDefault="000A665A" w:rsidP="000A665A">
      <w:pPr>
        <w:pStyle w:val="Nadpis2"/>
        <w:numPr>
          <w:ilvl w:val="0"/>
          <w:numId w:val="2"/>
        </w:numPr>
        <w:ind w:left="810" w:hanging="81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7A653C">
        <w:rPr>
          <w:rFonts w:asciiTheme="majorHAnsi" w:hAnsiTheme="majorHAnsi" w:cs="Calibri"/>
          <w:color w:val="auto"/>
          <w:sz w:val="24"/>
          <w:szCs w:val="24"/>
        </w:rPr>
        <w:t>Charakteristika školy (velikost, vybavení školy, spolupráce s jinými školami, s rodiči, projekty),</w:t>
      </w:r>
    </w:p>
    <w:p w:rsidR="000A665A" w:rsidRPr="007A653C" w:rsidRDefault="000A665A" w:rsidP="000A665A">
      <w:pPr>
        <w:pStyle w:val="Nadpis2"/>
        <w:numPr>
          <w:ilvl w:val="0"/>
          <w:numId w:val="2"/>
        </w:numPr>
        <w:ind w:left="810" w:hanging="81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7A653C">
        <w:rPr>
          <w:rFonts w:asciiTheme="majorHAnsi" w:hAnsiTheme="majorHAnsi" w:cs="Calibri"/>
          <w:color w:val="auto"/>
          <w:sz w:val="24"/>
          <w:szCs w:val="24"/>
        </w:rPr>
        <w:t>Charakteristika ŠVP (zaměření školy, výchovně vzdělávací strategie, zabezpečení výuky žáků se SVP, zabezpečení výuky žáků mimořádně nadaných, začlenění průřezových témat.</w:t>
      </w:r>
    </w:p>
    <w:p w:rsidR="000A665A" w:rsidRPr="007A653C" w:rsidRDefault="000A665A" w:rsidP="000A665A">
      <w:pPr>
        <w:pStyle w:val="Nadpis2"/>
        <w:numPr>
          <w:ilvl w:val="0"/>
          <w:numId w:val="2"/>
        </w:numPr>
        <w:ind w:left="810" w:hanging="81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7A653C">
        <w:rPr>
          <w:rFonts w:asciiTheme="majorHAnsi" w:hAnsiTheme="majorHAnsi" w:cs="Calibri"/>
          <w:color w:val="auto"/>
          <w:sz w:val="24"/>
          <w:szCs w:val="24"/>
        </w:rPr>
        <w:t>Učební plán.</w:t>
      </w:r>
    </w:p>
    <w:p w:rsidR="000A665A" w:rsidRPr="007A653C" w:rsidRDefault="000A665A" w:rsidP="000A665A">
      <w:pPr>
        <w:pStyle w:val="Nadpis2"/>
        <w:numPr>
          <w:ilvl w:val="0"/>
          <w:numId w:val="2"/>
        </w:numPr>
        <w:ind w:left="810" w:hanging="81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7A653C">
        <w:rPr>
          <w:rFonts w:asciiTheme="majorHAnsi" w:hAnsiTheme="majorHAnsi" w:cs="Calibri"/>
          <w:color w:val="auto"/>
          <w:sz w:val="24"/>
          <w:szCs w:val="24"/>
        </w:rPr>
        <w:t>Učební osnovy (charakteristika a obsah vyučovacích předmětů).</w:t>
      </w:r>
    </w:p>
    <w:p w:rsidR="000A665A" w:rsidRPr="007A653C" w:rsidRDefault="000A665A" w:rsidP="000A665A">
      <w:pPr>
        <w:pStyle w:val="Nadpis2"/>
        <w:numPr>
          <w:ilvl w:val="0"/>
          <w:numId w:val="2"/>
        </w:numPr>
        <w:ind w:left="810" w:hanging="81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7A653C">
        <w:rPr>
          <w:rFonts w:asciiTheme="majorHAnsi" w:hAnsiTheme="majorHAnsi" w:cs="Calibri"/>
          <w:color w:val="auto"/>
          <w:sz w:val="24"/>
          <w:szCs w:val="24"/>
        </w:rPr>
        <w:t xml:space="preserve">Hodnocení a </w:t>
      </w:r>
      <w:proofErr w:type="spellStart"/>
      <w:r w:rsidRPr="007A653C">
        <w:rPr>
          <w:rFonts w:asciiTheme="majorHAnsi" w:hAnsiTheme="majorHAnsi" w:cs="Calibri"/>
          <w:color w:val="auto"/>
          <w:sz w:val="24"/>
          <w:szCs w:val="24"/>
        </w:rPr>
        <w:t>autoevaluace</w:t>
      </w:r>
      <w:proofErr w:type="spellEnd"/>
      <w:r w:rsidRPr="007A653C">
        <w:rPr>
          <w:rFonts w:asciiTheme="majorHAnsi" w:hAnsiTheme="majorHAnsi" w:cs="Calibri"/>
          <w:color w:val="auto"/>
          <w:sz w:val="24"/>
          <w:szCs w:val="24"/>
        </w:rPr>
        <w:t xml:space="preserve"> školy.</w:t>
      </w:r>
    </w:p>
    <w:p w:rsidR="00B56105" w:rsidRDefault="00B56105" w:rsidP="00B56105">
      <w:pPr>
        <w:pStyle w:val="Nadpis1"/>
        <w:ind w:left="0" w:firstLine="0"/>
        <w:rPr>
          <w:rFonts w:asciiTheme="majorHAnsi" w:hAnsiTheme="majorHAnsi" w:cs="Constantia"/>
          <w:color w:val="auto"/>
          <w:sz w:val="24"/>
          <w:szCs w:val="24"/>
        </w:rPr>
      </w:pPr>
    </w:p>
    <w:p w:rsidR="00B56105" w:rsidRDefault="00B56105" w:rsidP="00B56105">
      <w:pPr>
        <w:pStyle w:val="Nadpis1"/>
        <w:ind w:left="0" w:firstLine="0"/>
        <w:rPr>
          <w:rFonts w:asciiTheme="majorHAnsi" w:hAnsiTheme="majorHAnsi" w:cs="Constantia"/>
          <w:color w:val="auto"/>
          <w:sz w:val="24"/>
          <w:szCs w:val="24"/>
        </w:rPr>
      </w:pPr>
    </w:p>
    <w:p w:rsidR="000A665A" w:rsidRPr="00B56105" w:rsidRDefault="000A665A" w:rsidP="00B56105">
      <w:pPr>
        <w:pStyle w:val="Nadpis1"/>
        <w:ind w:left="0" w:firstLine="0"/>
        <w:rPr>
          <w:rFonts w:asciiTheme="majorHAnsi" w:hAnsiTheme="majorHAnsi" w:cs="Verdana"/>
          <w:b/>
          <w:bCs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665A">
        <w:rPr>
          <w:rFonts w:asciiTheme="majorHAnsi" w:hAnsiTheme="majorHAnsi" w:cs="Segoe Script"/>
          <w:b/>
          <w:bCs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Rámcový vzdělávací program pro předškolní vzdělávání</w:t>
      </w:r>
      <w:r w:rsidR="00B56105">
        <w:rPr>
          <w:rFonts w:asciiTheme="majorHAnsi" w:hAnsiTheme="majorHAnsi" w:cs="Calibri"/>
          <w:b/>
          <w:bCs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Pr="007A653C">
        <w:rPr>
          <w:rFonts w:asciiTheme="majorHAnsi" w:hAnsiTheme="majorHAnsi" w:cs="Segoe Script"/>
          <w:b/>
          <w:bCs/>
          <w:color w:val="auto"/>
          <w:sz w:val="24"/>
          <w:szCs w:val="24"/>
        </w:rPr>
        <w:t>RVP PV</w:t>
      </w:r>
      <w:r w:rsidR="00B56105">
        <w:rPr>
          <w:rFonts w:asciiTheme="majorHAnsi" w:hAnsiTheme="majorHAnsi" w:cs="Segoe Script"/>
          <w:b/>
          <w:bCs/>
          <w:color w:val="auto"/>
          <w:sz w:val="24"/>
          <w:szCs w:val="24"/>
        </w:rPr>
        <w:t>)</w:t>
      </w:r>
    </w:p>
    <w:p w:rsidR="000A665A" w:rsidRPr="007A653C" w:rsidRDefault="000A665A" w:rsidP="000A665A">
      <w:pPr>
        <w:pStyle w:val="Nadpis2"/>
        <w:ind w:left="0" w:firstLine="0"/>
        <w:jc w:val="right"/>
        <w:rPr>
          <w:rFonts w:asciiTheme="majorHAnsi" w:hAnsiTheme="majorHAnsi" w:cs="Constantia"/>
          <w:b/>
          <w:bCs/>
          <w:color w:val="auto"/>
          <w:sz w:val="24"/>
          <w:szCs w:val="24"/>
        </w:rPr>
      </w:pPr>
    </w:p>
    <w:p w:rsidR="000A665A" w:rsidRPr="00B56105" w:rsidRDefault="000A665A" w:rsidP="000A665A">
      <w:pPr>
        <w:pStyle w:val="Nadpis1"/>
        <w:ind w:left="0" w:firstLine="0"/>
        <w:rPr>
          <w:rFonts w:asciiTheme="majorHAnsi" w:hAnsiTheme="majorHAnsi" w:cs="Verdana"/>
          <w:b/>
          <w:color w:val="auto"/>
          <w:sz w:val="24"/>
          <w:szCs w:val="24"/>
        </w:rPr>
      </w:pPr>
      <w:r w:rsidRPr="00B56105">
        <w:rPr>
          <w:rFonts w:asciiTheme="majorHAnsi" w:hAnsiTheme="majorHAnsi" w:cs="Verdana"/>
          <w:b/>
          <w:color w:val="auto"/>
          <w:sz w:val="24"/>
          <w:szCs w:val="24"/>
        </w:rPr>
        <w:t>RVP PV (od 1. 9. 2007):</w:t>
      </w:r>
    </w:p>
    <w:p w:rsidR="000A665A" w:rsidRPr="007A653C" w:rsidRDefault="000A665A" w:rsidP="000A665A">
      <w:pPr>
        <w:pStyle w:val="Nadpis2"/>
        <w:numPr>
          <w:ilvl w:val="0"/>
          <w:numId w:val="4"/>
        </w:numPr>
        <w:ind w:left="810" w:hanging="810"/>
        <w:jc w:val="both"/>
        <w:rPr>
          <w:rFonts w:asciiTheme="majorHAnsi" w:hAnsiTheme="majorHAnsi" w:cs="Constantia"/>
          <w:color w:val="auto"/>
          <w:sz w:val="24"/>
          <w:szCs w:val="24"/>
        </w:rPr>
      </w:pPr>
      <w:r w:rsidRPr="007A653C">
        <w:rPr>
          <w:rFonts w:asciiTheme="majorHAnsi" w:hAnsiTheme="majorHAnsi" w:cs="Constantia"/>
          <w:color w:val="auto"/>
          <w:sz w:val="24"/>
          <w:szCs w:val="24"/>
        </w:rPr>
        <w:t xml:space="preserve">Vymezení RVP PV v systému </w:t>
      </w:r>
      <w:proofErr w:type="spellStart"/>
      <w:r w:rsidRPr="007A653C">
        <w:rPr>
          <w:rFonts w:asciiTheme="majorHAnsi" w:hAnsiTheme="majorHAnsi" w:cs="Constantia"/>
          <w:color w:val="auto"/>
          <w:sz w:val="24"/>
          <w:szCs w:val="24"/>
        </w:rPr>
        <w:t>kurikulárních</w:t>
      </w:r>
      <w:proofErr w:type="spellEnd"/>
      <w:r w:rsidRPr="007A653C">
        <w:rPr>
          <w:rFonts w:asciiTheme="majorHAnsi" w:hAnsiTheme="majorHAnsi" w:cs="Constantia"/>
          <w:color w:val="auto"/>
          <w:sz w:val="24"/>
          <w:szCs w:val="24"/>
        </w:rPr>
        <w:t xml:space="preserve"> dokumentů.</w:t>
      </w:r>
    </w:p>
    <w:p w:rsidR="000A665A" w:rsidRPr="007A653C" w:rsidRDefault="000A665A" w:rsidP="000A665A">
      <w:pPr>
        <w:pStyle w:val="Nadpis2"/>
        <w:numPr>
          <w:ilvl w:val="0"/>
          <w:numId w:val="4"/>
        </w:numPr>
        <w:ind w:left="810" w:hanging="810"/>
        <w:jc w:val="both"/>
        <w:rPr>
          <w:rFonts w:asciiTheme="majorHAnsi" w:hAnsiTheme="majorHAnsi" w:cs="Constantia"/>
          <w:color w:val="auto"/>
          <w:sz w:val="24"/>
          <w:szCs w:val="24"/>
        </w:rPr>
      </w:pPr>
      <w:r w:rsidRPr="007A653C">
        <w:rPr>
          <w:rFonts w:asciiTheme="majorHAnsi" w:hAnsiTheme="majorHAnsi" w:cs="Constantia"/>
          <w:color w:val="auto"/>
          <w:sz w:val="24"/>
          <w:szCs w:val="24"/>
        </w:rPr>
        <w:t>Předškolní vzdělávání v systému vzdělávání.</w:t>
      </w:r>
    </w:p>
    <w:p w:rsidR="000A665A" w:rsidRPr="007A653C" w:rsidRDefault="000A665A" w:rsidP="000A665A">
      <w:pPr>
        <w:pStyle w:val="Nadpis2"/>
        <w:numPr>
          <w:ilvl w:val="0"/>
          <w:numId w:val="4"/>
        </w:numPr>
        <w:ind w:left="810" w:hanging="810"/>
        <w:jc w:val="both"/>
        <w:rPr>
          <w:rFonts w:asciiTheme="majorHAnsi" w:hAnsiTheme="majorHAnsi" w:cs="Constantia"/>
          <w:color w:val="auto"/>
          <w:sz w:val="24"/>
          <w:szCs w:val="24"/>
        </w:rPr>
      </w:pPr>
      <w:r w:rsidRPr="007A653C">
        <w:rPr>
          <w:rFonts w:asciiTheme="majorHAnsi" w:hAnsiTheme="majorHAnsi" w:cs="Constantia"/>
          <w:color w:val="auto"/>
          <w:sz w:val="24"/>
          <w:szCs w:val="24"/>
        </w:rPr>
        <w:t xml:space="preserve">Pojetí a cíle předškolního vzdělávání. </w:t>
      </w:r>
    </w:p>
    <w:p w:rsidR="000A665A" w:rsidRPr="007A653C" w:rsidRDefault="000A665A" w:rsidP="000A665A">
      <w:pPr>
        <w:pStyle w:val="Nadpis2"/>
        <w:numPr>
          <w:ilvl w:val="0"/>
          <w:numId w:val="4"/>
        </w:numPr>
        <w:ind w:left="810" w:hanging="810"/>
        <w:jc w:val="both"/>
        <w:rPr>
          <w:rFonts w:asciiTheme="majorHAnsi" w:hAnsiTheme="majorHAnsi" w:cs="Constantia"/>
          <w:color w:val="auto"/>
          <w:sz w:val="24"/>
          <w:szCs w:val="24"/>
        </w:rPr>
      </w:pPr>
      <w:r w:rsidRPr="007A653C">
        <w:rPr>
          <w:rFonts w:asciiTheme="majorHAnsi" w:hAnsiTheme="majorHAnsi" w:cs="Constantia"/>
          <w:color w:val="auto"/>
          <w:sz w:val="24"/>
          <w:szCs w:val="24"/>
        </w:rPr>
        <w:t>Vzdělávací obsah.</w:t>
      </w:r>
    </w:p>
    <w:p w:rsidR="000A665A" w:rsidRPr="007A653C" w:rsidRDefault="000A665A" w:rsidP="000A665A">
      <w:pPr>
        <w:pStyle w:val="Nadpis2"/>
        <w:numPr>
          <w:ilvl w:val="0"/>
          <w:numId w:val="4"/>
        </w:numPr>
        <w:ind w:left="810" w:hanging="810"/>
        <w:jc w:val="both"/>
        <w:rPr>
          <w:rFonts w:asciiTheme="majorHAnsi" w:hAnsiTheme="majorHAnsi" w:cs="Constantia"/>
          <w:color w:val="auto"/>
          <w:sz w:val="24"/>
          <w:szCs w:val="24"/>
        </w:rPr>
      </w:pPr>
      <w:r w:rsidRPr="007A653C">
        <w:rPr>
          <w:rFonts w:asciiTheme="majorHAnsi" w:hAnsiTheme="majorHAnsi" w:cs="Constantia"/>
          <w:color w:val="auto"/>
          <w:sz w:val="24"/>
          <w:szCs w:val="24"/>
        </w:rPr>
        <w:t xml:space="preserve">Vzdělávací oblasti. </w:t>
      </w:r>
    </w:p>
    <w:p w:rsidR="000A665A" w:rsidRPr="007A653C" w:rsidRDefault="000A665A" w:rsidP="000A665A">
      <w:pPr>
        <w:pStyle w:val="Nadpis2"/>
        <w:numPr>
          <w:ilvl w:val="0"/>
          <w:numId w:val="4"/>
        </w:numPr>
        <w:ind w:left="810" w:hanging="810"/>
        <w:jc w:val="both"/>
        <w:rPr>
          <w:rFonts w:asciiTheme="majorHAnsi" w:hAnsiTheme="majorHAnsi" w:cs="Constantia"/>
          <w:color w:val="auto"/>
          <w:sz w:val="24"/>
          <w:szCs w:val="24"/>
        </w:rPr>
      </w:pPr>
      <w:r w:rsidRPr="007A653C">
        <w:rPr>
          <w:rFonts w:asciiTheme="majorHAnsi" w:hAnsiTheme="majorHAnsi" w:cs="Constantia"/>
          <w:color w:val="auto"/>
          <w:sz w:val="24"/>
          <w:szCs w:val="24"/>
        </w:rPr>
        <w:t>Vzdělávací obsah v ŠVP.</w:t>
      </w:r>
    </w:p>
    <w:p w:rsidR="000A665A" w:rsidRPr="007A653C" w:rsidRDefault="000A665A" w:rsidP="000A665A">
      <w:pPr>
        <w:pStyle w:val="Nadpis2"/>
        <w:numPr>
          <w:ilvl w:val="0"/>
          <w:numId w:val="4"/>
        </w:numPr>
        <w:ind w:left="810" w:hanging="810"/>
        <w:jc w:val="both"/>
        <w:rPr>
          <w:rFonts w:asciiTheme="majorHAnsi" w:hAnsiTheme="majorHAnsi" w:cs="Constantia"/>
          <w:color w:val="auto"/>
          <w:sz w:val="24"/>
          <w:szCs w:val="24"/>
        </w:rPr>
      </w:pPr>
      <w:r w:rsidRPr="007A653C">
        <w:rPr>
          <w:rFonts w:asciiTheme="majorHAnsi" w:hAnsiTheme="majorHAnsi" w:cs="Constantia"/>
          <w:color w:val="auto"/>
          <w:sz w:val="24"/>
          <w:szCs w:val="24"/>
        </w:rPr>
        <w:t>Podmínky předškolního vzdělávání.</w:t>
      </w:r>
    </w:p>
    <w:p w:rsidR="000A665A" w:rsidRPr="00B56105" w:rsidRDefault="000A665A" w:rsidP="000A665A">
      <w:pPr>
        <w:pStyle w:val="Nadpis2"/>
        <w:numPr>
          <w:ilvl w:val="0"/>
          <w:numId w:val="4"/>
        </w:numPr>
        <w:ind w:left="810" w:hanging="810"/>
        <w:jc w:val="both"/>
        <w:rPr>
          <w:rFonts w:asciiTheme="majorHAnsi" w:hAnsiTheme="majorHAnsi" w:cs="Constantia"/>
          <w:b/>
          <w:color w:val="auto"/>
          <w:sz w:val="24"/>
          <w:szCs w:val="24"/>
        </w:rPr>
      </w:pPr>
      <w:r w:rsidRPr="00B56105">
        <w:rPr>
          <w:rFonts w:asciiTheme="majorHAnsi" w:hAnsiTheme="majorHAnsi" w:cs="Constantia"/>
          <w:b/>
          <w:color w:val="auto"/>
          <w:sz w:val="24"/>
          <w:szCs w:val="24"/>
        </w:rPr>
        <w:t>Vzdělávání dětí se SVP a mimořádně nadaných.</w:t>
      </w:r>
    </w:p>
    <w:p w:rsidR="000A665A" w:rsidRPr="007A653C" w:rsidRDefault="000A665A" w:rsidP="000A665A">
      <w:pPr>
        <w:pStyle w:val="Nadpis2"/>
        <w:numPr>
          <w:ilvl w:val="0"/>
          <w:numId w:val="4"/>
        </w:numPr>
        <w:ind w:left="810" w:hanging="810"/>
        <w:jc w:val="both"/>
        <w:rPr>
          <w:rFonts w:asciiTheme="majorHAnsi" w:hAnsiTheme="majorHAnsi" w:cs="Constantia"/>
          <w:color w:val="auto"/>
          <w:sz w:val="24"/>
          <w:szCs w:val="24"/>
        </w:rPr>
      </w:pPr>
      <w:proofErr w:type="spellStart"/>
      <w:r w:rsidRPr="007A653C">
        <w:rPr>
          <w:rFonts w:asciiTheme="majorHAnsi" w:hAnsiTheme="majorHAnsi" w:cs="Constantia"/>
          <w:color w:val="auto"/>
          <w:sz w:val="24"/>
          <w:szCs w:val="24"/>
        </w:rPr>
        <w:t>Autoevaluace</w:t>
      </w:r>
      <w:proofErr w:type="spellEnd"/>
      <w:r w:rsidRPr="007A653C">
        <w:rPr>
          <w:rFonts w:asciiTheme="majorHAnsi" w:hAnsiTheme="majorHAnsi" w:cs="Constantia"/>
          <w:color w:val="auto"/>
          <w:sz w:val="24"/>
          <w:szCs w:val="24"/>
        </w:rPr>
        <w:t xml:space="preserve"> MŠ a hodnocení dětí.</w:t>
      </w:r>
    </w:p>
    <w:p w:rsidR="000A665A" w:rsidRPr="007A653C" w:rsidRDefault="000A665A" w:rsidP="000A665A">
      <w:pPr>
        <w:pStyle w:val="Nadpis2"/>
        <w:numPr>
          <w:ilvl w:val="0"/>
          <w:numId w:val="4"/>
        </w:numPr>
        <w:ind w:left="810" w:hanging="810"/>
        <w:jc w:val="both"/>
        <w:rPr>
          <w:rFonts w:asciiTheme="majorHAnsi" w:hAnsiTheme="majorHAnsi" w:cs="Constantia"/>
          <w:color w:val="auto"/>
          <w:sz w:val="24"/>
          <w:szCs w:val="24"/>
        </w:rPr>
      </w:pPr>
      <w:r w:rsidRPr="007A653C">
        <w:rPr>
          <w:rFonts w:asciiTheme="majorHAnsi" w:hAnsiTheme="majorHAnsi" w:cs="Constantia"/>
          <w:color w:val="auto"/>
          <w:sz w:val="24"/>
          <w:szCs w:val="24"/>
        </w:rPr>
        <w:t>Zásady pro zpracování ŠVP.</w:t>
      </w:r>
    </w:p>
    <w:p w:rsidR="000A665A" w:rsidRPr="007A653C" w:rsidRDefault="000A665A" w:rsidP="000A665A">
      <w:pPr>
        <w:pStyle w:val="Nadpis2"/>
        <w:numPr>
          <w:ilvl w:val="0"/>
          <w:numId w:val="4"/>
        </w:numPr>
        <w:ind w:left="810" w:hanging="810"/>
        <w:jc w:val="both"/>
        <w:rPr>
          <w:rFonts w:asciiTheme="majorHAnsi" w:hAnsiTheme="majorHAnsi" w:cs="Constantia"/>
          <w:color w:val="auto"/>
          <w:sz w:val="24"/>
          <w:szCs w:val="24"/>
        </w:rPr>
      </w:pPr>
      <w:r w:rsidRPr="007A653C">
        <w:rPr>
          <w:rFonts w:asciiTheme="majorHAnsi" w:hAnsiTheme="majorHAnsi" w:cs="Constantia"/>
          <w:color w:val="auto"/>
          <w:sz w:val="24"/>
          <w:szCs w:val="24"/>
        </w:rPr>
        <w:t>Kritéria souladu RVP PV a ŠVP.</w:t>
      </w:r>
    </w:p>
    <w:p w:rsidR="000A665A" w:rsidRPr="007A653C" w:rsidRDefault="000A665A" w:rsidP="000A665A">
      <w:pPr>
        <w:pStyle w:val="Nadpis2"/>
        <w:numPr>
          <w:ilvl w:val="0"/>
          <w:numId w:val="4"/>
        </w:numPr>
        <w:ind w:left="810" w:hanging="810"/>
        <w:jc w:val="both"/>
        <w:rPr>
          <w:rFonts w:asciiTheme="majorHAnsi" w:hAnsiTheme="majorHAnsi" w:cs="Constantia"/>
          <w:color w:val="auto"/>
          <w:sz w:val="24"/>
          <w:szCs w:val="24"/>
        </w:rPr>
      </w:pPr>
      <w:r w:rsidRPr="007A653C">
        <w:rPr>
          <w:rFonts w:asciiTheme="majorHAnsi" w:hAnsiTheme="majorHAnsi" w:cs="Constantia"/>
          <w:color w:val="auto"/>
          <w:sz w:val="24"/>
          <w:szCs w:val="24"/>
        </w:rPr>
        <w:t>Povinnosti předškolního pedagoga.</w:t>
      </w:r>
    </w:p>
    <w:p w:rsidR="000A665A" w:rsidRPr="007A653C" w:rsidRDefault="000A665A" w:rsidP="000A665A">
      <w:pPr>
        <w:pStyle w:val="Nadpis2"/>
        <w:ind w:left="810" w:hanging="810"/>
        <w:jc w:val="both"/>
        <w:rPr>
          <w:rFonts w:asciiTheme="majorHAnsi" w:hAnsiTheme="majorHAnsi" w:cs="Constantia"/>
          <w:color w:val="auto"/>
          <w:sz w:val="24"/>
          <w:szCs w:val="24"/>
        </w:rPr>
      </w:pPr>
    </w:p>
    <w:p w:rsidR="000A665A" w:rsidRPr="00B56105" w:rsidRDefault="000A665A" w:rsidP="000A665A">
      <w:pPr>
        <w:pStyle w:val="Nadpis1"/>
        <w:ind w:left="0" w:firstLine="0"/>
        <w:rPr>
          <w:rFonts w:asciiTheme="majorHAnsi" w:hAnsiTheme="majorHAnsi" w:cs="Verdana"/>
          <w:b/>
          <w:color w:val="auto"/>
          <w:sz w:val="24"/>
          <w:szCs w:val="24"/>
        </w:rPr>
      </w:pPr>
      <w:r w:rsidRPr="00B56105">
        <w:rPr>
          <w:rFonts w:asciiTheme="majorHAnsi" w:hAnsiTheme="majorHAnsi" w:cs="Verdana"/>
          <w:b/>
          <w:color w:val="auto"/>
          <w:sz w:val="24"/>
          <w:szCs w:val="24"/>
        </w:rPr>
        <w:t>Cíle předškolního vzdělávání:</w:t>
      </w:r>
    </w:p>
    <w:p w:rsidR="000A665A" w:rsidRPr="00B56105" w:rsidRDefault="000A665A" w:rsidP="00B56105">
      <w:pPr>
        <w:pStyle w:val="Nadpis2"/>
        <w:numPr>
          <w:ilvl w:val="0"/>
          <w:numId w:val="4"/>
        </w:numPr>
        <w:ind w:left="810" w:hanging="810"/>
        <w:jc w:val="both"/>
        <w:rPr>
          <w:rFonts w:asciiTheme="majorHAnsi" w:hAnsiTheme="majorHAnsi" w:cs="Constantia"/>
          <w:color w:val="auto"/>
          <w:sz w:val="24"/>
          <w:szCs w:val="24"/>
        </w:rPr>
      </w:pPr>
      <w:r w:rsidRPr="007A653C">
        <w:rPr>
          <w:rFonts w:asciiTheme="majorHAnsi" w:hAnsiTheme="majorHAnsi" w:cs="Constantia"/>
          <w:b/>
          <w:bCs/>
          <w:color w:val="auto"/>
          <w:sz w:val="24"/>
          <w:szCs w:val="24"/>
        </w:rPr>
        <w:t xml:space="preserve">Rámcové cíle </w:t>
      </w:r>
      <w:r w:rsidRPr="007A653C">
        <w:rPr>
          <w:rFonts w:asciiTheme="majorHAnsi" w:hAnsiTheme="majorHAnsi" w:cs="Constantia"/>
          <w:color w:val="auto"/>
          <w:sz w:val="24"/>
          <w:szCs w:val="24"/>
        </w:rPr>
        <w:t>– vyjadřují univerzální záměry předškolního vzdělávání.</w:t>
      </w:r>
    </w:p>
    <w:p w:rsidR="000A665A" w:rsidRPr="00B56105" w:rsidRDefault="000A665A" w:rsidP="00B56105">
      <w:pPr>
        <w:pStyle w:val="Nadpis2"/>
        <w:numPr>
          <w:ilvl w:val="0"/>
          <w:numId w:val="4"/>
        </w:numPr>
        <w:ind w:left="810" w:hanging="810"/>
        <w:jc w:val="both"/>
        <w:rPr>
          <w:rFonts w:asciiTheme="majorHAnsi" w:hAnsiTheme="majorHAnsi" w:cs="Constantia"/>
          <w:color w:val="auto"/>
          <w:sz w:val="24"/>
          <w:szCs w:val="24"/>
        </w:rPr>
      </w:pPr>
      <w:r w:rsidRPr="007A653C">
        <w:rPr>
          <w:rFonts w:asciiTheme="majorHAnsi" w:hAnsiTheme="majorHAnsi" w:cs="Constantia"/>
          <w:b/>
          <w:bCs/>
          <w:color w:val="auto"/>
          <w:sz w:val="24"/>
          <w:szCs w:val="24"/>
        </w:rPr>
        <w:t xml:space="preserve">Klíčové kompetence </w:t>
      </w:r>
      <w:r w:rsidRPr="007A653C">
        <w:rPr>
          <w:rFonts w:asciiTheme="majorHAnsi" w:hAnsiTheme="majorHAnsi" w:cs="Constantia"/>
          <w:color w:val="auto"/>
          <w:sz w:val="24"/>
          <w:szCs w:val="24"/>
        </w:rPr>
        <w:t>– představují výstupy, respektive obecnější způsobilosti, dosažitelné v předškolním vzdělávání.</w:t>
      </w:r>
    </w:p>
    <w:p w:rsidR="000A665A" w:rsidRPr="00B56105" w:rsidRDefault="000A665A" w:rsidP="00B56105">
      <w:pPr>
        <w:pStyle w:val="Nadpis2"/>
        <w:numPr>
          <w:ilvl w:val="0"/>
          <w:numId w:val="4"/>
        </w:numPr>
        <w:ind w:left="810" w:hanging="810"/>
        <w:jc w:val="both"/>
        <w:rPr>
          <w:rFonts w:asciiTheme="majorHAnsi" w:hAnsiTheme="majorHAnsi" w:cs="Constantia"/>
          <w:color w:val="auto"/>
          <w:sz w:val="24"/>
          <w:szCs w:val="24"/>
        </w:rPr>
      </w:pPr>
      <w:r w:rsidRPr="007A653C">
        <w:rPr>
          <w:rFonts w:asciiTheme="majorHAnsi" w:hAnsiTheme="majorHAnsi" w:cs="Constantia"/>
          <w:b/>
          <w:bCs/>
          <w:color w:val="auto"/>
          <w:sz w:val="24"/>
          <w:szCs w:val="24"/>
        </w:rPr>
        <w:t xml:space="preserve">Dílčí cíle </w:t>
      </w:r>
      <w:r w:rsidRPr="007A653C">
        <w:rPr>
          <w:rFonts w:asciiTheme="majorHAnsi" w:hAnsiTheme="majorHAnsi" w:cs="Constantia"/>
          <w:color w:val="auto"/>
          <w:sz w:val="24"/>
          <w:szCs w:val="24"/>
        </w:rPr>
        <w:t>– vyjadřují konkrétní záměry, příslušející té které vzdělávací oblasti.</w:t>
      </w:r>
    </w:p>
    <w:p w:rsidR="000A665A" w:rsidRPr="00B56105" w:rsidRDefault="000A665A" w:rsidP="00B56105">
      <w:pPr>
        <w:pStyle w:val="Nadpis2"/>
        <w:numPr>
          <w:ilvl w:val="0"/>
          <w:numId w:val="4"/>
        </w:numPr>
        <w:ind w:left="810" w:hanging="810"/>
        <w:jc w:val="both"/>
        <w:rPr>
          <w:rFonts w:asciiTheme="majorHAnsi" w:hAnsiTheme="majorHAnsi" w:cs="Constantia"/>
          <w:color w:val="auto"/>
          <w:sz w:val="24"/>
          <w:szCs w:val="24"/>
        </w:rPr>
      </w:pPr>
      <w:r w:rsidRPr="007A653C">
        <w:rPr>
          <w:rFonts w:asciiTheme="majorHAnsi" w:hAnsiTheme="majorHAnsi" w:cs="Constantia"/>
          <w:b/>
          <w:bCs/>
          <w:color w:val="auto"/>
          <w:sz w:val="24"/>
          <w:szCs w:val="24"/>
        </w:rPr>
        <w:t xml:space="preserve">Dílčí výstupy </w:t>
      </w:r>
      <w:r w:rsidRPr="007A653C">
        <w:rPr>
          <w:rFonts w:asciiTheme="majorHAnsi" w:hAnsiTheme="majorHAnsi" w:cs="Constantia"/>
          <w:color w:val="auto"/>
          <w:sz w:val="24"/>
          <w:szCs w:val="24"/>
        </w:rPr>
        <w:t xml:space="preserve">– dílčí poznatky, dovednosti, postoje a hodnoty, které dílčím cílům </w:t>
      </w:r>
      <w:r w:rsidRPr="007A653C">
        <w:rPr>
          <w:rFonts w:asciiTheme="majorHAnsi" w:hAnsiTheme="majorHAnsi" w:cs="Constantia"/>
          <w:color w:val="auto"/>
          <w:sz w:val="24"/>
          <w:szCs w:val="24"/>
        </w:rPr>
        <w:lastRenderedPageBreak/>
        <w:t>odpovídají.</w:t>
      </w:r>
    </w:p>
    <w:p w:rsidR="000A665A" w:rsidRDefault="000A665A" w:rsidP="000A665A">
      <w:pPr>
        <w:rPr>
          <w:rFonts w:asciiTheme="majorHAnsi" w:hAnsiTheme="majorHAnsi" w:cs="Constantia"/>
          <w:b/>
          <w:bCs/>
          <w:sz w:val="24"/>
          <w:szCs w:val="24"/>
        </w:rPr>
      </w:pPr>
    </w:p>
    <w:p w:rsidR="000A665A" w:rsidRDefault="000A665A" w:rsidP="000A665A">
      <w:r w:rsidRPr="000A665A">
        <w:drawing>
          <wp:inline distT="0" distB="0" distL="0" distR="0" wp14:anchorId="26CE4682" wp14:editId="5273B281">
            <wp:extent cx="5760720" cy="4544391"/>
            <wp:effectExtent l="0" t="0" r="0" b="8890"/>
            <wp:docPr id="112643" name="Picture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43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36" t="10866" r="14659" b="3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4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56105" w:rsidRPr="00B56105" w:rsidRDefault="00B56105" w:rsidP="00B56105">
      <w:pPr>
        <w:rPr>
          <w:rFonts w:asciiTheme="majorHAnsi" w:hAnsiTheme="majorHAnsi"/>
          <w:b/>
          <w:sz w:val="28"/>
          <w:szCs w:val="28"/>
        </w:rPr>
      </w:pPr>
      <w:r w:rsidRPr="00B56105">
        <w:rPr>
          <w:rFonts w:asciiTheme="majorHAnsi" w:hAnsiTheme="majorHAnsi"/>
          <w:b/>
          <w:sz w:val="28"/>
          <w:szCs w:val="28"/>
        </w:rPr>
        <w:t>Vzdělávací obsah:</w:t>
      </w:r>
    </w:p>
    <w:p w:rsidR="00000000" w:rsidRPr="00B56105" w:rsidRDefault="00B56105" w:rsidP="00B56105">
      <w:pPr>
        <w:numPr>
          <w:ilvl w:val="0"/>
          <w:numId w:val="7"/>
        </w:numPr>
        <w:rPr>
          <w:rFonts w:asciiTheme="majorHAnsi" w:hAnsiTheme="majorHAnsi" w:cs="Constantia"/>
          <w:kern w:val="24"/>
          <w:sz w:val="24"/>
          <w:szCs w:val="24"/>
        </w:rPr>
      </w:pPr>
      <w:r w:rsidRPr="00B56105">
        <w:rPr>
          <w:rFonts w:asciiTheme="majorHAnsi" w:hAnsiTheme="majorHAnsi" w:cs="Constantia"/>
          <w:kern w:val="24"/>
          <w:sz w:val="24"/>
          <w:szCs w:val="24"/>
        </w:rPr>
        <w:t>Učivo</w:t>
      </w:r>
    </w:p>
    <w:p w:rsidR="00000000" w:rsidRPr="00B56105" w:rsidRDefault="00B56105" w:rsidP="00B56105">
      <w:pPr>
        <w:numPr>
          <w:ilvl w:val="0"/>
          <w:numId w:val="7"/>
        </w:numPr>
        <w:rPr>
          <w:rFonts w:asciiTheme="majorHAnsi" w:hAnsiTheme="majorHAnsi" w:cs="Constantia"/>
          <w:kern w:val="24"/>
          <w:sz w:val="24"/>
          <w:szCs w:val="24"/>
        </w:rPr>
      </w:pPr>
      <w:r w:rsidRPr="00B56105">
        <w:rPr>
          <w:rFonts w:asciiTheme="majorHAnsi" w:hAnsiTheme="majorHAnsi" w:cs="Constantia"/>
          <w:kern w:val="24"/>
          <w:sz w:val="24"/>
          <w:szCs w:val="24"/>
        </w:rPr>
        <w:t xml:space="preserve">Očekávané výstupy </w:t>
      </w:r>
      <w:r w:rsidRPr="00B56105">
        <w:rPr>
          <w:rFonts w:asciiTheme="majorHAnsi" w:hAnsiTheme="majorHAnsi" w:cs="Constantia"/>
          <w:kern w:val="24"/>
          <w:sz w:val="24"/>
          <w:szCs w:val="24"/>
        </w:rPr>
        <w:t>(co dítě na konci období zpravidla dokáže)</w:t>
      </w:r>
    </w:p>
    <w:p w:rsidR="00000000" w:rsidRPr="00B56105" w:rsidRDefault="00B56105" w:rsidP="00B56105">
      <w:pPr>
        <w:numPr>
          <w:ilvl w:val="0"/>
          <w:numId w:val="8"/>
        </w:numPr>
        <w:rPr>
          <w:rFonts w:asciiTheme="majorHAnsi" w:hAnsiTheme="majorHAnsi" w:cs="Constantia"/>
          <w:b/>
          <w:kern w:val="24"/>
          <w:sz w:val="24"/>
          <w:szCs w:val="24"/>
        </w:rPr>
      </w:pPr>
      <w:r w:rsidRPr="00B56105">
        <w:rPr>
          <w:rFonts w:asciiTheme="majorHAnsi" w:hAnsiTheme="majorHAnsi" w:cs="Constantia"/>
          <w:b/>
          <w:kern w:val="24"/>
          <w:sz w:val="24"/>
          <w:szCs w:val="24"/>
        </w:rPr>
        <w:t>Dítě a jeh</w:t>
      </w:r>
      <w:bookmarkStart w:id="0" w:name="_GoBack"/>
      <w:bookmarkEnd w:id="0"/>
      <w:r w:rsidRPr="00B56105">
        <w:rPr>
          <w:rFonts w:asciiTheme="majorHAnsi" w:hAnsiTheme="majorHAnsi" w:cs="Constantia"/>
          <w:b/>
          <w:kern w:val="24"/>
          <w:sz w:val="24"/>
          <w:szCs w:val="24"/>
        </w:rPr>
        <w:t xml:space="preserve">o tělo. </w:t>
      </w:r>
    </w:p>
    <w:p w:rsidR="00000000" w:rsidRPr="00B56105" w:rsidRDefault="00B56105" w:rsidP="00B56105">
      <w:pPr>
        <w:numPr>
          <w:ilvl w:val="0"/>
          <w:numId w:val="8"/>
        </w:numPr>
        <w:rPr>
          <w:rFonts w:asciiTheme="majorHAnsi" w:hAnsiTheme="majorHAnsi" w:cs="Constantia"/>
          <w:b/>
          <w:kern w:val="24"/>
          <w:sz w:val="24"/>
          <w:szCs w:val="24"/>
        </w:rPr>
      </w:pPr>
      <w:r w:rsidRPr="00B56105">
        <w:rPr>
          <w:rFonts w:asciiTheme="majorHAnsi" w:hAnsiTheme="majorHAnsi" w:cs="Constantia"/>
          <w:b/>
          <w:kern w:val="24"/>
          <w:sz w:val="24"/>
          <w:szCs w:val="24"/>
        </w:rPr>
        <w:t xml:space="preserve">Dítě a jeho psychika. </w:t>
      </w:r>
    </w:p>
    <w:p w:rsidR="00000000" w:rsidRPr="00B56105" w:rsidRDefault="00B56105" w:rsidP="00B56105">
      <w:pPr>
        <w:numPr>
          <w:ilvl w:val="0"/>
          <w:numId w:val="8"/>
        </w:numPr>
        <w:rPr>
          <w:rFonts w:asciiTheme="majorHAnsi" w:hAnsiTheme="majorHAnsi" w:cs="Constantia"/>
          <w:b/>
          <w:kern w:val="24"/>
          <w:sz w:val="24"/>
          <w:szCs w:val="24"/>
        </w:rPr>
      </w:pPr>
      <w:r w:rsidRPr="00B56105">
        <w:rPr>
          <w:rFonts w:asciiTheme="majorHAnsi" w:hAnsiTheme="majorHAnsi" w:cs="Constantia"/>
          <w:b/>
          <w:kern w:val="24"/>
          <w:sz w:val="24"/>
          <w:szCs w:val="24"/>
        </w:rPr>
        <w:t xml:space="preserve">Dítě a ten druhý. </w:t>
      </w:r>
    </w:p>
    <w:p w:rsidR="00000000" w:rsidRPr="00B56105" w:rsidRDefault="00B56105" w:rsidP="00B56105">
      <w:pPr>
        <w:numPr>
          <w:ilvl w:val="0"/>
          <w:numId w:val="8"/>
        </w:numPr>
        <w:rPr>
          <w:rFonts w:asciiTheme="majorHAnsi" w:hAnsiTheme="majorHAnsi" w:cs="Constantia"/>
          <w:b/>
          <w:kern w:val="24"/>
          <w:sz w:val="24"/>
          <w:szCs w:val="24"/>
        </w:rPr>
      </w:pPr>
      <w:r w:rsidRPr="00B56105">
        <w:rPr>
          <w:rFonts w:asciiTheme="majorHAnsi" w:hAnsiTheme="majorHAnsi" w:cs="Constantia"/>
          <w:b/>
          <w:kern w:val="24"/>
          <w:sz w:val="24"/>
          <w:szCs w:val="24"/>
        </w:rPr>
        <w:t xml:space="preserve">Dítě a společnost. </w:t>
      </w:r>
    </w:p>
    <w:p w:rsidR="00000000" w:rsidRPr="00B56105" w:rsidRDefault="00B56105" w:rsidP="00B56105">
      <w:pPr>
        <w:numPr>
          <w:ilvl w:val="0"/>
          <w:numId w:val="8"/>
        </w:numPr>
        <w:rPr>
          <w:rFonts w:asciiTheme="majorHAnsi" w:hAnsiTheme="majorHAnsi" w:cs="Constantia"/>
          <w:b/>
          <w:kern w:val="24"/>
          <w:sz w:val="24"/>
          <w:szCs w:val="24"/>
        </w:rPr>
      </w:pPr>
      <w:r w:rsidRPr="00B56105">
        <w:rPr>
          <w:rFonts w:asciiTheme="majorHAnsi" w:hAnsiTheme="majorHAnsi" w:cs="Constantia"/>
          <w:b/>
          <w:kern w:val="24"/>
          <w:sz w:val="24"/>
          <w:szCs w:val="24"/>
        </w:rPr>
        <w:t>Dítě a svět.</w:t>
      </w:r>
    </w:p>
    <w:p w:rsidR="00B56105" w:rsidRDefault="00B56105" w:rsidP="000A665A"/>
    <w:sectPr w:rsidR="00B56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Scrip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86C0DE"/>
    <w:lvl w:ilvl="0">
      <w:numFmt w:val="bullet"/>
      <w:lvlText w:val="*"/>
      <w:lvlJc w:val="left"/>
    </w:lvl>
  </w:abstractNum>
  <w:abstractNum w:abstractNumId="1">
    <w:nsid w:val="1CF64E17"/>
    <w:multiLevelType w:val="hybridMultilevel"/>
    <w:tmpl w:val="381CD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7479D"/>
    <w:multiLevelType w:val="hybridMultilevel"/>
    <w:tmpl w:val="0BF079A8"/>
    <w:lvl w:ilvl="0" w:tplc="9DBA7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32C0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A1B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FA0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7058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45F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2A2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A24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3E4A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B12432"/>
    <w:multiLevelType w:val="hybridMultilevel"/>
    <w:tmpl w:val="B4F223AC"/>
    <w:lvl w:ilvl="0" w:tplc="F01E5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FC51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729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FCB1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9E8B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824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94F5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C627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1ADD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24"/>
          <w:szCs w:val="24"/>
        </w:rPr>
      </w:lvl>
    </w:lvlOverride>
  </w:num>
  <w:num w:numId="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2"/>
        </w:rPr>
      </w:lvl>
    </w:lvlOverride>
  </w:num>
  <w:num w:numId="3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42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onstantia" w:hAnsi="Constantia" w:hint="default"/>
          <w:sz w:val="42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onstantia" w:hAnsi="Constantia" w:hint="default"/>
          <w:sz w:val="53"/>
        </w:rPr>
      </w:lvl>
    </w:lvlOverride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1D"/>
    <w:rsid w:val="000A665A"/>
    <w:rsid w:val="00642E78"/>
    <w:rsid w:val="006A1A1D"/>
    <w:rsid w:val="00B5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665A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A665A"/>
    <w:pPr>
      <w:widowControl w:val="0"/>
      <w:autoSpaceDE w:val="0"/>
      <w:autoSpaceDN w:val="0"/>
      <w:adjustRightInd w:val="0"/>
      <w:spacing w:after="0" w:line="240" w:lineRule="auto"/>
      <w:ind w:left="430" w:hanging="430"/>
      <w:outlineLvl w:val="0"/>
    </w:pPr>
    <w:rPr>
      <w:rFonts w:ascii="Times New Roman" w:hAnsi="Times New Roman" w:cs="Times New Roman"/>
      <w:color w:val="000000"/>
      <w:kern w:val="24"/>
      <w:sz w:val="52"/>
      <w:szCs w:val="52"/>
    </w:rPr>
  </w:style>
  <w:style w:type="paragraph" w:styleId="Nadpis2">
    <w:name w:val="heading 2"/>
    <w:basedOn w:val="Normln"/>
    <w:next w:val="Normln"/>
    <w:link w:val="Nadpis2Char"/>
    <w:uiPriority w:val="99"/>
    <w:qFormat/>
    <w:rsid w:val="000A665A"/>
    <w:pPr>
      <w:widowControl w:val="0"/>
      <w:autoSpaceDE w:val="0"/>
      <w:autoSpaceDN w:val="0"/>
      <w:adjustRightInd w:val="0"/>
      <w:spacing w:after="0" w:line="240" w:lineRule="auto"/>
      <w:ind w:left="1008" w:hanging="388"/>
      <w:outlineLvl w:val="1"/>
    </w:pPr>
    <w:rPr>
      <w:rFonts w:ascii="Times New Roman" w:hAnsi="Times New Roman" w:cs="Times New Roman"/>
      <w:color w:val="000000"/>
      <w:kern w:val="24"/>
      <w:sz w:val="48"/>
      <w:szCs w:val="4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665A"/>
    <w:rPr>
      <w:rFonts w:ascii="Times New Roman" w:eastAsiaTheme="minorEastAsia" w:hAnsi="Times New Roman" w:cs="Times New Roman"/>
      <w:color w:val="000000"/>
      <w:kern w:val="24"/>
      <w:sz w:val="52"/>
      <w:szCs w:val="5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0A665A"/>
    <w:rPr>
      <w:rFonts w:ascii="Times New Roman" w:eastAsiaTheme="minorEastAsia" w:hAnsi="Times New Roman" w:cs="Times New Roman"/>
      <w:color w:val="000000"/>
      <w:kern w:val="24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65A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A6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665A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A665A"/>
    <w:pPr>
      <w:widowControl w:val="0"/>
      <w:autoSpaceDE w:val="0"/>
      <w:autoSpaceDN w:val="0"/>
      <w:adjustRightInd w:val="0"/>
      <w:spacing w:after="0" w:line="240" w:lineRule="auto"/>
      <w:ind w:left="430" w:hanging="430"/>
      <w:outlineLvl w:val="0"/>
    </w:pPr>
    <w:rPr>
      <w:rFonts w:ascii="Times New Roman" w:hAnsi="Times New Roman" w:cs="Times New Roman"/>
      <w:color w:val="000000"/>
      <w:kern w:val="24"/>
      <w:sz w:val="52"/>
      <w:szCs w:val="52"/>
    </w:rPr>
  </w:style>
  <w:style w:type="paragraph" w:styleId="Nadpis2">
    <w:name w:val="heading 2"/>
    <w:basedOn w:val="Normln"/>
    <w:next w:val="Normln"/>
    <w:link w:val="Nadpis2Char"/>
    <w:uiPriority w:val="99"/>
    <w:qFormat/>
    <w:rsid w:val="000A665A"/>
    <w:pPr>
      <w:widowControl w:val="0"/>
      <w:autoSpaceDE w:val="0"/>
      <w:autoSpaceDN w:val="0"/>
      <w:adjustRightInd w:val="0"/>
      <w:spacing w:after="0" w:line="240" w:lineRule="auto"/>
      <w:ind w:left="1008" w:hanging="388"/>
      <w:outlineLvl w:val="1"/>
    </w:pPr>
    <w:rPr>
      <w:rFonts w:ascii="Times New Roman" w:hAnsi="Times New Roman" w:cs="Times New Roman"/>
      <w:color w:val="000000"/>
      <w:kern w:val="24"/>
      <w:sz w:val="48"/>
      <w:szCs w:val="4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665A"/>
    <w:rPr>
      <w:rFonts w:ascii="Times New Roman" w:eastAsiaTheme="minorEastAsia" w:hAnsi="Times New Roman" w:cs="Times New Roman"/>
      <w:color w:val="000000"/>
      <w:kern w:val="24"/>
      <w:sz w:val="52"/>
      <w:szCs w:val="5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0A665A"/>
    <w:rPr>
      <w:rFonts w:ascii="Times New Roman" w:eastAsiaTheme="minorEastAsia" w:hAnsi="Times New Roman" w:cs="Times New Roman"/>
      <w:color w:val="000000"/>
      <w:kern w:val="24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65A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A6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087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7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0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90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56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2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29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Janca_Notebook</dc:creator>
  <cp:keywords/>
  <dc:description/>
  <cp:lastModifiedBy>Janca_Notebook</cp:lastModifiedBy>
  <cp:revision>2</cp:revision>
  <dcterms:created xsi:type="dcterms:W3CDTF">2013-03-21T16:56:00Z</dcterms:created>
  <dcterms:modified xsi:type="dcterms:W3CDTF">2013-03-21T19:28:00Z</dcterms:modified>
</cp:coreProperties>
</file>