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2F" w:rsidRPr="007A182F" w:rsidRDefault="0041281F" w:rsidP="007A182F">
      <w:pPr>
        <w:pStyle w:val="Nadpis1"/>
        <w:ind w:left="0" w:firstLine="0"/>
        <w:jc w:val="center"/>
        <w:rPr>
          <w:rFonts w:asciiTheme="majorHAnsi" w:hAnsiTheme="majorHAnsi" w:cs="Calibri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182F">
        <w:rPr>
          <w:rFonts w:asciiTheme="majorHAnsi" w:hAnsiTheme="majorHAnsi" w:cs="Segoe Script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Legislativa týkající se školské problematiky vzdělávání žáků s</w:t>
      </w:r>
      <w:r w:rsidR="007A182F" w:rsidRPr="007A182F">
        <w:rPr>
          <w:rFonts w:asciiTheme="majorHAnsi" w:hAnsiTheme="majorHAnsi" w:cs="Segoe Script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7A182F">
        <w:rPr>
          <w:rFonts w:asciiTheme="majorHAnsi" w:hAnsiTheme="majorHAnsi" w:cs="Segoe Script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LMP</w:t>
      </w:r>
    </w:p>
    <w:p w:rsidR="0041281F" w:rsidRPr="007A182F" w:rsidRDefault="007A182F" w:rsidP="007A182F">
      <w:pPr>
        <w:pStyle w:val="Nadpis1"/>
        <w:ind w:left="0" w:firstLine="0"/>
        <w:jc w:val="center"/>
        <w:rPr>
          <w:rFonts w:asciiTheme="majorHAnsi" w:hAnsiTheme="majorHAnsi" w:cs="Verdana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="Segoe Script"/>
          <w:b/>
          <w:bCs/>
          <w:color w:val="auto"/>
          <w:sz w:val="28"/>
          <w:szCs w:val="28"/>
        </w:rPr>
        <w:t>(</w:t>
      </w:r>
      <w:r w:rsidR="0041281F" w:rsidRPr="007A182F">
        <w:rPr>
          <w:rFonts w:asciiTheme="majorHAnsi" w:hAnsiTheme="majorHAnsi" w:cs="Segoe Script"/>
          <w:b/>
          <w:bCs/>
          <w:color w:val="auto"/>
          <w:sz w:val="28"/>
          <w:szCs w:val="28"/>
        </w:rPr>
        <w:t>Školský zákon,</w:t>
      </w:r>
      <w:r>
        <w:rPr>
          <w:rFonts w:asciiTheme="majorHAnsi" w:hAnsiTheme="majorHAnsi" w:cs="Segoe Script"/>
          <w:b/>
          <w:bCs/>
          <w:color w:val="auto"/>
          <w:sz w:val="28"/>
          <w:szCs w:val="28"/>
        </w:rPr>
        <w:t xml:space="preserve"> </w:t>
      </w:r>
      <w:r w:rsidR="0041281F" w:rsidRPr="007A182F">
        <w:rPr>
          <w:rFonts w:asciiTheme="majorHAnsi" w:hAnsiTheme="majorHAnsi" w:cs="Segoe Script"/>
          <w:b/>
          <w:bCs/>
          <w:color w:val="auto"/>
          <w:sz w:val="28"/>
          <w:szCs w:val="28"/>
        </w:rPr>
        <w:t>vyhlášky</w:t>
      </w:r>
      <w:r>
        <w:rPr>
          <w:rFonts w:asciiTheme="majorHAnsi" w:hAnsiTheme="majorHAnsi" w:cs="Segoe Script"/>
          <w:b/>
          <w:bCs/>
          <w:color w:val="auto"/>
          <w:sz w:val="28"/>
          <w:szCs w:val="28"/>
        </w:rPr>
        <w:t>)</w:t>
      </w:r>
    </w:p>
    <w:p w:rsidR="0041281F" w:rsidRPr="00203813" w:rsidRDefault="0041281F" w:rsidP="0041281F">
      <w:pPr>
        <w:pStyle w:val="Nadpis2"/>
        <w:ind w:left="0" w:firstLine="0"/>
        <w:jc w:val="right"/>
        <w:rPr>
          <w:rFonts w:asciiTheme="majorHAnsi" w:hAnsiTheme="majorHAnsi" w:cs="Constantia"/>
          <w:b/>
          <w:bCs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ind w:left="0" w:firstLine="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>Zákon č. 561/2004 Sb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.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, o předškolním, základním, středním, vyšším odborném a jiném vzdělávání (školský zákon), ze dne 24. září 2004, účinný od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br/>
        <w:t xml:space="preserve">1. ledna 2005. </w:t>
      </w:r>
    </w:p>
    <w:p w:rsidR="0041281F" w:rsidRPr="00203813" w:rsidRDefault="0041281F" w:rsidP="007A182F">
      <w:pPr>
        <w:pStyle w:val="Nadpis2"/>
        <w:ind w:left="0" w:firstLine="0"/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</w:pPr>
      <w:proofErr w:type="gramStart"/>
      <w:r w:rsidRPr="00203813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>Novela :</w:t>
      </w:r>
      <w:proofErr w:type="gramEnd"/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Zákon č. 49/2009 Sb., kterým se mění zákon č. 561/2004 Sb., zákon č. 472/2011 Sb.</w:t>
      </w: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podstatná část zákona č. 49/2009 Sb. nabývá účinnosti dnem 5. března 2009.</w:t>
      </w: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podstatná část zákona č. 472/2011 Sb. nabývá účinnosti dnem 1. ledna 2012.</w:t>
      </w:r>
    </w:p>
    <w:p w:rsidR="0041281F" w:rsidRPr="00203813" w:rsidRDefault="0041281F" w:rsidP="0041281F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ind w:left="0" w:firstLine="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Vyhláška č. 72/2005 Sb.,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o poskytování poradenských služeb ve školách a školských poradenských zařízeních, účinná dnem vyhlášení 9. února 2005.</w:t>
      </w:r>
    </w:p>
    <w:p w:rsidR="0041281F" w:rsidRPr="007A182F" w:rsidRDefault="0041281F" w:rsidP="007A182F">
      <w:pPr>
        <w:pStyle w:val="Nadpis2"/>
        <w:ind w:left="0" w:firstLine="0"/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>Novela:</w:t>
      </w:r>
      <w:r w:rsidR="007A182F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 xml:space="preserve">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Vyhláška č. 116/2011 Sb.,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o poskytování služeb ve školách a školských poradenských zařízeních. Účinná od 1. září 2011.</w:t>
      </w:r>
    </w:p>
    <w:p w:rsidR="0041281F" w:rsidRPr="00203813" w:rsidRDefault="0041281F" w:rsidP="0041281F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ind w:left="0" w:firstLine="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Vyhláška č. 73/2005 Sb.,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o vzdělávání dětí, žáků a studentů se speciálními vzdělávacími potřebami a dětí, žáků a studentů mimořádně nadaných, účinná dnem vyhlášení 9. února 2005.</w:t>
      </w:r>
    </w:p>
    <w:p w:rsidR="0041281F" w:rsidRPr="007A182F" w:rsidRDefault="0041281F" w:rsidP="007A182F">
      <w:pPr>
        <w:pStyle w:val="Nadpis2"/>
        <w:ind w:left="0" w:firstLine="0"/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>Novela:</w:t>
      </w:r>
      <w:r w:rsidR="007A182F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 xml:space="preserve">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Vyhláška č. 147/2011 Sb.,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o vzdělávání dětí, žáků a studentů se speciálními vzdělávacími potřebami a dětí, žáků a studentů mimořádně nadaných. Ze dne 25. května 2011. Účinná od 1. září 2011.</w:t>
      </w:r>
    </w:p>
    <w:p w:rsidR="0041281F" w:rsidRDefault="0041281F" w:rsidP="0041281F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7A182F" w:rsidRPr="007A182F" w:rsidRDefault="007A182F" w:rsidP="007A182F">
      <w:pPr>
        <w:rPr>
          <w:lang w:eastAsia="cs-CZ"/>
        </w:rPr>
      </w:pPr>
    </w:p>
    <w:p w:rsidR="0041281F" w:rsidRPr="007A182F" w:rsidRDefault="0041281F" w:rsidP="0041281F">
      <w:pPr>
        <w:pStyle w:val="Nadpis1"/>
        <w:ind w:left="0" w:firstLine="0"/>
        <w:rPr>
          <w:rFonts w:asciiTheme="majorHAnsi" w:hAnsiTheme="majorHAnsi" w:cs="Verdana"/>
          <w:b/>
          <w:color w:val="auto"/>
          <w:sz w:val="28"/>
          <w:szCs w:val="28"/>
        </w:rPr>
      </w:pPr>
      <w:r w:rsidRPr="007A182F">
        <w:rPr>
          <w:rFonts w:asciiTheme="majorHAnsi" w:hAnsiTheme="majorHAnsi" w:cs="Verdana"/>
          <w:b/>
          <w:color w:val="auto"/>
          <w:sz w:val="28"/>
          <w:szCs w:val="28"/>
        </w:rPr>
        <w:t>Legislativní vymezení</w:t>
      </w:r>
    </w:p>
    <w:p w:rsidR="0041281F" w:rsidRPr="00203813" w:rsidRDefault="0041281F" w:rsidP="0041281F">
      <w:pPr>
        <w:pStyle w:val="Nadpis2"/>
        <w:numPr>
          <w:ilvl w:val="0"/>
          <w:numId w:val="10"/>
        </w:numPr>
        <w:ind w:left="432" w:hanging="432"/>
        <w:jc w:val="both"/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>Zákon č. 561/2004 Sb., o předškolním, základním, středním, vyšším odborném a jiném vzdělávání (školský zákon), novela č. 49/2009:</w:t>
      </w:r>
    </w:p>
    <w:p w:rsidR="0041281F" w:rsidRPr="00203813" w:rsidRDefault="0041281F" w:rsidP="0041281F">
      <w:pPr>
        <w:pStyle w:val="Nadpis2"/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2 Zásady a cíle vzdělávání.</w:t>
      </w: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3 Vzdělávací programy.</w:t>
      </w: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4 Rámcové vzdělávací programy.</w:t>
      </w: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5 Školní vzdělávací programy.</w:t>
      </w: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7 Vzdělávací soustava, školy a školská zařízení (novela).</w:t>
      </w: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14 Vzdělávání příslušníků národnostních menšin.</w:t>
      </w:r>
    </w:p>
    <w:p w:rsidR="0041281F" w:rsidRPr="007A182F" w:rsidRDefault="0041281F" w:rsidP="007A182F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§ 16 Vzdělávání dětí, žáků a studentů se speciálními vzdělávacími potřebami (novela).</w:t>
      </w:r>
    </w:p>
    <w:p w:rsidR="0041281F" w:rsidRPr="00203813" w:rsidRDefault="0041281F" w:rsidP="0041281F">
      <w:pPr>
        <w:pStyle w:val="Nadpis2"/>
        <w:numPr>
          <w:ilvl w:val="0"/>
          <w:numId w:val="7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17 Vzdělávání nadaných dětí, žáků a studentů.</w:t>
      </w:r>
    </w:p>
    <w:p w:rsidR="0041281F" w:rsidRPr="00203813" w:rsidRDefault="0041281F" w:rsidP="0041281F">
      <w:pPr>
        <w:pStyle w:val="Nadpis2"/>
        <w:numPr>
          <w:ilvl w:val="0"/>
          <w:numId w:val="7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18 IVP.</w:t>
      </w:r>
    </w:p>
    <w:p w:rsidR="0041281F" w:rsidRPr="007A182F" w:rsidRDefault="0041281F" w:rsidP="0041281F">
      <w:pPr>
        <w:pStyle w:val="Nadpis2"/>
        <w:numPr>
          <w:ilvl w:val="0"/>
          <w:numId w:val="7"/>
        </w:numPr>
        <w:ind w:left="810" w:hanging="810"/>
        <w:rPr>
          <w:rFonts w:asciiTheme="majorHAnsi" w:hAnsiTheme="majorHAnsi" w:cs="Calibri"/>
          <w:b/>
          <w:color w:val="auto"/>
          <w:sz w:val="24"/>
          <w:szCs w:val="24"/>
        </w:rPr>
      </w:pPr>
      <w:r w:rsidRPr="007A182F">
        <w:rPr>
          <w:rFonts w:asciiTheme="majorHAnsi" w:hAnsiTheme="majorHAnsi" w:cs="Calibri"/>
          <w:b/>
          <w:color w:val="auto"/>
          <w:sz w:val="24"/>
          <w:szCs w:val="24"/>
        </w:rPr>
        <w:t xml:space="preserve">§ 36, §37 </w:t>
      </w:r>
      <w:proofErr w:type="gramStart"/>
      <w:r w:rsidRPr="007A182F">
        <w:rPr>
          <w:rFonts w:asciiTheme="majorHAnsi" w:hAnsiTheme="majorHAnsi" w:cs="Calibri"/>
          <w:b/>
          <w:color w:val="auto"/>
          <w:sz w:val="24"/>
          <w:szCs w:val="24"/>
        </w:rPr>
        <w:t>Plnění  a odklad</w:t>
      </w:r>
      <w:proofErr w:type="gramEnd"/>
      <w:r w:rsidRPr="007A182F">
        <w:rPr>
          <w:rFonts w:asciiTheme="majorHAnsi" w:hAnsiTheme="majorHAnsi" w:cs="Calibri"/>
          <w:b/>
          <w:color w:val="auto"/>
          <w:sz w:val="24"/>
          <w:szCs w:val="24"/>
        </w:rPr>
        <w:t xml:space="preserve"> povinné školní docházky (novela).</w:t>
      </w:r>
    </w:p>
    <w:p w:rsidR="0041281F" w:rsidRPr="00203813" w:rsidRDefault="0041281F" w:rsidP="0041281F">
      <w:pPr>
        <w:pStyle w:val="Nadpis2"/>
        <w:numPr>
          <w:ilvl w:val="0"/>
          <w:numId w:val="7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40 Druhy jiného způsobu plnění povinné školní docházky.</w:t>
      </w:r>
    </w:p>
    <w:p w:rsidR="0041281F" w:rsidRPr="00203813" w:rsidRDefault="0041281F" w:rsidP="0041281F">
      <w:pPr>
        <w:pStyle w:val="Nadpis2"/>
        <w:numPr>
          <w:ilvl w:val="0"/>
          <w:numId w:val="7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42 Vzdělávání žáků s hlubokým mentálním postižením.</w:t>
      </w:r>
    </w:p>
    <w:p w:rsidR="0041281F" w:rsidRPr="00203813" w:rsidRDefault="0041281F" w:rsidP="0041281F">
      <w:pPr>
        <w:pStyle w:val="Nadpis2"/>
        <w:numPr>
          <w:ilvl w:val="0"/>
          <w:numId w:val="7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45 Stupně vzdělání (základní vzdělání, základy vzdělání).</w:t>
      </w:r>
    </w:p>
    <w:p w:rsidR="0041281F" w:rsidRPr="007A182F" w:rsidRDefault="0041281F" w:rsidP="0041281F">
      <w:pPr>
        <w:pStyle w:val="Nadpis2"/>
        <w:numPr>
          <w:ilvl w:val="0"/>
          <w:numId w:val="7"/>
        </w:numPr>
        <w:ind w:left="810" w:hanging="810"/>
        <w:rPr>
          <w:rFonts w:asciiTheme="majorHAnsi" w:hAnsiTheme="majorHAnsi" w:cs="Calibri"/>
          <w:b/>
          <w:color w:val="auto"/>
          <w:sz w:val="24"/>
          <w:szCs w:val="24"/>
        </w:rPr>
      </w:pPr>
      <w:r w:rsidRPr="007A182F">
        <w:rPr>
          <w:rFonts w:asciiTheme="majorHAnsi" w:hAnsiTheme="majorHAnsi" w:cs="Calibri"/>
          <w:b/>
          <w:color w:val="auto"/>
          <w:sz w:val="24"/>
          <w:szCs w:val="24"/>
        </w:rPr>
        <w:t>§ 47 Přípravné třídy základní školy (novela).</w:t>
      </w:r>
    </w:p>
    <w:p w:rsidR="0041281F" w:rsidRPr="00203813" w:rsidRDefault="0041281F" w:rsidP="0041281F">
      <w:pPr>
        <w:pStyle w:val="Nadpis2"/>
        <w:numPr>
          <w:ilvl w:val="0"/>
          <w:numId w:val="7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§ 48 Vzdělávání žáků se středně těžkým a těžkým mentálním postižením, se souběžným postižením více vadami a s autismem (+ § </w:t>
      </w:r>
      <w:proofErr w:type="gramStart"/>
      <w:r w:rsidRPr="00203813">
        <w:rPr>
          <w:rFonts w:asciiTheme="majorHAnsi" w:hAnsiTheme="majorHAnsi" w:cs="Calibri"/>
          <w:color w:val="auto"/>
          <w:sz w:val="24"/>
          <w:szCs w:val="24"/>
        </w:rPr>
        <w:t>48a) (novela</w:t>
      </w:r>
      <w:proofErr w:type="gramEnd"/>
      <w:r w:rsidRPr="00203813">
        <w:rPr>
          <w:rFonts w:asciiTheme="majorHAnsi" w:hAnsiTheme="majorHAnsi" w:cs="Calibri"/>
          <w:color w:val="auto"/>
          <w:sz w:val="24"/>
          <w:szCs w:val="24"/>
        </w:rPr>
        <w:t>).</w:t>
      </w:r>
    </w:p>
    <w:p w:rsidR="0041281F" w:rsidRPr="00203813" w:rsidRDefault="0041281F" w:rsidP="0041281F">
      <w:pPr>
        <w:pStyle w:val="Nadpis2"/>
        <w:numPr>
          <w:ilvl w:val="0"/>
          <w:numId w:val="7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lastRenderedPageBreak/>
        <w:t>§ 51 Hodnocení výsledků vzdělávání žáků.</w:t>
      </w:r>
    </w:p>
    <w:p w:rsidR="0041281F" w:rsidRPr="007A182F" w:rsidRDefault="0041281F" w:rsidP="007A182F">
      <w:pPr>
        <w:pStyle w:val="Nadpis2"/>
        <w:numPr>
          <w:ilvl w:val="0"/>
          <w:numId w:val="7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115 – 120 Školská zařízení a školské služby.</w:t>
      </w:r>
    </w:p>
    <w:p w:rsidR="0041281F" w:rsidRPr="00203813" w:rsidRDefault="0041281F" w:rsidP="0041281F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41281F" w:rsidRPr="007A182F" w:rsidRDefault="0041281F" w:rsidP="0041281F">
      <w:pPr>
        <w:pStyle w:val="Nadpis1"/>
        <w:ind w:left="0" w:firstLine="0"/>
        <w:rPr>
          <w:rFonts w:asciiTheme="majorHAnsi" w:hAnsiTheme="majorHAnsi" w:cs="Verdana"/>
          <w:b/>
          <w:color w:val="auto"/>
          <w:sz w:val="24"/>
          <w:szCs w:val="24"/>
        </w:rPr>
      </w:pPr>
      <w:r w:rsidRPr="007A182F">
        <w:rPr>
          <w:rFonts w:asciiTheme="majorHAnsi" w:hAnsiTheme="majorHAnsi" w:cs="Verdana"/>
          <w:b/>
          <w:color w:val="auto"/>
          <w:sz w:val="24"/>
          <w:szCs w:val="24"/>
        </w:rPr>
        <w:t>Povinná školní docházka</w:t>
      </w:r>
    </w:p>
    <w:p w:rsidR="0041281F" w:rsidRPr="00203813" w:rsidRDefault="0041281F" w:rsidP="007A182F">
      <w:pPr>
        <w:pStyle w:val="Nadpis2"/>
        <w:numPr>
          <w:ilvl w:val="0"/>
          <w:numId w:val="19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začíná počátkem školního roku, který následuje po dni, kdy dítě dosáhne </w:t>
      </w:r>
      <w:r w:rsidR="007A182F">
        <w:rPr>
          <w:rFonts w:asciiTheme="majorHAnsi" w:hAnsiTheme="majorHAnsi" w:cs="Calibri"/>
          <w:color w:val="auto"/>
          <w:sz w:val="24"/>
          <w:szCs w:val="24"/>
        </w:rPr>
        <w:t>šestého roku věku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. </w:t>
      </w:r>
    </w:p>
    <w:p w:rsidR="0041281F" w:rsidRPr="00203813" w:rsidRDefault="0041281F" w:rsidP="0041281F">
      <w:pPr>
        <w:pStyle w:val="Nadpis2"/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19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V případě, že dítě není po dovršení šestého roku tělesně nebo duševně přiměřené vyspělé, může ředitel na základě písemné žádosti zákonného zástupce, doporučení školského poradenského zařízení a odborného lékaře </w:t>
      </w:r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>odložit povinnou školní docházku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o jeden školní rok, popř. nejdéle do zahájení školního roku, v němž dítě dovrší </w:t>
      </w:r>
      <w:r w:rsidR="007A182F">
        <w:rPr>
          <w:rFonts w:asciiTheme="majorHAnsi" w:hAnsiTheme="majorHAnsi" w:cs="Calibri"/>
          <w:color w:val="auto"/>
          <w:sz w:val="24"/>
          <w:szCs w:val="24"/>
        </w:rPr>
        <w:t>osmi let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. </w:t>
      </w:r>
    </w:p>
    <w:p w:rsidR="0041281F" w:rsidRPr="00203813" w:rsidRDefault="0041281F" w:rsidP="0041281F">
      <w:pPr>
        <w:pStyle w:val="Nadpis2"/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19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Školní docházka je povinná po dobu devíti školních roků, nejvýše do konce školního roku, v němž žák dosáhne </w:t>
      </w:r>
      <w:r w:rsidR="007A182F">
        <w:rPr>
          <w:rFonts w:asciiTheme="majorHAnsi" w:hAnsiTheme="majorHAnsi" w:cs="Calibri"/>
          <w:color w:val="auto"/>
          <w:sz w:val="24"/>
          <w:szCs w:val="24"/>
        </w:rPr>
        <w:t>sedmnáctého roku věku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. </w:t>
      </w:r>
    </w:p>
    <w:p w:rsidR="0041281F" w:rsidRPr="00203813" w:rsidRDefault="0041281F" w:rsidP="0041281F">
      <w:pPr>
        <w:pStyle w:val="Nadpis2"/>
        <w:ind w:left="432" w:hanging="432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19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Žák, který po splnění povinné školní docházky nezískal základní vzdělání, v něm může pokračovat, nejvýše do </w:t>
      </w:r>
      <w:r w:rsidR="007A182F">
        <w:rPr>
          <w:rFonts w:asciiTheme="majorHAnsi" w:hAnsiTheme="majorHAnsi" w:cs="Calibri"/>
          <w:color w:val="auto"/>
          <w:sz w:val="24"/>
          <w:szCs w:val="24"/>
        </w:rPr>
        <w:t>osmnáctého roku věku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. </w:t>
      </w:r>
    </w:p>
    <w:p w:rsidR="0041281F" w:rsidRPr="00203813" w:rsidRDefault="0041281F" w:rsidP="0041281F">
      <w:pPr>
        <w:pStyle w:val="Nadpis2"/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19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Žákovi se zdravotním postižením může ředitel povolit pokračování v základním vzdělávání do konce školního roku, v němž dosáhne </w:t>
      </w:r>
      <w:r w:rsidR="007A182F">
        <w:rPr>
          <w:rFonts w:asciiTheme="majorHAnsi" w:hAnsiTheme="majorHAnsi" w:cs="Calibri"/>
          <w:color w:val="auto"/>
          <w:sz w:val="24"/>
          <w:szCs w:val="24"/>
        </w:rPr>
        <w:t>dvacátého roku věku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. </w:t>
      </w:r>
    </w:p>
    <w:p w:rsidR="0041281F" w:rsidRPr="00203813" w:rsidRDefault="0041281F" w:rsidP="0041281F">
      <w:pPr>
        <w:pStyle w:val="Nadpis2"/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Default="0041281F" w:rsidP="007A182F">
      <w:pPr>
        <w:pStyle w:val="Nadpis2"/>
        <w:numPr>
          <w:ilvl w:val="0"/>
          <w:numId w:val="19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Podle zákona 158/2006, kterým se mění zákon č. 561/2004 Sb. § 55, odst. 2, </w:t>
      </w:r>
      <w:proofErr w:type="gramStart"/>
      <w:r w:rsidRPr="00203813">
        <w:rPr>
          <w:rFonts w:asciiTheme="majorHAnsi" w:hAnsiTheme="majorHAnsi" w:cs="Calibri"/>
          <w:color w:val="auto"/>
          <w:sz w:val="24"/>
          <w:szCs w:val="24"/>
        </w:rPr>
        <w:t>se</w:t>
      </w:r>
      <w:proofErr w:type="gramEnd"/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u žáků s těžkým mentálním postižením, souběžným postižením více vadami a autismem až do dvacátého šestého roku věku.</w:t>
      </w:r>
    </w:p>
    <w:p w:rsidR="007A182F" w:rsidRPr="007A182F" w:rsidRDefault="007A182F" w:rsidP="007A182F">
      <w:pPr>
        <w:pStyle w:val="Normlnweb"/>
        <w:spacing w:before="120" w:beforeAutospacing="0" w:after="0" w:afterAutospacing="0"/>
        <w:jc w:val="both"/>
        <w:rPr>
          <w:rFonts w:asciiTheme="majorHAnsi" w:hAnsiTheme="majorHAnsi"/>
        </w:rPr>
      </w:pPr>
      <w:r w:rsidRPr="007A182F">
        <w:rPr>
          <w:rFonts w:asciiTheme="majorHAnsi" w:hAnsiTheme="majorHAnsi"/>
          <w:b/>
        </w:rPr>
        <w:t xml:space="preserve">Další podrobnosti - </w:t>
      </w:r>
      <w:hyperlink r:id="rId6" w:tgtFrame="_blank" w:history="1">
        <w:r w:rsidRPr="007A182F">
          <w:rPr>
            <w:rStyle w:val="Hypertextovodkaz"/>
            <w:rFonts w:asciiTheme="majorHAnsi" w:hAnsiTheme="majorHAnsi"/>
            <w:b/>
            <w:color w:val="auto"/>
            <w:u w:val="none"/>
          </w:rPr>
          <w:t>Vyhláška MŠMT č. 48/2005 Sb.</w:t>
        </w:r>
      </w:hyperlink>
      <w:r w:rsidRPr="007A182F">
        <w:rPr>
          <w:rFonts w:asciiTheme="majorHAnsi" w:hAnsiTheme="majorHAnsi"/>
          <w:b/>
        </w:rPr>
        <w:t xml:space="preserve"> </w:t>
      </w:r>
      <w:r w:rsidRPr="007A182F">
        <w:rPr>
          <w:rFonts w:asciiTheme="majorHAnsi" w:hAnsiTheme="majorHAnsi"/>
        </w:rPr>
        <w:t>o základním vzdělávání a některých náležitostech plnění povinné školní docházky</w:t>
      </w:r>
    </w:p>
    <w:p w:rsidR="0041281F" w:rsidRPr="00203813" w:rsidRDefault="0041281F" w:rsidP="007A182F">
      <w:pPr>
        <w:pStyle w:val="Nadpis2"/>
        <w:ind w:left="0" w:firstLine="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41281F" w:rsidRPr="002C0538" w:rsidRDefault="0041281F" w:rsidP="0041281F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41281F" w:rsidRPr="002C0538" w:rsidRDefault="0041281F" w:rsidP="0041281F">
      <w:pPr>
        <w:pStyle w:val="Nadpis1"/>
        <w:ind w:left="0" w:firstLine="0"/>
        <w:rPr>
          <w:rFonts w:asciiTheme="majorHAnsi" w:hAnsiTheme="majorHAnsi" w:cs="Verdana"/>
          <w:b/>
          <w:i/>
          <w:color w:val="auto"/>
          <w:sz w:val="24"/>
          <w:szCs w:val="24"/>
        </w:rPr>
      </w:pPr>
      <w:r w:rsidRPr="002C0538">
        <w:rPr>
          <w:rFonts w:asciiTheme="majorHAnsi" w:hAnsiTheme="majorHAnsi" w:cs="Verdana"/>
          <w:b/>
          <w:i/>
          <w:color w:val="auto"/>
          <w:sz w:val="24"/>
          <w:szCs w:val="24"/>
        </w:rPr>
        <w:t>Vyhláška č. 147/2011 Sb.</w:t>
      </w:r>
    </w:p>
    <w:p w:rsidR="0041281F" w:rsidRPr="00203813" w:rsidRDefault="0041281F" w:rsidP="007A182F">
      <w:pPr>
        <w:pStyle w:val="Nadpis2"/>
        <w:numPr>
          <w:ilvl w:val="0"/>
          <w:numId w:val="21"/>
        </w:numPr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Nově se vyhláška věnuje kromě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zdravotně </w:t>
      </w:r>
      <w:proofErr w:type="gramStart"/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postiženým</w:t>
      </w:r>
      <w:proofErr w:type="gramEnd"/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také </w:t>
      </w:r>
      <w:proofErr w:type="gramStart"/>
      <w:r w:rsidRPr="00203813">
        <w:rPr>
          <w:rFonts w:asciiTheme="majorHAnsi" w:hAnsiTheme="majorHAnsi" w:cs="Calibri"/>
          <w:color w:val="auto"/>
          <w:sz w:val="24"/>
          <w:szCs w:val="24"/>
        </w:rPr>
        <w:t>podmínkám</w:t>
      </w:r>
      <w:proofErr w:type="gramEnd"/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vzdělávání dětí, žáků a studentů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zdravotně a sociálně znevýhodněných.</w:t>
      </w:r>
    </w:p>
    <w:p w:rsidR="0041281F" w:rsidRPr="00203813" w:rsidRDefault="0041281F" w:rsidP="0041281F">
      <w:pPr>
        <w:pStyle w:val="Nadpis2"/>
        <w:ind w:left="432" w:hanging="432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21"/>
        </w:numPr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zřetelně se uvádí, že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žáci bez zdravotního postižení se nevzdělávají podle vzdělávacích programů pro žáky se zdravotním postižením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41281F" w:rsidRPr="00203813" w:rsidRDefault="0041281F" w:rsidP="0041281F">
      <w:pPr>
        <w:pStyle w:val="Nadpis2"/>
        <w:ind w:left="432" w:hanging="432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21"/>
        </w:numPr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Rozšiřuje se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okruh činnosti asistenta pedagoga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pro žáky s těžkým zdravotním postižením o pomoc při sebeobsluze a pohybu žáků s těžkým zdravotním postižením.</w:t>
      </w:r>
    </w:p>
    <w:p w:rsidR="0041281F" w:rsidRPr="00203813" w:rsidRDefault="0041281F" w:rsidP="0041281F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21"/>
        </w:numPr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Nově se doplňuje termín „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středně těžké mentální postižení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“ (v původní vyhlášce vynecháno nedopatřením).</w:t>
      </w:r>
    </w:p>
    <w:p w:rsidR="0041281F" w:rsidRPr="00203813" w:rsidRDefault="0041281F" w:rsidP="0041281F">
      <w:pPr>
        <w:pStyle w:val="Nadpis2"/>
        <w:ind w:left="432" w:hanging="432"/>
        <w:rPr>
          <w:rFonts w:asciiTheme="majorHAnsi" w:hAnsiTheme="majorHAnsi" w:cs="Calibri"/>
          <w:b/>
          <w:bCs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21"/>
        </w:numPr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Zpřesňuje se složení týmu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pedagogických pracovníků působících ve třídě zřízené pro žáky s těžkým zdravotním postižením (mohou zde působit 3, z nichž alespoň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1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je asistent pedagoga).</w:t>
      </w:r>
    </w:p>
    <w:p w:rsidR="0041281F" w:rsidRPr="00203813" w:rsidRDefault="0041281F" w:rsidP="0041281F">
      <w:pPr>
        <w:pStyle w:val="Nadpis2"/>
        <w:ind w:left="432" w:hanging="432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21"/>
        </w:numPr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pro potřeby vzdělávání se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definuje žák se sociálním znevýhodněním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41281F" w:rsidRPr="00203813" w:rsidRDefault="0041281F" w:rsidP="0041281F">
      <w:pPr>
        <w:pStyle w:val="Nadpis2"/>
        <w:ind w:left="432" w:hanging="432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21"/>
        </w:numPr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doplňují se ustanovení o „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vyrovnávacích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“ opatřeních </w:t>
      </w:r>
    </w:p>
    <w:p w:rsidR="0041281F" w:rsidRPr="00203813" w:rsidRDefault="0041281F" w:rsidP="0041281F">
      <w:pPr>
        <w:pStyle w:val="Nadpis2"/>
        <w:ind w:left="432" w:hanging="432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21"/>
        </w:numPr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zpřesňuje se možnost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výjimečného přijetí žáka bez zdravotního postižení do speciální školy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(v případech dlouhodobého selhávání v otevřeném školním prostředí i při využívání vyrovnávacích opatření).</w:t>
      </w:r>
    </w:p>
    <w:p w:rsidR="0041281F" w:rsidRPr="00203813" w:rsidRDefault="0041281F" w:rsidP="007A182F">
      <w:pPr>
        <w:pStyle w:val="Nadpis2"/>
        <w:ind w:left="0" w:firstLine="0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21"/>
        </w:numPr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zřetelně se kodifikuje postup při přijímání žáka do speciální školy/třídy a vzdělávání podle vzdělávacího programu pro zdravotně postižené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pouze s informovaným souhlasem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zákonného zástupce žáka.</w:t>
      </w:r>
    </w:p>
    <w:p w:rsidR="0041281F" w:rsidRPr="00203813" w:rsidRDefault="0041281F" w:rsidP="0041281F">
      <w:pPr>
        <w:pStyle w:val="Nadpis2"/>
        <w:ind w:left="432" w:hanging="432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21"/>
        </w:numPr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doplňuje se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příloha vyhlášky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, která uvádí podklady pro tvorbu formuláře informovaného souhlasu </w:t>
      </w:r>
    </w:p>
    <w:p w:rsidR="0041281F" w:rsidRPr="00203813" w:rsidRDefault="0041281F" w:rsidP="0041281F">
      <w:pPr>
        <w:pStyle w:val="Nadpis2"/>
        <w:ind w:left="432" w:hanging="432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21"/>
        </w:numPr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umožňuje spojovat ročníky obou stupňů speciálních škol atd.</w:t>
      </w:r>
    </w:p>
    <w:p w:rsidR="0041281F" w:rsidRPr="00203813" w:rsidRDefault="0041281F" w:rsidP="007A182F">
      <w:pPr>
        <w:pStyle w:val="Nadpis2"/>
        <w:ind w:left="0" w:firstLine="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41281F" w:rsidRDefault="0041281F" w:rsidP="0041281F">
      <w:pPr>
        <w:pStyle w:val="Nadpis1"/>
        <w:ind w:left="0" w:firstLine="0"/>
        <w:rPr>
          <w:rFonts w:asciiTheme="majorHAnsi" w:hAnsiTheme="majorHAnsi" w:cs="Verdana"/>
          <w:b/>
          <w:i/>
          <w:color w:val="auto"/>
          <w:sz w:val="24"/>
          <w:szCs w:val="24"/>
        </w:rPr>
      </w:pPr>
      <w:r w:rsidRPr="002C0538">
        <w:rPr>
          <w:rFonts w:asciiTheme="majorHAnsi" w:hAnsiTheme="majorHAnsi" w:cs="Verdana"/>
          <w:b/>
          <w:i/>
          <w:color w:val="auto"/>
          <w:sz w:val="24"/>
          <w:szCs w:val="24"/>
        </w:rPr>
        <w:t>Vyhláška č. 73/2005 Sb., ve znění pozdějších předpisů</w:t>
      </w:r>
    </w:p>
    <w:p w:rsidR="002C0538" w:rsidRPr="002C0538" w:rsidRDefault="002C0538" w:rsidP="002C0538">
      <w:pPr>
        <w:rPr>
          <w:lang w:eastAsia="cs-CZ"/>
        </w:rPr>
      </w:pPr>
    </w:p>
    <w:p w:rsidR="0041281F" w:rsidRPr="002C0538" w:rsidRDefault="0041281F" w:rsidP="007A182F">
      <w:pPr>
        <w:pStyle w:val="Nadpis2"/>
        <w:ind w:left="0" w:firstLine="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2C0538">
        <w:rPr>
          <w:rFonts w:asciiTheme="majorHAnsi" w:hAnsiTheme="majorHAnsi" w:cs="Calibri"/>
          <w:bCs/>
          <w:color w:val="auto"/>
          <w:sz w:val="24"/>
          <w:szCs w:val="24"/>
        </w:rPr>
        <w:t>§ 1 Podpůrná opatření (novela) – pr</w:t>
      </w:r>
      <w:r w:rsidR="002C0538" w:rsidRPr="002C0538">
        <w:rPr>
          <w:rFonts w:asciiTheme="majorHAnsi" w:hAnsiTheme="majorHAnsi" w:cs="Calibri"/>
          <w:bCs/>
          <w:color w:val="auto"/>
          <w:sz w:val="24"/>
          <w:szCs w:val="24"/>
        </w:rPr>
        <w:t>o žáky se zdravotním postižením</w:t>
      </w:r>
      <w:r w:rsidR="002C0538">
        <w:rPr>
          <w:rFonts w:asciiTheme="majorHAnsi" w:hAnsiTheme="majorHAnsi" w:cs="Calibri"/>
          <w:bCs/>
          <w:color w:val="auto"/>
          <w:sz w:val="24"/>
          <w:szCs w:val="24"/>
        </w:rPr>
        <w:t xml:space="preserve"> – viz . </w:t>
      </w:r>
      <w:proofErr w:type="gramStart"/>
      <w:r w:rsidR="002C0538">
        <w:rPr>
          <w:rFonts w:asciiTheme="majorHAnsi" w:hAnsiTheme="majorHAnsi" w:cs="Calibri"/>
          <w:bCs/>
          <w:color w:val="auto"/>
          <w:sz w:val="24"/>
          <w:szCs w:val="24"/>
        </w:rPr>
        <w:t>vyhláška</w:t>
      </w:r>
      <w:proofErr w:type="gramEnd"/>
    </w:p>
    <w:p w:rsidR="0041281F" w:rsidRPr="002C0538" w:rsidRDefault="0041281F" w:rsidP="002C0538">
      <w:pPr>
        <w:pStyle w:val="Nadpis2"/>
        <w:ind w:left="0" w:firstLine="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2C0538">
        <w:rPr>
          <w:rFonts w:asciiTheme="majorHAnsi" w:hAnsiTheme="majorHAnsi" w:cs="Calibri"/>
          <w:bCs/>
          <w:color w:val="auto"/>
          <w:sz w:val="24"/>
          <w:szCs w:val="24"/>
        </w:rPr>
        <w:t>§ 1 Vyrovnávací opatření (novela) – pro žáky se zdravotním znevýhodněním a sociálním znevýhodněním:</w:t>
      </w:r>
    </w:p>
    <w:p w:rsidR="0041281F" w:rsidRPr="002C0538" w:rsidRDefault="0041281F" w:rsidP="002C0538">
      <w:pPr>
        <w:pStyle w:val="Nadpis2"/>
        <w:numPr>
          <w:ilvl w:val="0"/>
          <w:numId w:val="22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užívání pedagogických, popřípadě speciálně pedagogických metod a postupů, které </w:t>
      </w:r>
      <w:proofErr w:type="gramStart"/>
      <w:r w:rsidRPr="00203813">
        <w:rPr>
          <w:rFonts w:asciiTheme="majorHAnsi" w:hAnsiTheme="majorHAnsi" w:cs="Calibri"/>
          <w:color w:val="auto"/>
          <w:sz w:val="24"/>
          <w:szCs w:val="24"/>
        </w:rPr>
        <w:t>odpovídají  vzdělávacím</w:t>
      </w:r>
      <w:proofErr w:type="gramEnd"/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potřebám žáků, </w:t>
      </w:r>
    </w:p>
    <w:p w:rsidR="0041281F" w:rsidRPr="002C0538" w:rsidRDefault="0041281F" w:rsidP="002C0538">
      <w:pPr>
        <w:pStyle w:val="Nadpis2"/>
        <w:numPr>
          <w:ilvl w:val="0"/>
          <w:numId w:val="22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Poskytování individuální podpory v rámci výuky a přípravy na výuku,</w:t>
      </w:r>
    </w:p>
    <w:p w:rsidR="0041281F" w:rsidRPr="002C0538" w:rsidRDefault="0041281F" w:rsidP="002C0538">
      <w:pPr>
        <w:pStyle w:val="Nadpis2"/>
        <w:numPr>
          <w:ilvl w:val="0"/>
          <w:numId w:val="22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poskytování pedagogických a psychologických služeb, </w:t>
      </w:r>
    </w:p>
    <w:p w:rsidR="0041281F" w:rsidRPr="00203813" w:rsidRDefault="0041281F" w:rsidP="007A182F">
      <w:pPr>
        <w:pStyle w:val="Nadpis2"/>
        <w:numPr>
          <w:ilvl w:val="0"/>
          <w:numId w:val="22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zajištění služeb asistenta pedagoga,</w:t>
      </w:r>
    </w:p>
    <w:p w:rsidR="0041281F" w:rsidRPr="00203813" w:rsidRDefault="0041281F" w:rsidP="0041281F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41281F" w:rsidRPr="002C0538" w:rsidRDefault="0041281F" w:rsidP="002C0538">
      <w:pPr>
        <w:pStyle w:val="Nadpis2"/>
        <w:ind w:left="0" w:firstLine="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§ 1, odst. 6 žák se sociálním znevýhodněním (novela):</w:t>
      </w:r>
      <w:r w:rsidR="002C0538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Žák z prostředí, kde se mu nedostává potřebné podpory k řádnému průběhu vzdělávání, včetně spolupráce zákonných zástupců se školou, a žák znevýhodněný nedostatečnou znalostí vyučovacího jazyka.</w:t>
      </w:r>
    </w:p>
    <w:p w:rsidR="0041281F" w:rsidRPr="00203813" w:rsidRDefault="0041281F" w:rsidP="0041281F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41281F" w:rsidRPr="00203813" w:rsidRDefault="0041281F" w:rsidP="002C0538">
      <w:pPr>
        <w:pStyle w:val="Nadpis2"/>
        <w:ind w:left="0" w:firstLine="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Formy speciálního vzdělávání žáků se zdravotním postižením:</w:t>
      </w:r>
    </w:p>
    <w:p w:rsidR="0041281F" w:rsidRPr="00203813" w:rsidRDefault="0041281F" w:rsidP="0041281F">
      <w:pPr>
        <w:pStyle w:val="Nadpis2"/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7A182F">
      <w:pPr>
        <w:pStyle w:val="Nadpis2"/>
        <w:numPr>
          <w:ilvl w:val="0"/>
          <w:numId w:val="22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individuální integrace,</w:t>
      </w:r>
    </w:p>
    <w:p w:rsidR="0041281F" w:rsidRPr="00203813" w:rsidRDefault="0041281F" w:rsidP="007A182F">
      <w:pPr>
        <w:pStyle w:val="Nadpis2"/>
        <w:numPr>
          <w:ilvl w:val="0"/>
          <w:numId w:val="22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skupinová integrace,</w:t>
      </w:r>
    </w:p>
    <w:p w:rsidR="0041281F" w:rsidRPr="00203813" w:rsidRDefault="0041281F" w:rsidP="007A182F">
      <w:pPr>
        <w:pStyle w:val="Nadpis2"/>
        <w:numPr>
          <w:ilvl w:val="0"/>
          <w:numId w:val="22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škola samostatně zřízená pro žáky se zdravotním postižením,</w:t>
      </w:r>
    </w:p>
    <w:p w:rsidR="0041281F" w:rsidRPr="00203813" w:rsidRDefault="0041281F" w:rsidP="007A182F">
      <w:pPr>
        <w:pStyle w:val="Nadpis2"/>
        <w:numPr>
          <w:ilvl w:val="0"/>
          <w:numId w:val="22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kombinací forem.</w:t>
      </w:r>
    </w:p>
    <w:p w:rsidR="0041281F" w:rsidRPr="00203813" w:rsidRDefault="0041281F" w:rsidP="002C0538">
      <w:pPr>
        <w:pStyle w:val="Nadpis2"/>
        <w:numPr>
          <w:ilvl w:val="0"/>
          <w:numId w:val="22"/>
        </w:numPr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§ 3, odst. 4: Žák se zdravotním postižením se přednostně vzdělává formou individuální integrace v běžné škole, pokud to odpovídá jeho potřebám a možnoste</w:t>
      </w:r>
      <w:r w:rsidR="002C0538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m a podmínkám a možnostem školy </w:t>
      </w:r>
      <w:r w:rsidR="002C0538" w:rsidRPr="002C0538">
        <w:rPr>
          <w:rFonts w:asciiTheme="majorHAnsi" w:hAnsiTheme="majorHAnsi" w:cs="Calibri"/>
          <w:b/>
          <w:bCs/>
          <w:color w:val="auto"/>
          <w:sz w:val="24"/>
          <w:szCs w:val="24"/>
          <w:highlight w:val="red"/>
        </w:rPr>
        <w:t>- vypuštěno</w:t>
      </w:r>
    </w:p>
    <w:p w:rsidR="0041281F" w:rsidRPr="00203813" w:rsidRDefault="0041281F" w:rsidP="0041281F">
      <w:pPr>
        <w:pStyle w:val="Nadpis2"/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2C0538">
      <w:pPr>
        <w:pStyle w:val="Nadpis2"/>
        <w:numPr>
          <w:ilvl w:val="0"/>
          <w:numId w:val="22"/>
        </w:numPr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§ 3, odst. 4: Žák bez zdravotního postižení se nevzdělává podle vzdělávacího programu pro vzděláván</w:t>
      </w:r>
      <w:r w:rsidR="002C0538">
        <w:rPr>
          <w:rFonts w:asciiTheme="majorHAnsi" w:hAnsiTheme="majorHAnsi" w:cs="Calibri"/>
          <w:b/>
          <w:bCs/>
          <w:color w:val="auto"/>
          <w:sz w:val="24"/>
          <w:szCs w:val="24"/>
        </w:rPr>
        <w:t>í žáků se zdravotním postižením -</w:t>
      </w:r>
      <w:r w:rsidR="002C0538" w:rsidRPr="002C0538">
        <w:rPr>
          <w:rFonts w:asciiTheme="majorHAnsi" w:hAnsiTheme="majorHAnsi" w:cs="Calibri"/>
          <w:b/>
          <w:bCs/>
          <w:color w:val="auto"/>
          <w:sz w:val="24"/>
          <w:szCs w:val="24"/>
          <w:highlight w:val="red"/>
        </w:rPr>
        <w:t>nahrazeno</w:t>
      </w:r>
    </w:p>
    <w:p w:rsidR="0041281F" w:rsidRPr="00203813" w:rsidRDefault="0041281F" w:rsidP="002C0538">
      <w:pPr>
        <w:pStyle w:val="Nadpis2"/>
        <w:numPr>
          <w:ilvl w:val="0"/>
          <w:numId w:val="22"/>
        </w:numPr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lastRenderedPageBreak/>
        <w:t>§ 3, odst. 5: Žák bez zdravotního postižení se výjimečně a po dobu nezbytně nutnou pro vyrovnání jeho znevýhodnění může vzdělávat ve škole, třídě či studijní skupině zřízené pro žáky se zdravotním postižením</w:t>
      </w:r>
      <w:r w:rsidR="002C0538">
        <w:rPr>
          <w:rFonts w:asciiTheme="majorHAnsi" w:hAnsiTheme="majorHAnsi" w:cs="Calibri"/>
          <w:b/>
          <w:bCs/>
          <w:color w:val="auto"/>
          <w:sz w:val="24"/>
          <w:szCs w:val="24"/>
        </w:rPr>
        <w:t>, pokud……….</w:t>
      </w:r>
    </w:p>
    <w:p w:rsidR="0041281F" w:rsidRPr="00203813" w:rsidRDefault="0041281F" w:rsidP="0041281F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§ 5 Typy speciálních škol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(MŠ speciální, ZŠ praktická, ZŠ speciální, odborné učiliště, praktická škola).</w:t>
      </w:r>
    </w:p>
    <w:p w:rsidR="0041281F" w:rsidRPr="00203813" w:rsidRDefault="0041281F" w:rsidP="0041281F">
      <w:pPr>
        <w:pStyle w:val="Nadpis2"/>
        <w:ind w:left="810" w:hanging="81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§ 6 IVP (novela)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41281F" w:rsidRPr="00203813" w:rsidRDefault="0041281F" w:rsidP="0041281F">
      <w:pPr>
        <w:pStyle w:val="Nadpis2"/>
        <w:ind w:left="810" w:hanging="81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§ 7 Asistent pedagoga (novela)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41281F" w:rsidRPr="00203813" w:rsidRDefault="0041281F" w:rsidP="0041281F">
      <w:pPr>
        <w:pStyle w:val="Nadpis2"/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§ 10 Počty žáků (6-14 žáků).</w:t>
      </w:r>
    </w:p>
    <w:p w:rsidR="0041281F" w:rsidRPr="00203813" w:rsidRDefault="0041281F" w:rsidP="0041281F">
      <w:pPr>
        <w:pStyle w:val="Nadpis2"/>
        <w:ind w:left="810" w:hanging="81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ČÁST TŘETÍ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– Vzdělávání žáků mimořádně nadaných.</w:t>
      </w:r>
    </w:p>
    <w:p w:rsidR="0041281F" w:rsidRPr="00203813" w:rsidRDefault="0041281F" w:rsidP="0041281F">
      <w:pPr>
        <w:pStyle w:val="Nadpis2"/>
        <w:ind w:left="810" w:hanging="81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PŘÍLOHA: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Minimální rozsah údajů a informací pro udělení informovaného souhlasu se zařazením žáka od některé z organizačních forem vzdělávání a s převedením žáka do vzdělávacího programu pro žáky se zdravotním postižením.</w:t>
      </w:r>
    </w:p>
    <w:p w:rsidR="0041281F" w:rsidRPr="00203813" w:rsidRDefault="0041281F" w:rsidP="0041281F">
      <w:pPr>
        <w:pStyle w:val="Nadpis2"/>
        <w:ind w:left="720" w:hanging="720"/>
        <w:jc w:val="both"/>
        <w:rPr>
          <w:rFonts w:asciiTheme="majorHAnsi" w:hAnsiTheme="majorHAnsi" w:cs="Constantia"/>
          <w:b/>
          <w:bCs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41281F" w:rsidRPr="002C0538" w:rsidRDefault="0041281F" w:rsidP="0041281F">
      <w:pPr>
        <w:pStyle w:val="Nadpis1"/>
        <w:ind w:left="0" w:firstLine="0"/>
        <w:rPr>
          <w:rFonts w:asciiTheme="majorHAnsi" w:hAnsiTheme="majorHAnsi" w:cs="Verdana"/>
          <w:b/>
          <w:i/>
          <w:color w:val="auto"/>
          <w:sz w:val="28"/>
          <w:szCs w:val="28"/>
        </w:rPr>
      </w:pPr>
      <w:r w:rsidRPr="002C0538">
        <w:rPr>
          <w:rFonts w:asciiTheme="majorHAnsi" w:hAnsiTheme="majorHAnsi" w:cs="Verdana"/>
          <w:b/>
          <w:i/>
          <w:color w:val="auto"/>
          <w:sz w:val="28"/>
          <w:szCs w:val="28"/>
        </w:rPr>
        <w:t>Současné významné dokumenty inkluzivního vzdělávání</w:t>
      </w:r>
    </w:p>
    <w:p w:rsidR="0041281F" w:rsidRPr="002C0538" w:rsidRDefault="0041281F" w:rsidP="002C0538">
      <w:pPr>
        <w:pStyle w:val="Nadpis2"/>
        <w:numPr>
          <w:ilvl w:val="0"/>
          <w:numId w:val="8"/>
        </w:numPr>
        <w:ind w:left="810" w:hanging="810"/>
        <w:rPr>
          <w:rFonts w:asciiTheme="majorHAnsi" w:hAnsiTheme="majorHAnsi" w:cs="Calibri"/>
          <w:bCs/>
          <w:color w:val="auto"/>
          <w:sz w:val="24"/>
          <w:szCs w:val="24"/>
        </w:rPr>
      </w:pPr>
      <w:r w:rsidRPr="002C0538">
        <w:rPr>
          <w:rFonts w:asciiTheme="majorHAnsi" w:hAnsiTheme="majorHAnsi" w:cs="Calibri"/>
          <w:bCs/>
          <w:color w:val="auto"/>
          <w:sz w:val="24"/>
          <w:szCs w:val="24"/>
        </w:rPr>
        <w:t xml:space="preserve">Úmluva o právech osob se zdravotním postižením (OSN 2006, ČR 2009) </w:t>
      </w:r>
      <w:r w:rsidRPr="002C0538">
        <w:rPr>
          <w:rFonts w:asciiTheme="majorHAnsi" w:hAnsiTheme="majorHAnsi" w:cs="Calibri"/>
          <w:bCs/>
          <w:color w:val="auto"/>
          <w:sz w:val="24"/>
          <w:szCs w:val="24"/>
        </w:rPr>
        <w:sym w:font="Wingdings" w:char="F0F0"/>
      </w:r>
      <w:r w:rsidRPr="002C0538">
        <w:rPr>
          <w:rFonts w:asciiTheme="majorHAnsi" w:hAnsiTheme="majorHAnsi" w:cs="Calibri"/>
          <w:bCs/>
          <w:color w:val="auto"/>
          <w:sz w:val="24"/>
          <w:szCs w:val="24"/>
        </w:rPr>
        <w:t xml:space="preserve"> </w:t>
      </w:r>
      <w:r w:rsidRPr="002C0538">
        <w:rPr>
          <w:rFonts w:asciiTheme="majorHAnsi" w:hAnsiTheme="majorHAnsi" w:cs="Calibri"/>
          <w:color w:val="auto"/>
          <w:sz w:val="24"/>
          <w:szCs w:val="24"/>
        </w:rPr>
        <w:t>zákon č. 198/2009 Sb. o rovném zacházení a právních prostředcích ochrany před diskriminací a o změně některých zákonů –</w:t>
      </w:r>
      <w:r w:rsidRPr="002C0538">
        <w:rPr>
          <w:rFonts w:asciiTheme="majorHAnsi" w:hAnsiTheme="majorHAnsi" w:cs="Calibri"/>
          <w:bCs/>
          <w:color w:val="auto"/>
          <w:sz w:val="24"/>
          <w:szCs w:val="24"/>
        </w:rPr>
        <w:t xml:space="preserve"> antidiskriminační zákon</w:t>
      </w:r>
    </w:p>
    <w:p w:rsidR="0041281F" w:rsidRPr="002C0538" w:rsidRDefault="0041281F" w:rsidP="002C0538">
      <w:pPr>
        <w:pStyle w:val="Nadpis2"/>
        <w:numPr>
          <w:ilvl w:val="0"/>
          <w:numId w:val="8"/>
        </w:numPr>
        <w:ind w:left="810" w:hanging="810"/>
        <w:rPr>
          <w:rFonts w:asciiTheme="majorHAnsi" w:hAnsiTheme="majorHAnsi" w:cs="Calibri"/>
          <w:bCs/>
          <w:color w:val="auto"/>
          <w:sz w:val="24"/>
          <w:szCs w:val="24"/>
        </w:rPr>
      </w:pPr>
      <w:r w:rsidRPr="002C0538">
        <w:rPr>
          <w:rFonts w:asciiTheme="majorHAnsi" w:hAnsiTheme="majorHAnsi" w:cs="Calibri"/>
          <w:bCs/>
          <w:color w:val="auto"/>
          <w:sz w:val="24"/>
          <w:szCs w:val="24"/>
        </w:rPr>
        <w:t>Národní plán vytváření rovných příležitostí pro osoby se zdravotním postižením na období 2010-2014</w:t>
      </w:r>
    </w:p>
    <w:p w:rsidR="0041281F" w:rsidRPr="002C0538" w:rsidRDefault="0041281F" w:rsidP="0041281F">
      <w:pPr>
        <w:pStyle w:val="Nadpis2"/>
        <w:numPr>
          <w:ilvl w:val="0"/>
          <w:numId w:val="8"/>
        </w:numPr>
        <w:ind w:left="810" w:hanging="810"/>
        <w:rPr>
          <w:rFonts w:asciiTheme="majorHAnsi" w:hAnsiTheme="majorHAnsi" w:cs="Calibri"/>
          <w:bCs/>
          <w:color w:val="auto"/>
          <w:sz w:val="24"/>
          <w:szCs w:val="24"/>
        </w:rPr>
      </w:pPr>
      <w:r w:rsidRPr="002C0538">
        <w:rPr>
          <w:rFonts w:asciiTheme="majorHAnsi" w:hAnsiTheme="majorHAnsi" w:cs="Calibri"/>
          <w:bCs/>
          <w:color w:val="auto"/>
          <w:sz w:val="24"/>
          <w:szCs w:val="24"/>
        </w:rPr>
        <w:t>Národní akční plán inkluzivního vzdělávání (NAPIV)</w:t>
      </w:r>
    </w:p>
    <w:p w:rsidR="0041281F" w:rsidRPr="00203813" w:rsidRDefault="0041281F" w:rsidP="002C0538">
      <w:pPr>
        <w:pStyle w:val="Nadpis2"/>
        <w:ind w:left="0" w:firstLine="0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41281F" w:rsidRPr="002C0538" w:rsidRDefault="0041281F" w:rsidP="0041281F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8"/>
          <w:szCs w:val="28"/>
        </w:rPr>
      </w:pPr>
    </w:p>
    <w:p w:rsidR="002C0538" w:rsidRPr="00752375" w:rsidRDefault="0041281F" w:rsidP="00752375">
      <w:pPr>
        <w:pStyle w:val="Nadpis2"/>
        <w:ind w:left="0" w:firstLine="0"/>
        <w:rPr>
          <w:rFonts w:asciiTheme="majorHAnsi" w:hAnsiTheme="majorHAnsi" w:cs="Calibri"/>
          <w:b/>
          <w:bCs/>
          <w:i/>
          <w:iCs/>
          <w:color w:val="auto"/>
          <w:sz w:val="28"/>
          <w:szCs w:val="28"/>
          <w:u w:val="single"/>
        </w:rPr>
      </w:pPr>
      <w:r w:rsidRPr="002C0538">
        <w:rPr>
          <w:rFonts w:asciiTheme="majorHAnsi" w:hAnsiTheme="majorHAnsi" w:cs="Calibri"/>
          <w:b/>
          <w:bCs/>
          <w:i/>
          <w:iCs/>
          <w:color w:val="auto"/>
          <w:sz w:val="28"/>
          <w:szCs w:val="28"/>
          <w:u w:val="single"/>
        </w:rPr>
        <w:t>Vyhláška č. 72/2005 Sb., o poskytování poradenských služeb ve školách a školských poradenských zařízeních:</w:t>
      </w:r>
    </w:p>
    <w:p w:rsidR="0041281F" w:rsidRPr="00203813" w:rsidRDefault="0041281F" w:rsidP="0041281F">
      <w:pPr>
        <w:pStyle w:val="Nadpis2"/>
        <w:numPr>
          <w:ilvl w:val="0"/>
          <w:numId w:val="7"/>
        </w:numPr>
        <w:ind w:left="810" w:hanging="810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/>
          <w:b/>
          <w:bCs/>
          <w:color w:val="auto"/>
          <w:sz w:val="24"/>
          <w:szCs w:val="24"/>
        </w:rPr>
        <w:t xml:space="preserve">§ 3 Školská poradenská </w:t>
      </w:r>
      <w:r w:rsidRPr="00203813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>zařízení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:</w:t>
      </w:r>
    </w:p>
    <w:p w:rsidR="0041281F" w:rsidRPr="00752375" w:rsidRDefault="0041281F" w:rsidP="0041281F">
      <w:pPr>
        <w:pStyle w:val="Nadpis2"/>
        <w:numPr>
          <w:ilvl w:val="0"/>
          <w:numId w:val="6"/>
        </w:numPr>
        <w:ind w:left="810" w:hanging="810"/>
        <w:rPr>
          <w:rFonts w:asciiTheme="majorHAnsi" w:hAnsiTheme="majorHAnsi" w:cs="Calibri"/>
          <w:bCs/>
          <w:color w:val="auto"/>
          <w:sz w:val="24"/>
          <w:szCs w:val="24"/>
        </w:rPr>
      </w:pPr>
      <w:r w:rsidRPr="00752375">
        <w:rPr>
          <w:rFonts w:asciiTheme="majorHAnsi" w:hAnsiTheme="majorHAnsi" w:cs="Calibri"/>
          <w:bCs/>
          <w:color w:val="auto"/>
          <w:sz w:val="24"/>
          <w:szCs w:val="24"/>
        </w:rPr>
        <w:t>pedagogicko-psychologická poradna (PŘÍLOHA č. 1),</w:t>
      </w:r>
    </w:p>
    <w:p w:rsidR="0041281F" w:rsidRPr="00752375" w:rsidRDefault="0041281F" w:rsidP="0041281F">
      <w:pPr>
        <w:pStyle w:val="Nadpis2"/>
        <w:numPr>
          <w:ilvl w:val="0"/>
          <w:numId w:val="6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752375">
        <w:rPr>
          <w:rFonts w:asciiTheme="majorHAnsi" w:hAnsiTheme="majorHAnsi" w:cs="Calibri"/>
          <w:bCs/>
          <w:color w:val="auto"/>
          <w:sz w:val="24"/>
          <w:szCs w:val="24"/>
        </w:rPr>
        <w:t>speciálně pedagogické centrum (PŘÍLOHA č. 2)</w:t>
      </w:r>
      <w:r w:rsidRPr="00752375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41281F" w:rsidRPr="00203813" w:rsidRDefault="0041281F" w:rsidP="0041281F">
      <w:pPr>
        <w:pStyle w:val="Nadpis2"/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ab/>
      </w:r>
      <w:r w:rsidRPr="00203813">
        <w:rPr>
          <w:rFonts w:asciiTheme="majorHAnsi" w:hAnsiTheme="majorHAnsi" w:cs="Calibri"/>
          <w:color w:val="auto"/>
          <w:sz w:val="24"/>
          <w:szCs w:val="24"/>
        </w:rPr>
        <w:tab/>
      </w:r>
      <w:r w:rsidRPr="00203813">
        <w:rPr>
          <w:rFonts w:asciiTheme="majorHAnsi" w:hAnsiTheme="majorHAnsi" w:cs="Calibri"/>
          <w:color w:val="auto"/>
          <w:sz w:val="24"/>
          <w:szCs w:val="24"/>
        </w:rPr>
        <w:tab/>
      </w:r>
      <w:r w:rsidRPr="00203813">
        <w:rPr>
          <w:rFonts w:asciiTheme="majorHAnsi" w:hAnsiTheme="majorHAnsi" w:cs="Calibri"/>
          <w:color w:val="auto"/>
          <w:sz w:val="24"/>
          <w:szCs w:val="24"/>
        </w:rPr>
        <w:tab/>
        <w:t>+</w:t>
      </w:r>
    </w:p>
    <w:p w:rsidR="0041281F" w:rsidRPr="00203813" w:rsidRDefault="0041281F" w:rsidP="00752375">
      <w:pPr>
        <w:pStyle w:val="Nadpis2"/>
        <w:ind w:left="0" w:firstLine="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Střediska výchovné péče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(zákon č. 109/2002 o výkonu ochranné výchovy, ústavní výchovy ve šk</w:t>
      </w:r>
      <w:bookmarkStart w:id="0" w:name="_GoBack"/>
      <w:bookmarkEnd w:id="0"/>
      <w:r w:rsidRPr="00203813">
        <w:rPr>
          <w:rFonts w:asciiTheme="majorHAnsi" w:hAnsiTheme="majorHAnsi" w:cs="Calibri"/>
          <w:color w:val="auto"/>
          <w:sz w:val="24"/>
          <w:szCs w:val="24"/>
        </w:rPr>
        <w:t>olských zařízeních a o preventivní výchovné péči ve školských zařízeních, novela 383/2005).</w:t>
      </w:r>
    </w:p>
    <w:p w:rsidR="0041281F" w:rsidRPr="00203813" w:rsidRDefault="0041281F" w:rsidP="0041281F">
      <w:pPr>
        <w:pStyle w:val="Nadpis2"/>
        <w:ind w:left="810" w:hanging="810"/>
        <w:rPr>
          <w:rFonts w:asciiTheme="majorHAnsi" w:hAnsiTheme="majorHAnsi" w:cs="Calibri"/>
          <w:b/>
          <w:bCs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2"/>
        <w:ind w:left="810" w:hanging="810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Školská poradenská </w:t>
      </w:r>
      <w:r w:rsidRPr="00203813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 xml:space="preserve">pracoviště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(PŘÍLOHA č. 3):</w:t>
      </w:r>
    </w:p>
    <w:p w:rsidR="0041281F" w:rsidRPr="009A142D" w:rsidRDefault="0041281F" w:rsidP="0041281F">
      <w:pPr>
        <w:pStyle w:val="Nadpis2"/>
        <w:numPr>
          <w:ilvl w:val="0"/>
          <w:numId w:val="6"/>
        </w:numPr>
        <w:ind w:left="810" w:hanging="810"/>
        <w:rPr>
          <w:rFonts w:asciiTheme="majorHAnsi" w:hAnsiTheme="majorHAnsi" w:cs="Calibri"/>
          <w:bCs/>
          <w:color w:val="auto"/>
          <w:sz w:val="24"/>
          <w:szCs w:val="24"/>
        </w:rPr>
      </w:pPr>
      <w:r w:rsidRPr="009A142D">
        <w:rPr>
          <w:rFonts w:asciiTheme="majorHAnsi" w:hAnsiTheme="majorHAnsi" w:cs="Calibri"/>
          <w:bCs/>
          <w:color w:val="auto"/>
          <w:sz w:val="24"/>
          <w:szCs w:val="24"/>
        </w:rPr>
        <w:t>výchovný poradce,</w:t>
      </w:r>
    </w:p>
    <w:p w:rsidR="0041281F" w:rsidRPr="009A142D" w:rsidRDefault="0041281F" w:rsidP="0041281F">
      <w:pPr>
        <w:pStyle w:val="Nadpis2"/>
        <w:numPr>
          <w:ilvl w:val="0"/>
          <w:numId w:val="6"/>
        </w:numPr>
        <w:ind w:left="810" w:hanging="810"/>
        <w:rPr>
          <w:rFonts w:asciiTheme="majorHAnsi" w:hAnsiTheme="majorHAnsi" w:cs="Calibri"/>
          <w:bCs/>
          <w:color w:val="auto"/>
          <w:sz w:val="24"/>
          <w:szCs w:val="24"/>
        </w:rPr>
      </w:pPr>
      <w:r w:rsidRPr="009A142D">
        <w:rPr>
          <w:rFonts w:asciiTheme="majorHAnsi" w:hAnsiTheme="majorHAnsi" w:cs="Calibri"/>
          <w:bCs/>
          <w:color w:val="auto"/>
          <w:sz w:val="24"/>
          <w:szCs w:val="24"/>
        </w:rPr>
        <w:t>školní metodik prevence,</w:t>
      </w:r>
    </w:p>
    <w:p w:rsidR="0041281F" w:rsidRPr="009A142D" w:rsidRDefault="0041281F" w:rsidP="0041281F">
      <w:pPr>
        <w:pStyle w:val="Nadpis2"/>
        <w:numPr>
          <w:ilvl w:val="0"/>
          <w:numId w:val="6"/>
        </w:numPr>
        <w:ind w:left="810" w:hanging="810"/>
        <w:rPr>
          <w:rFonts w:asciiTheme="majorHAnsi" w:hAnsiTheme="majorHAnsi" w:cs="Calibri"/>
          <w:bCs/>
          <w:color w:val="auto"/>
          <w:sz w:val="24"/>
          <w:szCs w:val="24"/>
        </w:rPr>
      </w:pPr>
      <w:r w:rsidRPr="009A142D">
        <w:rPr>
          <w:rFonts w:asciiTheme="majorHAnsi" w:hAnsiTheme="majorHAnsi" w:cs="Calibri"/>
          <w:bCs/>
          <w:color w:val="auto"/>
          <w:sz w:val="24"/>
          <w:szCs w:val="24"/>
        </w:rPr>
        <w:t>školní psycholog,</w:t>
      </w:r>
    </w:p>
    <w:p w:rsidR="0041281F" w:rsidRPr="00203813" w:rsidRDefault="0041281F" w:rsidP="0041281F">
      <w:pPr>
        <w:pStyle w:val="Nadpis2"/>
        <w:numPr>
          <w:ilvl w:val="0"/>
          <w:numId w:val="6"/>
        </w:numPr>
        <w:ind w:left="810" w:hanging="810"/>
        <w:rPr>
          <w:rFonts w:asciiTheme="majorHAnsi" w:hAnsiTheme="majorHAnsi" w:cs="Calibri"/>
          <w:color w:val="auto"/>
          <w:sz w:val="24"/>
          <w:szCs w:val="24"/>
        </w:rPr>
      </w:pPr>
      <w:r w:rsidRPr="009A142D">
        <w:rPr>
          <w:rFonts w:asciiTheme="majorHAnsi" w:hAnsiTheme="majorHAnsi" w:cs="Calibri"/>
          <w:bCs/>
          <w:color w:val="auto"/>
          <w:sz w:val="24"/>
          <w:szCs w:val="24"/>
        </w:rPr>
        <w:t>školní speciální pedagog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41281F" w:rsidRPr="00203813" w:rsidRDefault="0041281F" w:rsidP="0041281F">
      <w:pPr>
        <w:pStyle w:val="Nadpis2"/>
        <w:ind w:left="720" w:hanging="720"/>
        <w:jc w:val="both"/>
        <w:rPr>
          <w:rFonts w:asciiTheme="majorHAnsi" w:hAnsiTheme="majorHAnsi" w:cs="Constantia"/>
          <w:b/>
          <w:bCs/>
          <w:color w:val="auto"/>
          <w:sz w:val="24"/>
          <w:szCs w:val="24"/>
        </w:rPr>
      </w:pPr>
    </w:p>
    <w:p w:rsidR="0041281F" w:rsidRPr="00203813" w:rsidRDefault="0041281F" w:rsidP="0041281F">
      <w:pPr>
        <w:pStyle w:val="Nadpis1"/>
        <w:ind w:left="0" w:firstLine="0"/>
        <w:rPr>
          <w:rFonts w:asciiTheme="majorHAnsi" w:hAnsiTheme="majorHAnsi" w:cs="Verdana"/>
          <w:color w:val="auto"/>
          <w:sz w:val="24"/>
          <w:szCs w:val="24"/>
        </w:rPr>
      </w:pPr>
      <w:r w:rsidRPr="00203813">
        <w:rPr>
          <w:rFonts w:asciiTheme="majorHAnsi" w:hAnsiTheme="majorHAnsi" w:cs="Verdana"/>
          <w:color w:val="auto"/>
          <w:sz w:val="24"/>
          <w:szCs w:val="24"/>
        </w:rPr>
        <w:t>Vyhláška č. 116/2011 Sb.</w:t>
      </w:r>
    </w:p>
    <w:p w:rsidR="0041281F" w:rsidRPr="00203813" w:rsidRDefault="0041281F" w:rsidP="0041281F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§ 1 Poskytování poradenských služeb –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dětem, žákům, studentům, zákonným zástupcům, školám a školským zařízením,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bezplatně.</w:t>
      </w:r>
    </w:p>
    <w:p w:rsidR="0041281F" w:rsidRPr="00203813" w:rsidRDefault="0041281F" w:rsidP="0041281F">
      <w:pPr>
        <w:pStyle w:val="Nadpis2"/>
        <w:ind w:left="810" w:hanging="810"/>
        <w:rPr>
          <w:rFonts w:asciiTheme="majorHAnsi" w:hAnsiTheme="majorHAnsi" w:cs="Calibri"/>
          <w:b/>
          <w:bCs/>
          <w:color w:val="auto"/>
          <w:sz w:val="24"/>
          <w:szCs w:val="24"/>
        </w:rPr>
      </w:pPr>
    </w:p>
    <w:p w:rsidR="00642E78" w:rsidRPr="00752375" w:rsidRDefault="0041281F" w:rsidP="00752375">
      <w:pPr>
        <w:pStyle w:val="Nadpis2"/>
        <w:numPr>
          <w:ilvl w:val="0"/>
          <w:numId w:val="4"/>
        </w:numPr>
        <w:ind w:left="810" w:hanging="810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§ 2 Obsah poradenských služeb:</w:t>
      </w:r>
      <w:r w:rsidR="00752375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 </w:t>
      </w:r>
      <w:proofErr w:type="gramStart"/>
      <w:r w:rsidR="00752375">
        <w:rPr>
          <w:rFonts w:asciiTheme="majorHAnsi" w:hAnsiTheme="majorHAnsi" w:cs="Calibri"/>
          <w:b/>
          <w:bCs/>
          <w:color w:val="auto"/>
          <w:sz w:val="24"/>
          <w:szCs w:val="24"/>
        </w:rPr>
        <w:t>viz. vyhláška</w:t>
      </w:r>
      <w:proofErr w:type="gramEnd"/>
    </w:p>
    <w:sectPr w:rsidR="00642E78" w:rsidRPr="0075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Scrip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F6F58C"/>
    <w:lvl w:ilvl="0">
      <w:numFmt w:val="bullet"/>
      <w:lvlText w:val="*"/>
      <w:lvlJc w:val="left"/>
    </w:lvl>
  </w:abstractNum>
  <w:abstractNum w:abstractNumId="1">
    <w:nsid w:val="05EC4F5A"/>
    <w:multiLevelType w:val="hybridMultilevel"/>
    <w:tmpl w:val="FD8231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D680D"/>
    <w:multiLevelType w:val="hybridMultilevel"/>
    <w:tmpl w:val="F11AF11C"/>
    <w:lvl w:ilvl="0" w:tplc="040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310A0096"/>
    <w:multiLevelType w:val="hybridMultilevel"/>
    <w:tmpl w:val="3E14FD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31338F"/>
    <w:multiLevelType w:val="hybridMultilevel"/>
    <w:tmpl w:val="41EA0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87383"/>
    <w:multiLevelType w:val="hybridMultilevel"/>
    <w:tmpl w:val="640EC9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6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3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53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4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28"/>
          <w:szCs w:val="28"/>
        </w:rPr>
      </w:lvl>
    </w:lvlOverride>
  </w:num>
  <w:num w:numId="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9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24"/>
          <w:szCs w:val="24"/>
        </w:rPr>
      </w:lvl>
    </w:lvlOverride>
  </w:num>
  <w:num w:numId="10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Calibri" w:hAnsi="Calibri" w:cs="Calibri" w:hint="default"/>
          <w:sz w:val="46"/>
        </w:rPr>
      </w:lvl>
    </w:lvlOverride>
  </w:num>
  <w:num w:numId="11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Calibri" w:hAnsi="Calibri" w:cs="Calibri" w:hint="default"/>
          <w:sz w:val="38"/>
        </w:rPr>
      </w:lvl>
    </w:lvlOverride>
  </w:num>
  <w:num w:numId="12">
    <w:abstractNumId w:val="0"/>
    <w:lvlOverride w:ilvl="0">
      <w:lvl w:ilvl="0">
        <w:numFmt w:val="bullet"/>
        <w:lvlText w:val="→"/>
        <w:legacy w:legacy="1" w:legacySpace="0" w:legacyIndent="0"/>
        <w:lvlJc w:val="left"/>
        <w:rPr>
          <w:rFonts w:ascii="Calibri" w:hAnsi="Calibri" w:cs="Calibri" w:hint="default"/>
          <w:sz w:val="46"/>
        </w:rPr>
      </w:lvl>
    </w:lvlOverride>
  </w:num>
  <w:num w:numId="13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53"/>
        </w:rPr>
      </w:lvl>
    </w:lvlOverride>
  </w:num>
  <w:num w:numId="1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6"/>
        </w:rPr>
      </w:lvl>
    </w:lvlOverride>
  </w:num>
  <w:num w:numId="15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3"/>
        </w:rPr>
      </w:lvl>
    </w:lvlOverride>
  </w:num>
  <w:num w:numId="16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38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18">
    <w:abstractNumId w:val="2"/>
  </w:num>
  <w:num w:numId="19">
    <w:abstractNumId w:val="5"/>
  </w:num>
  <w:num w:numId="20">
    <w:abstractNumId w:val="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7C"/>
    <w:rsid w:val="002C0538"/>
    <w:rsid w:val="0041281F"/>
    <w:rsid w:val="005C397C"/>
    <w:rsid w:val="00642E78"/>
    <w:rsid w:val="00752375"/>
    <w:rsid w:val="007A182F"/>
    <w:rsid w:val="009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281F"/>
    <w:pPr>
      <w:widowControl w:val="0"/>
      <w:autoSpaceDE w:val="0"/>
      <w:autoSpaceDN w:val="0"/>
      <w:adjustRightInd w:val="0"/>
      <w:spacing w:after="0" w:line="240" w:lineRule="auto"/>
      <w:ind w:left="430" w:hanging="430"/>
      <w:outlineLvl w:val="0"/>
    </w:pPr>
    <w:rPr>
      <w:rFonts w:ascii="Times New Roman" w:eastAsiaTheme="minorEastAsia" w:hAnsi="Times New Roman" w:cs="Times New Roman"/>
      <w:color w:val="000000"/>
      <w:kern w:val="24"/>
      <w:sz w:val="52"/>
      <w:szCs w:val="5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81F"/>
    <w:pPr>
      <w:widowControl w:val="0"/>
      <w:autoSpaceDE w:val="0"/>
      <w:autoSpaceDN w:val="0"/>
      <w:adjustRightInd w:val="0"/>
      <w:spacing w:after="0" w:line="240" w:lineRule="auto"/>
      <w:ind w:left="1008" w:hanging="388"/>
      <w:outlineLvl w:val="1"/>
    </w:pPr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81F"/>
    <w:rPr>
      <w:rFonts w:ascii="Times New Roman" w:eastAsiaTheme="minorEastAsia" w:hAnsi="Times New Roman" w:cs="Times New Roman"/>
      <w:color w:val="000000"/>
      <w:kern w:val="24"/>
      <w:sz w:val="52"/>
      <w:szCs w:val="5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41281F"/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paragraph" w:styleId="Normlnweb">
    <w:name w:val="Normal (Web)"/>
    <w:basedOn w:val="Normln"/>
    <w:rsid w:val="007A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A1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281F"/>
    <w:pPr>
      <w:widowControl w:val="0"/>
      <w:autoSpaceDE w:val="0"/>
      <w:autoSpaceDN w:val="0"/>
      <w:adjustRightInd w:val="0"/>
      <w:spacing w:after="0" w:line="240" w:lineRule="auto"/>
      <w:ind w:left="430" w:hanging="430"/>
      <w:outlineLvl w:val="0"/>
    </w:pPr>
    <w:rPr>
      <w:rFonts w:ascii="Times New Roman" w:eastAsiaTheme="minorEastAsia" w:hAnsi="Times New Roman" w:cs="Times New Roman"/>
      <w:color w:val="000000"/>
      <w:kern w:val="24"/>
      <w:sz w:val="52"/>
      <w:szCs w:val="5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81F"/>
    <w:pPr>
      <w:widowControl w:val="0"/>
      <w:autoSpaceDE w:val="0"/>
      <w:autoSpaceDN w:val="0"/>
      <w:adjustRightInd w:val="0"/>
      <w:spacing w:after="0" w:line="240" w:lineRule="auto"/>
      <w:ind w:left="1008" w:hanging="388"/>
      <w:outlineLvl w:val="1"/>
    </w:pPr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81F"/>
    <w:rPr>
      <w:rFonts w:ascii="Times New Roman" w:eastAsiaTheme="minorEastAsia" w:hAnsi="Times New Roman" w:cs="Times New Roman"/>
      <w:color w:val="000000"/>
      <w:kern w:val="24"/>
      <w:sz w:val="52"/>
      <w:szCs w:val="5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41281F"/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paragraph" w:styleId="Normlnweb">
    <w:name w:val="Normal (Web)"/>
    <w:basedOn w:val="Normln"/>
    <w:rsid w:val="007A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A1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ppraha.cz/soubory/48_2005_Sb.tx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1161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Janca_Notebook</dc:creator>
  <cp:keywords/>
  <dc:description/>
  <cp:lastModifiedBy>Janca_Notebook</cp:lastModifiedBy>
  <cp:revision>5</cp:revision>
  <dcterms:created xsi:type="dcterms:W3CDTF">2013-03-21T16:49:00Z</dcterms:created>
  <dcterms:modified xsi:type="dcterms:W3CDTF">2013-03-21T19:13:00Z</dcterms:modified>
</cp:coreProperties>
</file>