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24" w:rsidRPr="00BE0D02" w:rsidRDefault="004D5BEA" w:rsidP="004D5BEA">
      <w:pPr>
        <w:numPr>
          <w:ilvl w:val="0"/>
          <w:numId w:val="1"/>
        </w:numPr>
      </w:pPr>
      <w:r w:rsidRPr="004D5BEA">
        <w:rPr>
          <w:b/>
          <w:bCs/>
        </w:rPr>
        <w:t xml:space="preserve">Osobnost člověka se zrakovým postižením </w:t>
      </w:r>
    </w:p>
    <w:p w:rsidR="00BE0D02" w:rsidRPr="004D5BEA" w:rsidRDefault="00BE0D02" w:rsidP="00BE0D02">
      <w:pPr>
        <w:ind w:left="720"/>
      </w:pPr>
    </w:p>
    <w:p w:rsidR="00543B24" w:rsidRDefault="004D5BEA" w:rsidP="004D5BEA">
      <w:pPr>
        <w:numPr>
          <w:ilvl w:val="0"/>
          <w:numId w:val="1"/>
        </w:numPr>
      </w:pPr>
      <w:r w:rsidRPr="004D5BEA">
        <w:t xml:space="preserve">Zita Nováková </w:t>
      </w:r>
    </w:p>
    <w:p w:rsidR="00BE0D02" w:rsidRDefault="00BE0D02" w:rsidP="00BE0D02">
      <w:pPr>
        <w:pStyle w:val="Odstavecseseznamem"/>
      </w:pPr>
    </w:p>
    <w:p w:rsidR="00BE0D02" w:rsidRPr="004D5BEA" w:rsidRDefault="00BE0D02" w:rsidP="00BE0D02">
      <w:pPr>
        <w:ind w:left="720"/>
      </w:pPr>
    </w:p>
    <w:p w:rsidR="00543B24" w:rsidRPr="00BE0D02" w:rsidRDefault="004D5BEA" w:rsidP="00BE0D02">
      <w:r w:rsidRPr="004D5BEA">
        <w:rPr>
          <w:b/>
          <w:bCs/>
        </w:rPr>
        <w:t xml:space="preserve">Vliv zrakové vady na osobnost </w:t>
      </w:r>
    </w:p>
    <w:p w:rsidR="00BE0D02" w:rsidRPr="004D5BEA" w:rsidRDefault="00BE0D02" w:rsidP="00BE0D02">
      <w:pPr>
        <w:ind w:left="720"/>
      </w:pP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 xml:space="preserve">vliv na celou osobnost 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psychický a fyzický vývoj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primární postižení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sekundární změny – senzorická deprivace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 xml:space="preserve">míra vlivu závisí </w:t>
      </w:r>
      <w:proofErr w:type="gramStart"/>
      <w:r w:rsidRPr="004D5BEA">
        <w:t>na</w:t>
      </w:r>
      <w:proofErr w:type="gramEnd"/>
      <w:r w:rsidRPr="004D5BEA">
        <w:t>: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diagnóze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závažnosti – stupni vady</w:t>
      </w:r>
    </w:p>
    <w:p w:rsidR="00543B24" w:rsidRDefault="004D5BEA" w:rsidP="004D5BEA">
      <w:pPr>
        <w:numPr>
          <w:ilvl w:val="1"/>
          <w:numId w:val="1"/>
        </w:numPr>
      </w:pPr>
      <w:r w:rsidRPr="004D5BEA">
        <w:t xml:space="preserve">době vzniku a etiologii vady </w:t>
      </w:r>
    </w:p>
    <w:p w:rsidR="00BE0D02" w:rsidRPr="004D5BEA" w:rsidRDefault="00BE0D02" w:rsidP="00BE0D02">
      <w:pPr>
        <w:ind w:left="1440"/>
      </w:pPr>
    </w:p>
    <w:p w:rsidR="00543B24" w:rsidRPr="004D5BEA" w:rsidRDefault="004D5BEA" w:rsidP="00BE0D02">
      <w:r w:rsidRPr="004D5BEA">
        <w:rPr>
          <w:b/>
          <w:bCs/>
        </w:rPr>
        <w:t xml:space="preserve">Vada vrozená nebo získaná?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 xml:space="preserve">v jaké míře byly vytvořeny adekvátní vizuální představy o okolním světě 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5-7 let – hranice pro zachování zrakových představ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zformování osobnosti</w:t>
      </w:r>
    </w:p>
    <w:p w:rsidR="00543B24" w:rsidRPr="00BE0D02" w:rsidRDefault="004D5BEA" w:rsidP="004D5BEA">
      <w:pPr>
        <w:numPr>
          <w:ilvl w:val="0"/>
          <w:numId w:val="1"/>
        </w:numPr>
      </w:pPr>
      <w:r w:rsidRPr="004D5BEA">
        <w:t>subjektivní zpracování zátěže sebou samým a blízkým okolím</w:t>
      </w:r>
      <w:r w:rsidRPr="004D5BEA">
        <w:rPr>
          <w:b/>
          <w:bCs/>
        </w:rPr>
        <w:t xml:space="preserve"> </w:t>
      </w:r>
    </w:p>
    <w:p w:rsidR="00BE0D02" w:rsidRPr="004D5BEA" w:rsidRDefault="00BE0D02" w:rsidP="00BE0D02">
      <w:pPr>
        <w:ind w:left="720"/>
      </w:pPr>
    </w:p>
    <w:p w:rsidR="00543B24" w:rsidRPr="004D5BEA" w:rsidRDefault="004D5BEA" w:rsidP="00BE0D02">
      <w:r w:rsidRPr="004D5BEA">
        <w:rPr>
          <w:b/>
          <w:bCs/>
        </w:rPr>
        <w:t xml:space="preserve">Akceptace vady </w:t>
      </w:r>
      <w:r w:rsidRPr="004D5BEA">
        <w:rPr>
          <w:b/>
          <w:bCs/>
          <w:vertAlign w:val="subscript"/>
        </w:rPr>
        <w:t>(</w:t>
      </w:r>
      <w:proofErr w:type="spellStart"/>
      <w:r w:rsidRPr="004D5BEA">
        <w:rPr>
          <w:b/>
          <w:bCs/>
          <w:vertAlign w:val="subscript"/>
        </w:rPr>
        <w:t>Čálek</w:t>
      </w:r>
      <w:proofErr w:type="spellEnd"/>
      <w:r w:rsidRPr="004D5BEA">
        <w:rPr>
          <w:b/>
          <w:bCs/>
          <w:vertAlign w:val="subscript"/>
        </w:rPr>
        <w:t xml:space="preserve">, 1992)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 xml:space="preserve">Definice, pojmy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rPr>
          <w:b/>
          <w:bCs/>
        </w:rPr>
        <w:t>přijetí</w:t>
      </w:r>
      <w:r w:rsidRPr="004D5BEA">
        <w:t xml:space="preserve">, osvojení všech životních </w:t>
      </w:r>
      <w:r w:rsidRPr="004D5BEA">
        <w:rPr>
          <w:b/>
          <w:bCs/>
        </w:rPr>
        <w:t>možností a</w:t>
      </w:r>
      <w:r w:rsidRPr="004D5BEA">
        <w:t xml:space="preserve"> </w:t>
      </w:r>
      <w:r w:rsidRPr="004D5BEA">
        <w:rPr>
          <w:b/>
          <w:bCs/>
        </w:rPr>
        <w:t>omezení</w:t>
      </w:r>
      <w:r w:rsidRPr="004D5BEA">
        <w:t xml:space="preserve"> souvisejících s postižením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aktivní přístup k životním situacím a motivace je řešit</w:t>
      </w:r>
    </w:p>
    <w:p w:rsidR="00543B24" w:rsidRPr="004D5BEA" w:rsidRDefault="004D5BEA" w:rsidP="004D5BEA">
      <w:pPr>
        <w:numPr>
          <w:ilvl w:val="0"/>
          <w:numId w:val="1"/>
        </w:numPr>
      </w:pPr>
      <w:proofErr w:type="spellStart"/>
      <w:r w:rsidRPr="004D5BEA">
        <w:t>sebeakceptace</w:t>
      </w:r>
      <w:proofErr w:type="spellEnd"/>
      <w:r w:rsidRPr="004D5BEA">
        <w:t xml:space="preserve"> – </w:t>
      </w:r>
      <w:proofErr w:type="spellStart"/>
      <w:r w:rsidRPr="004D5BEA">
        <w:t>sebepřijetí</w:t>
      </w:r>
      <w:proofErr w:type="spellEnd"/>
      <w:r w:rsidRPr="004D5BEA">
        <w:t xml:space="preserve"> - sebeúcta</w:t>
      </w:r>
    </w:p>
    <w:p w:rsidR="00543B24" w:rsidRPr="004D5BEA" w:rsidRDefault="004D5BEA" w:rsidP="00BE0D02">
      <w:pPr>
        <w:ind w:left="360"/>
      </w:pPr>
      <w:r w:rsidRPr="004D5BEA">
        <w:lastRenderedPageBreak/>
        <w:t xml:space="preserve">Faktory akceptace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osobnost člověka a její rysy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 xml:space="preserve">aspirace člověka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životní příběh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bezprostřední okolí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životní podmínky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kompenzační schopnosti</w:t>
      </w:r>
    </w:p>
    <w:p w:rsidR="00543B24" w:rsidRDefault="004D5BEA" w:rsidP="004D5BEA">
      <w:pPr>
        <w:numPr>
          <w:ilvl w:val="0"/>
          <w:numId w:val="1"/>
        </w:numPr>
      </w:pPr>
      <w:r w:rsidRPr="004D5BEA">
        <w:t>naplnění kvality života</w:t>
      </w:r>
    </w:p>
    <w:p w:rsidR="00BE0D02" w:rsidRPr="004D5BEA" w:rsidRDefault="00BE0D02" w:rsidP="00BE0D02">
      <w:pPr>
        <w:ind w:left="720"/>
      </w:pPr>
    </w:p>
    <w:p w:rsidR="00543B24" w:rsidRPr="00BE0D02" w:rsidRDefault="004D5BEA" w:rsidP="00BE0D02">
      <w:pPr>
        <w:rPr>
          <w:b/>
        </w:rPr>
      </w:pPr>
      <w:proofErr w:type="spellStart"/>
      <w:r w:rsidRPr="00BE0D02">
        <w:rPr>
          <w:b/>
        </w:rPr>
        <w:t>Nonakceptace</w:t>
      </w:r>
      <w:proofErr w:type="spellEnd"/>
      <w:r w:rsidRPr="00BE0D02">
        <w:rPr>
          <w:b/>
        </w:rPr>
        <w:t>/</w:t>
      </w:r>
      <w:proofErr w:type="spellStart"/>
      <w:r w:rsidRPr="00BE0D02">
        <w:rPr>
          <w:b/>
        </w:rPr>
        <w:t>inakceptace</w:t>
      </w:r>
      <w:proofErr w:type="spellEnd"/>
      <w:r w:rsidRPr="00BE0D02">
        <w:rPr>
          <w:b/>
        </w:rPr>
        <w:t xml:space="preserve"> ztráty zraku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může být dílčí nebo celková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stigmatizace, pocity méněcennosti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2 extrémy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rPr>
          <w:b/>
          <w:bCs/>
        </w:rPr>
        <w:t>popírání</w:t>
      </w:r>
      <w:r w:rsidRPr="004D5BEA">
        <w:t xml:space="preserve"> – (např. prakticky nevidomí) - motivační </w:t>
      </w:r>
      <w:proofErr w:type="spellStart"/>
      <w:r w:rsidRPr="004D5BEA">
        <w:t>hyperkompenzace</w:t>
      </w:r>
      <w:proofErr w:type="spellEnd"/>
      <w:r w:rsidRPr="004D5BEA">
        <w:t xml:space="preserve"> 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rPr>
          <w:b/>
          <w:bCs/>
        </w:rPr>
        <w:t>zveličování</w:t>
      </w:r>
      <w:r w:rsidRPr="004D5BEA">
        <w:t xml:space="preserve"> - podlehnutí –syndrom naučené bezmocnosti </w:t>
      </w:r>
      <w:r w:rsidRPr="004D5BEA">
        <w:rPr>
          <w:vertAlign w:val="subscript"/>
        </w:rPr>
        <w:t>(Jesenský a kol., 2007)</w:t>
      </w:r>
    </w:p>
    <w:p w:rsidR="00543B24" w:rsidRDefault="004D5BEA" w:rsidP="004D5BEA">
      <w:pPr>
        <w:numPr>
          <w:ilvl w:val="0"/>
          <w:numId w:val="1"/>
        </w:numPr>
      </w:pPr>
      <w:r w:rsidRPr="004D5BEA">
        <w:t>důvodem nedostatečná informovanost</w:t>
      </w:r>
    </w:p>
    <w:p w:rsidR="00BE0D02" w:rsidRPr="004D5BEA" w:rsidRDefault="00BE0D02" w:rsidP="00BE0D02">
      <w:pPr>
        <w:ind w:left="720"/>
      </w:pPr>
    </w:p>
    <w:p w:rsidR="00543B24" w:rsidRPr="004D5BEA" w:rsidRDefault="004D5BEA" w:rsidP="00BE0D02">
      <w:r w:rsidRPr="004D5BEA">
        <w:rPr>
          <w:b/>
          <w:bCs/>
        </w:rPr>
        <w:t xml:space="preserve">Rodina dítěte s </w:t>
      </w:r>
      <w:r w:rsidRPr="004D5BEA">
        <w:t>vrozeným</w:t>
      </w:r>
      <w:r w:rsidRPr="004D5BEA">
        <w:rPr>
          <w:b/>
          <w:bCs/>
        </w:rPr>
        <w:t xml:space="preserve"> zrakovým postižením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narození dítěte s postižením – trauma, zátěž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fáze přijetí pozice rodiče s postižením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šok a popření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postupná akceptace a vyrovnávání se s problémem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fáze realismu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plná akceptace?</w:t>
      </w:r>
    </w:p>
    <w:p w:rsidR="00543B24" w:rsidRDefault="004D5BEA" w:rsidP="004D5BEA">
      <w:pPr>
        <w:numPr>
          <w:ilvl w:val="0"/>
          <w:numId w:val="1"/>
        </w:numPr>
      </w:pPr>
      <w:r w:rsidRPr="004D5BEA">
        <w:t xml:space="preserve">sourozenci </w:t>
      </w:r>
    </w:p>
    <w:p w:rsidR="00BE0D02" w:rsidRPr="004D5BEA" w:rsidRDefault="00BE0D02" w:rsidP="00BE0D02">
      <w:pPr>
        <w:ind w:left="720"/>
      </w:pPr>
    </w:p>
    <w:p w:rsidR="00543B24" w:rsidRPr="00BE0D02" w:rsidRDefault="004D5BEA" w:rsidP="00BE0D02">
      <w:pPr>
        <w:rPr>
          <w:b/>
        </w:rPr>
      </w:pPr>
      <w:r w:rsidRPr="00BE0D02">
        <w:rPr>
          <w:b/>
        </w:rPr>
        <w:t xml:space="preserve">Oslabení či ztráta zraku v dospělém a seniorském věku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lastRenderedPageBreak/>
        <w:t>rozdíl ve věkových pásmech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progresivní/pozvolná nebo náhlá ztráta</w:t>
      </w:r>
    </w:p>
    <w:p w:rsidR="00543B24" w:rsidRDefault="004D5BEA" w:rsidP="004D5BEA">
      <w:pPr>
        <w:numPr>
          <w:ilvl w:val="0"/>
          <w:numId w:val="1"/>
        </w:numPr>
      </w:pPr>
      <w:r w:rsidRPr="004D5BEA">
        <w:t>trauma, nevratná ztráta kompetencí</w:t>
      </w:r>
    </w:p>
    <w:p w:rsidR="00BE0D02" w:rsidRPr="004D5BEA" w:rsidRDefault="00BE0D02" w:rsidP="00BE0D02">
      <w:pPr>
        <w:ind w:left="720"/>
      </w:pPr>
    </w:p>
    <w:p w:rsidR="00543B24" w:rsidRPr="004D5BEA" w:rsidRDefault="004D5BEA" w:rsidP="00BE0D02">
      <w:pPr>
        <w:ind w:left="360"/>
      </w:pPr>
      <w:r w:rsidRPr="004D5BEA">
        <w:t>Senioři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 xml:space="preserve">postižení jednotlivých zrakových funkcí 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odlišná rychlost zpracování informací</w:t>
      </w:r>
    </w:p>
    <w:p w:rsidR="00543B24" w:rsidRDefault="004D5BEA" w:rsidP="004D5BEA">
      <w:pPr>
        <w:numPr>
          <w:ilvl w:val="1"/>
          <w:numId w:val="1"/>
        </w:numPr>
      </w:pPr>
      <w:r w:rsidRPr="004D5BEA">
        <w:t xml:space="preserve">výrazné riziko </w:t>
      </w:r>
      <w:r w:rsidRPr="004D5BEA">
        <w:rPr>
          <w:b/>
          <w:bCs/>
        </w:rPr>
        <w:t>rezignace a sociální izolace</w:t>
      </w:r>
      <w:r w:rsidRPr="004D5BEA">
        <w:t xml:space="preserve"> </w:t>
      </w:r>
    </w:p>
    <w:p w:rsidR="00BE0D02" w:rsidRPr="004D5BEA" w:rsidRDefault="00BE0D02" w:rsidP="00BE0D02">
      <w:pPr>
        <w:ind w:left="1440"/>
      </w:pPr>
    </w:p>
    <w:p w:rsidR="00543B24" w:rsidRPr="004D5BEA" w:rsidRDefault="004D5BEA" w:rsidP="00BE0D02">
      <w:r w:rsidRPr="004D5BEA">
        <w:rPr>
          <w:b/>
          <w:bCs/>
        </w:rPr>
        <w:t xml:space="preserve">Akceptace a </w:t>
      </w:r>
      <w:proofErr w:type="spellStart"/>
      <w:r w:rsidRPr="004D5BEA">
        <w:rPr>
          <w:b/>
          <w:bCs/>
        </w:rPr>
        <w:t>sebepojetí</w:t>
      </w:r>
      <w:proofErr w:type="spellEnd"/>
      <w:r w:rsidRPr="004D5BEA">
        <w:rPr>
          <w:b/>
          <w:bCs/>
        </w:rPr>
        <w:t xml:space="preserve">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Akceptace X stigmatizace a pocity méněcennosti</w:t>
      </w:r>
    </w:p>
    <w:p w:rsidR="00543B24" w:rsidRPr="004D5BEA" w:rsidRDefault="004D5BEA" w:rsidP="004D5BEA">
      <w:pPr>
        <w:numPr>
          <w:ilvl w:val="0"/>
          <w:numId w:val="1"/>
        </w:numPr>
      </w:pPr>
      <w:proofErr w:type="spellStart"/>
      <w:r w:rsidRPr="004D5BEA">
        <w:t>Sebepojetí</w:t>
      </w:r>
      <w:proofErr w:type="spellEnd"/>
      <w:r w:rsidRPr="004D5BEA">
        <w:t xml:space="preserve"> souvisí s pocity méněcennosti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 xml:space="preserve">Úroveň </w:t>
      </w:r>
      <w:proofErr w:type="spellStart"/>
      <w:r w:rsidRPr="004D5BEA">
        <w:t>sebepojetí</w:t>
      </w:r>
      <w:proofErr w:type="spellEnd"/>
      <w:r w:rsidRPr="004D5BEA">
        <w:t xml:space="preserve"> → úroveň kompetencí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Autonomie – svébytnost, nezávislost, právo rozhodovat o svém životě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batolecí věk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Puberta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Hledání sebe sama a své identity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Aktivní přístup X pasivní přístup</w:t>
      </w:r>
    </w:p>
    <w:p w:rsidR="00BE0D02" w:rsidRDefault="00BE0D02" w:rsidP="00BE0D02">
      <w:pPr>
        <w:ind w:left="360"/>
        <w:rPr>
          <w:b/>
          <w:bCs/>
        </w:rPr>
      </w:pPr>
    </w:p>
    <w:p w:rsidR="00BE0D02" w:rsidRDefault="00BE0D02" w:rsidP="00BE0D02">
      <w:pPr>
        <w:ind w:left="360"/>
        <w:rPr>
          <w:b/>
          <w:bCs/>
        </w:rPr>
      </w:pPr>
    </w:p>
    <w:p w:rsidR="00543B24" w:rsidRPr="004D5BEA" w:rsidRDefault="004D5BEA" w:rsidP="00BE0D02">
      <w:pPr>
        <w:ind w:left="360"/>
      </w:pPr>
      <w:r w:rsidRPr="004D5BEA">
        <w:rPr>
          <w:b/>
          <w:bCs/>
        </w:rPr>
        <w:t xml:space="preserve">Vývoj osobnosti dítěte s těžkou vrozenou vadou </w:t>
      </w:r>
      <w:r w:rsidRPr="004D5BEA">
        <w:rPr>
          <w:b/>
          <w:bCs/>
          <w:vertAlign w:val="subscript"/>
        </w:rPr>
        <w:t xml:space="preserve">(Vágnerová, 1995, </w:t>
      </w:r>
      <w:proofErr w:type="spellStart"/>
      <w:r w:rsidRPr="004D5BEA">
        <w:rPr>
          <w:b/>
          <w:bCs/>
          <w:vertAlign w:val="subscript"/>
        </w:rPr>
        <w:t>McLinden</w:t>
      </w:r>
      <w:proofErr w:type="spellEnd"/>
      <w:r w:rsidRPr="004D5BEA">
        <w:rPr>
          <w:vertAlign w:val="subscript"/>
        </w:rPr>
        <w:t>, 1997)</w:t>
      </w:r>
      <w:r w:rsidRPr="004D5BEA">
        <w:rPr>
          <w:b/>
          <w:bCs/>
        </w:rPr>
        <w:t xml:space="preserve"> 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psychický vývoj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>stejné fáze jako u intaktních, ale se specifiky</w:t>
      </w:r>
    </w:p>
    <w:p w:rsidR="00543B24" w:rsidRPr="004D5BEA" w:rsidRDefault="004D5BEA" w:rsidP="004D5BEA">
      <w:pPr>
        <w:numPr>
          <w:ilvl w:val="1"/>
          <w:numId w:val="1"/>
        </w:numPr>
      </w:pPr>
      <w:r w:rsidRPr="004D5BEA">
        <w:t xml:space="preserve">ovlivněn závažností vady, dědičností, </w:t>
      </w:r>
      <w:proofErr w:type="gramStart"/>
      <w:r w:rsidRPr="004D5BEA">
        <w:t>prostředím,výchovným</w:t>
      </w:r>
      <w:proofErr w:type="gramEnd"/>
      <w:r w:rsidRPr="004D5BEA">
        <w:t xml:space="preserve"> stylem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 xml:space="preserve">v raném věku mluvíme o </w:t>
      </w:r>
      <w:r w:rsidRPr="004D5BEA">
        <w:rPr>
          <w:b/>
          <w:bCs/>
        </w:rPr>
        <w:t>psychomotorickém vývoji</w:t>
      </w:r>
    </w:p>
    <w:p w:rsidR="00543B24" w:rsidRPr="004D5BEA" w:rsidRDefault="004D5BEA" w:rsidP="004D5BEA">
      <w:pPr>
        <w:numPr>
          <w:ilvl w:val="0"/>
          <w:numId w:val="1"/>
        </w:numPr>
      </w:pPr>
      <w:r w:rsidRPr="004D5BEA">
        <w:t>3 složky</w:t>
      </w:r>
    </w:p>
    <w:p w:rsidR="004D5BEA" w:rsidRPr="004D5BEA" w:rsidRDefault="004D5BEA" w:rsidP="004D5BEA">
      <w:r w:rsidRPr="004D5BEA">
        <w:t xml:space="preserve">                           kognitivní vývoj</w:t>
      </w:r>
    </w:p>
    <w:p w:rsidR="004D5BEA" w:rsidRPr="004D5BEA" w:rsidRDefault="004D5BEA" w:rsidP="004D5BEA">
      <w:r w:rsidRPr="004D5BEA">
        <w:lastRenderedPageBreak/>
        <w:t xml:space="preserve">                            sociální vývoj</w:t>
      </w:r>
    </w:p>
    <w:p w:rsidR="00192E23" w:rsidRPr="004D5BEA" w:rsidRDefault="004D5BEA" w:rsidP="004D5BEA">
      <w:r w:rsidRPr="004D5BEA">
        <w:t xml:space="preserve">                           pohybový vývoj </w:t>
      </w:r>
    </w:p>
    <w:p w:rsidR="00192E23" w:rsidRDefault="00192E23" w:rsidP="00192E23">
      <w:pPr>
        <w:rPr>
          <w:b/>
          <w:bCs/>
        </w:rPr>
      </w:pPr>
    </w:p>
    <w:p w:rsidR="00543B24" w:rsidRPr="004D5BEA" w:rsidRDefault="004D5BEA" w:rsidP="00192E23">
      <w:r w:rsidRPr="004D5BEA">
        <w:rPr>
          <w:b/>
          <w:bCs/>
        </w:rPr>
        <w:t xml:space="preserve">Kognitivní vývoj, myšlení a řeč 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senzorická deprivace – snížení aktivační úrovně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 xml:space="preserve">omezení poznávacích </w:t>
      </w:r>
      <w:proofErr w:type="gramStart"/>
      <w:r w:rsidRPr="004D5BEA">
        <w:t>schopností  zrakovou</w:t>
      </w:r>
      <w:proofErr w:type="gramEnd"/>
      <w:r w:rsidRPr="004D5BEA">
        <w:t xml:space="preserve"> cestou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kompenzace hmatem, sluchem, čichem, atd.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koncentrace pozornosti – snížená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trénink paměti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nedostatek smyslové zkušenosti → narušení diferenciace představ →specifika v myšlení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řeč</w:t>
      </w:r>
    </w:p>
    <w:p w:rsidR="00543B24" w:rsidRPr="004D5BEA" w:rsidRDefault="004D5BEA" w:rsidP="004D5BEA">
      <w:pPr>
        <w:numPr>
          <w:ilvl w:val="1"/>
          <w:numId w:val="2"/>
        </w:numPr>
      </w:pPr>
      <w:r w:rsidRPr="004D5BEA">
        <w:t>kompenzační funkce – verbalismy</w:t>
      </w:r>
    </w:p>
    <w:p w:rsidR="00543B24" w:rsidRDefault="004D5BEA" w:rsidP="004D5BEA">
      <w:pPr>
        <w:numPr>
          <w:ilvl w:val="1"/>
          <w:numId w:val="2"/>
        </w:numPr>
      </w:pPr>
      <w:r w:rsidRPr="004D5BEA">
        <w:t>kognitivní a komunikační funkce</w:t>
      </w:r>
    </w:p>
    <w:p w:rsidR="00192E23" w:rsidRPr="004D5BEA" w:rsidRDefault="00192E23" w:rsidP="00192E23">
      <w:pPr>
        <w:ind w:left="1440"/>
      </w:pPr>
    </w:p>
    <w:p w:rsidR="00543B24" w:rsidRPr="004D5BEA" w:rsidRDefault="004D5BEA" w:rsidP="00192E23">
      <w:r w:rsidRPr="004D5BEA">
        <w:rPr>
          <w:b/>
          <w:bCs/>
        </w:rPr>
        <w:t xml:space="preserve">Pohybový vývoj 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omezení aktivity a pohybu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opožděný vývoj a přeskočení některých fází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hypotonie, špatné držení těla, rotace chodidel, nakloněná hlava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automatismy – kývání</w:t>
      </w:r>
    </w:p>
    <w:p w:rsidR="00543B24" w:rsidRDefault="004D5BEA" w:rsidP="004D5BEA">
      <w:pPr>
        <w:numPr>
          <w:ilvl w:val="0"/>
          <w:numId w:val="2"/>
        </w:numPr>
      </w:pPr>
      <w:r w:rsidRPr="004D5BEA">
        <w:t xml:space="preserve">rozvoj prostorové orientace a samostatného pohybu (POSP), cílený nácvik </w:t>
      </w:r>
    </w:p>
    <w:p w:rsidR="00192E23" w:rsidRPr="004D5BEA" w:rsidRDefault="00192E23" w:rsidP="00192E23">
      <w:pPr>
        <w:ind w:left="720"/>
      </w:pPr>
    </w:p>
    <w:p w:rsidR="00543B24" w:rsidRPr="004D5BEA" w:rsidRDefault="004D5BEA" w:rsidP="00192E23">
      <w:r w:rsidRPr="004D5BEA">
        <w:rPr>
          <w:b/>
          <w:bCs/>
        </w:rPr>
        <w:t xml:space="preserve">Sociální vývoj 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omezení vizuálního kontaktu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nemožnost učení nápodobou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>větší závislost na ostatních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 xml:space="preserve">Souvisí také se </w:t>
      </w:r>
      <w:proofErr w:type="spellStart"/>
      <w:r w:rsidRPr="004D5BEA">
        <w:t>sebeobslužnými</w:t>
      </w:r>
      <w:proofErr w:type="spellEnd"/>
      <w:r w:rsidRPr="004D5BEA">
        <w:t xml:space="preserve"> dovednostmi 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t xml:space="preserve">posilování sociálních dovedností – zvládání sociálních situací (komunikace, zvládání náročných situací, atd.) </w:t>
      </w:r>
    </w:p>
    <w:p w:rsidR="00543B24" w:rsidRPr="004D5BEA" w:rsidRDefault="004D5BEA" w:rsidP="004D5BEA">
      <w:pPr>
        <w:numPr>
          <w:ilvl w:val="0"/>
          <w:numId w:val="2"/>
        </w:numPr>
      </w:pPr>
      <w:r w:rsidRPr="004D5BEA">
        <w:lastRenderedPageBreak/>
        <w:t xml:space="preserve">Videomateriál </w:t>
      </w:r>
    </w:p>
    <w:p w:rsidR="00543B24" w:rsidRPr="004D5BEA" w:rsidRDefault="00543B24" w:rsidP="004D5BEA">
      <w:pPr>
        <w:numPr>
          <w:ilvl w:val="0"/>
          <w:numId w:val="2"/>
        </w:numPr>
      </w:pPr>
      <w:hyperlink r:id="rId5" w:history="1">
        <w:r w:rsidR="004D5BEA" w:rsidRPr="004D5BEA">
          <w:rPr>
            <w:rStyle w:val="Hypertextovodkaz"/>
          </w:rPr>
          <w:t>http://www.</w:t>
        </w:r>
      </w:hyperlink>
      <w:hyperlink r:id="rId6" w:history="1">
        <w:r w:rsidR="004D5BEA" w:rsidRPr="004D5BEA">
          <w:rPr>
            <w:rStyle w:val="Hypertextovodkaz"/>
          </w:rPr>
          <w:t>youtube.com</w:t>
        </w:r>
      </w:hyperlink>
      <w:hyperlink r:id="rId7" w:history="1">
        <w:r w:rsidR="004D5BEA" w:rsidRPr="004D5BEA">
          <w:rPr>
            <w:rStyle w:val="Hypertextovodkaz"/>
          </w:rPr>
          <w:t>/</w:t>
        </w:r>
      </w:hyperlink>
      <w:hyperlink r:id="rId8" w:history="1">
        <w:r w:rsidR="004D5BEA" w:rsidRPr="004D5BEA">
          <w:rPr>
            <w:rStyle w:val="Hypertextovodkaz"/>
          </w:rPr>
          <w:t>watch</w:t>
        </w:r>
      </w:hyperlink>
      <w:hyperlink r:id="rId9" w:history="1">
        <w:r w:rsidR="004D5BEA" w:rsidRPr="004D5BEA">
          <w:rPr>
            <w:rStyle w:val="Hypertextovodkaz"/>
          </w:rPr>
          <w:t>?v=thsimc7LfvU</w:t>
        </w:r>
      </w:hyperlink>
      <w:r w:rsidR="004D5BEA" w:rsidRPr="004D5BEA">
        <w:t xml:space="preserve"> </w:t>
      </w:r>
    </w:p>
    <w:p w:rsidR="004D5BEA" w:rsidRPr="004D5BEA" w:rsidRDefault="004D5BEA" w:rsidP="004D5BEA">
      <w:r w:rsidRPr="004D5BEA">
        <w:rPr>
          <w:b/>
          <w:bCs/>
        </w:rPr>
        <w:t xml:space="preserve">Děkuji za pozornost! </w:t>
      </w:r>
    </w:p>
    <w:p w:rsidR="00092158" w:rsidRDefault="00092158"/>
    <w:sectPr w:rsidR="00092158" w:rsidSect="0009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E0CAB"/>
    <w:multiLevelType w:val="hybridMultilevel"/>
    <w:tmpl w:val="4914DB84"/>
    <w:lvl w:ilvl="0" w:tplc="14FEA9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B8DF8A">
      <w:start w:val="11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AC6E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AE7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248A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2C9E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86F15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AC485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44B2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D712C53"/>
    <w:multiLevelType w:val="hybridMultilevel"/>
    <w:tmpl w:val="73867E40"/>
    <w:lvl w:ilvl="0" w:tplc="D5BC254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A2C456">
      <w:start w:val="11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6A55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9889D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7C46C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4A76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4BC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7080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2A3F9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EA"/>
    <w:rsid w:val="00092158"/>
    <w:rsid w:val="00192E23"/>
    <w:rsid w:val="004D5BEA"/>
    <w:rsid w:val="00543B24"/>
    <w:rsid w:val="00BE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E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68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2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0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52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6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24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81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1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2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61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6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5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7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0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4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3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8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2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21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2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0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5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7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7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56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78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0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5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8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19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15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30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3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5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1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5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0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4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48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41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5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9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3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8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2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5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38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6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1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9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81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705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0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69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3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8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2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3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0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9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8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35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64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1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2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8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0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5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3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3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9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5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5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6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2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hsimc7Lfv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thsimc7Lf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thsimc7Lfv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thsimc7Lfv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thsimc7Lfv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532</Words>
  <Characters>3140</Characters>
  <Application>Microsoft Office Word</Application>
  <DocSecurity>0</DocSecurity>
  <Lines>26</Lines>
  <Paragraphs>7</Paragraphs>
  <ScaleCrop>false</ScaleCrop>
  <Company>ANECT a.s.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5</cp:revision>
  <dcterms:created xsi:type="dcterms:W3CDTF">2013-04-01T21:27:00Z</dcterms:created>
  <dcterms:modified xsi:type="dcterms:W3CDTF">2013-04-01T21:37:00Z</dcterms:modified>
</cp:coreProperties>
</file>