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C5" w:rsidRDefault="007A75C5" w:rsidP="007A75C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 Dalton </w:t>
      </w:r>
      <w:proofErr w:type="spellStart"/>
      <w:r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Plan</w:t>
      </w:r>
      <w:proofErr w:type="spellEnd"/>
    </w:p>
    <w:p w:rsidR="007A75C5" w:rsidRDefault="007A75C5" w:rsidP="007A75C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</w:p>
    <w:p w:rsidR="007A75C5" w:rsidRPr="007A75C5" w:rsidRDefault="007A75C5" w:rsidP="007A75C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proofErr w:type="spellStart"/>
      <w:r w:rsidRPr="007A75C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Mission</w:t>
      </w:r>
      <w:proofErr w:type="spellEnd"/>
      <w:r w:rsidRPr="007A75C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 </w:t>
      </w:r>
      <w:proofErr w:type="spellStart"/>
      <w:r w:rsidRPr="007A75C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Statement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A75C5" w:rsidRPr="007A75C5" w:rsidTr="007A75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Ind w:w="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0"/>
            </w:tblGrid>
            <w:tr w:rsidR="007A75C5" w:rsidRPr="007A75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50"/>
                  </w:tblGrid>
                  <w:tr w:rsidR="007A75C5" w:rsidRPr="007A75C5" w:rsidTr="007A75C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75C5" w:rsidRPr="007A75C5" w:rsidRDefault="007A75C5" w:rsidP="007A75C5">
                        <w:pPr>
                          <w:spacing w:after="0" w:line="240" w:lineRule="auto"/>
                          <w:jc w:val="center"/>
                          <w:divId w:val="17635746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4076700" cy="2714625"/>
                              <wp:effectExtent l="19050" t="0" r="0" b="0"/>
                              <wp:docPr id="1" name="gal5235img" descr="http://cdn.media34.whipplehill.net/ftpimages/98/text/large_text14213_6005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al5235img" descr="http://cdn.media34.whipplehill.net/ftpimages/98/text/large_text14213_6005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A75C5" w:rsidRPr="007A75C5" w:rsidRDefault="007A75C5" w:rsidP="007A75C5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A75C5" w:rsidRPr="007A75C5" w:rsidRDefault="007A75C5" w:rsidP="007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committed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providing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excellence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meets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student’s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interests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abilities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within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curricular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framework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reflects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promotes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appreciation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diversity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part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  Dalton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intellectual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independence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creativity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curiosity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responsibility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toward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within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 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prepares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“go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unafraid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.”</w:t>
            </w:r>
          </w:p>
          <w:p w:rsidR="007A75C5" w:rsidRPr="007A75C5" w:rsidRDefault="007A75C5" w:rsidP="007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As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progressive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Dalton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intentionally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diverse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committed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following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major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principles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daily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Dalton:</w:t>
            </w:r>
          </w:p>
          <w:p w:rsidR="007A75C5" w:rsidRPr="007A75C5" w:rsidRDefault="007A75C5" w:rsidP="007A75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dimensions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intellectual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emotional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aesthetic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spiritual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7A75C5" w:rsidRPr="007A75C5" w:rsidRDefault="007A75C5" w:rsidP="007A75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Cultivating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respect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integrity,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compassion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justice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encourage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responsibility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prejudice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engage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participants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democratic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society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 </w:t>
            </w:r>
          </w:p>
          <w:p w:rsidR="007A75C5" w:rsidRPr="007A75C5" w:rsidRDefault="007A75C5" w:rsidP="007A75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intellectual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independence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risk-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inquiry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experience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collaboration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7A75C5" w:rsidRPr="007A75C5" w:rsidRDefault="007A75C5" w:rsidP="007A75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Valuing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disciplines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humanities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development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interdisciplinary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curriculum,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mindful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emphasis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music,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dance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visual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 </w:t>
            </w:r>
          </w:p>
        </w:tc>
      </w:tr>
    </w:tbl>
    <w:p w:rsidR="008542BE" w:rsidRDefault="008542B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05"/>
      </w:tblGrid>
      <w:tr w:rsidR="007A75C5" w:rsidRPr="007A75C5" w:rsidTr="007A75C5">
        <w:trPr>
          <w:tblCellSpacing w:w="0" w:type="dxa"/>
        </w:trPr>
        <w:tc>
          <w:tcPr>
            <w:tcW w:w="0" w:type="auto"/>
            <w:hideMark/>
          </w:tcPr>
          <w:p w:rsidR="007A75C5" w:rsidRPr="007A75C5" w:rsidRDefault="007A75C5" w:rsidP="007A75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cs-CZ"/>
              </w:rPr>
            </w:pPr>
            <w:proofErr w:type="spellStart"/>
            <w:r w:rsidRPr="007A75C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cs-CZ"/>
              </w:rPr>
              <w:t>Overview</w:t>
            </w:r>
            <w:proofErr w:type="spellEnd"/>
          </w:p>
        </w:tc>
      </w:tr>
    </w:tbl>
    <w:p w:rsidR="007A75C5" w:rsidRPr="007A75C5" w:rsidRDefault="007A75C5" w:rsidP="007A7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9057"/>
      </w:tblGrid>
      <w:tr w:rsidR="007A75C5" w:rsidRPr="007A75C5" w:rsidTr="007A75C5">
        <w:trPr>
          <w:tblCellSpacing w:w="0" w:type="dxa"/>
        </w:trPr>
        <w:tc>
          <w:tcPr>
            <w:tcW w:w="0" w:type="auto"/>
            <w:vAlign w:val="center"/>
            <w:hideMark/>
          </w:tcPr>
          <w:p w:rsidR="007A75C5" w:rsidRPr="007A75C5" w:rsidRDefault="007A75C5" w:rsidP="007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://www.dalton.org/podi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alton.org/podi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7"/>
            </w:tblGrid>
            <w:tr w:rsidR="007A75C5" w:rsidRPr="007A75C5" w:rsidTr="007A75C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A75C5" w:rsidRPr="007A75C5" w:rsidRDefault="007A75C5" w:rsidP="007A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Inspired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by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ferment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turn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century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thinkers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such as John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Dewey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began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bold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vision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new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progressive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American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approach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7A75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Helen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Parkhurst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caught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spirit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change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created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Aiming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achieve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balance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between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each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's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talents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needs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growing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American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community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Helen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Parkhurst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created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model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captured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progressive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spirit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Specifically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had these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objectives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tailor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each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student's program to his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her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needs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interests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abilities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;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promote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both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independence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dependability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;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enhance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student's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social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skills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sense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responsibility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toward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others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Parkhurst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three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-part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continues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structural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foundation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</w:t>
                  </w:r>
                  <w:r w:rsidRPr="007A7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House,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Assignment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,</w:t>
                  </w:r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Lab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begin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children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presented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opportunities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make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choices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about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process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discover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identify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interests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take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responsibility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pursuing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them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Over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years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take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responsibility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own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graduates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frequently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comment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well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prepared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were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college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because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taught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them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budget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time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seek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out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faculty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take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control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own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destinies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Today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as in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early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years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committed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accordance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by Helen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Parkhurst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unique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philosophy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along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fine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facilities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dedicated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faculty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continues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enhance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Dalton's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reputation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nation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's most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innovative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successful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institutions</w:t>
                  </w:r>
                  <w:proofErr w:type="spellEnd"/>
                  <w:r w:rsidRPr="007A7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:rsidR="007A75C5" w:rsidRPr="007A75C5" w:rsidRDefault="007A75C5" w:rsidP="007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A75C5" w:rsidRDefault="007A75C5"/>
    <w:p w:rsidR="007A75C5" w:rsidRPr="007A75C5" w:rsidRDefault="007A75C5" w:rsidP="007A75C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r w:rsidRPr="007A75C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House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A75C5" w:rsidRPr="007A75C5" w:rsidTr="007A75C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Ind w:w="2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0"/>
            </w:tblGrid>
            <w:tr w:rsidR="007A75C5" w:rsidRPr="007A75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50"/>
                  </w:tblGrid>
                  <w:tr w:rsidR="007A75C5" w:rsidRPr="007A75C5" w:rsidTr="007A75C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75C5" w:rsidRPr="007A75C5" w:rsidRDefault="007A75C5" w:rsidP="007A75C5">
                        <w:pPr>
                          <w:spacing w:after="0" w:line="240" w:lineRule="auto"/>
                          <w:jc w:val="center"/>
                          <w:divId w:val="2303079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4076700" cy="2752725"/>
                              <wp:effectExtent l="19050" t="0" r="0" b="0"/>
                              <wp:docPr id="5" name="gal9999img" descr="http://cdn.media34.whipplehill.net/ftpimages/98/text/large_text14228_5675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al9999img" descr="http://cdn.media34.whipplehill.net/ftpimages/98/text/large_text14228_5675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0" cy="275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A75C5" w:rsidRPr="007A75C5" w:rsidRDefault="007A75C5" w:rsidP="007A75C5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A75C5" w:rsidRPr="007A75C5" w:rsidRDefault="007A75C5" w:rsidP="007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Parkhurst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believed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crucial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belong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within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where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would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watchful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eye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skills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successful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part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group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important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Parkhurst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'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homeroom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'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,'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'House,'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pillars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her Dalton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base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 student,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contact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Middle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comprised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grade.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includes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grade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microcosm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community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divisions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relationship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develops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close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supports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throughout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their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Dalton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years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children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also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classroom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teacher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Middle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student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transition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departmentalized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School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House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serves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a coach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counselor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helping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advise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negotiate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faceted</w:t>
            </w:r>
            <w:proofErr w:type="spellEnd"/>
            <w:r w:rsidRPr="007A75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curriculum.</w:t>
            </w:r>
          </w:p>
        </w:tc>
      </w:tr>
    </w:tbl>
    <w:p w:rsidR="007A75C5" w:rsidRDefault="007A75C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27"/>
        <w:gridCol w:w="15"/>
        <w:gridCol w:w="6330"/>
      </w:tblGrid>
      <w:tr w:rsidR="0061667A" w:rsidRPr="0061667A" w:rsidTr="0061667A">
        <w:trPr>
          <w:tblCellSpacing w:w="0" w:type="dxa"/>
        </w:trPr>
        <w:tc>
          <w:tcPr>
            <w:tcW w:w="0" w:type="auto"/>
            <w:hideMark/>
          </w:tcPr>
          <w:p w:rsidR="0061667A" w:rsidRPr="0061667A" w:rsidRDefault="0061667A" w:rsidP="006166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cs-CZ"/>
              </w:rPr>
            </w:pPr>
            <w:proofErr w:type="spellStart"/>
            <w:r w:rsidRPr="0061667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cs-CZ"/>
              </w:rPr>
              <w:t>Assignment</w:t>
            </w:r>
            <w:proofErr w:type="spell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7"/>
            </w:tblGrid>
            <w:tr w:rsidR="0061667A" w:rsidRPr="0061667A" w:rsidTr="0061667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667A" w:rsidRPr="0061667A" w:rsidRDefault="0061667A" w:rsidP="006166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Assignment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represents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contract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between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student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teacher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In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addition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defining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common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obligations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daily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class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work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long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-term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projects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homework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Dalton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Assignments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uniquely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structured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promote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internalization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refinement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time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-management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organizational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skills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while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offering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opportunities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individual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strengths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address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specific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needs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Assignment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introduced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increases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scope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complexity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through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Middle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High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School</w:t>
                  </w:r>
                  <w:proofErr w:type="spellEnd"/>
                  <w:r w:rsidRPr="00616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  <w:tr w:rsidR="0061667A" w:rsidRPr="0061667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667A" w:rsidRPr="0061667A" w:rsidRDefault="0061667A" w:rsidP="00616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1667A" w:rsidRPr="0061667A" w:rsidRDefault="0061667A" w:rsidP="006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1667A" w:rsidRPr="0061667A" w:rsidRDefault="0061667A" w:rsidP="006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http://www.dalton.org/podi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alton.org/podi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30"/>
            </w:tblGrid>
            <w:tr w:rsidR="0061667A" w:rsidRPr="0061667A" w:rsidTr="006166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30"/>
                  </w:tblGrid>
                  <w:tr w:rsidR="0061667A" w:rsidRPr="0061667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330"/>
                        </w:tblGrid>
                        <w:tr w:rsidR="0061667A" w:rsidRPr="0061667A" w:rsidTr="006166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330"/>
                              </w:tblGrid>
                              <w:tr w:rsidR="0061667A" w:rsidRPr="0061667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1667A" w:rsidRPr="0061667A" w:rsidRDefault="0061667A" w:rsidP="006166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4000500" cy="2667000"/>
                                          <wp:effectExtent l="19050" t="0" r="0" b="0"/>
                                          <wp:docPr id="8" name="gal175983img" descr="http://cdn.media34.whipplehill.net/ftpimages/98/photo/large_photo175983_218134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gal175983img" descr="http://cdn.media34.whipplehill.net/ftpimages/98/photo/large_photo175983_218134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0" cy="266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1667A" w:rsidRPr="0061667A" w:rsidRDefault="0061667A" w:rsidP="006166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1667A" w:rsidRPr="0061667A" w:rsidRDefault="0061667A" w:rsidP="006166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1667A" w:rsidRPr="0061667A" w:rsidRDefault="0061667A" w:rsidP="00616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1667A" w:rsidRPr="0061667A" w:rsidRDefault="0061667A" w:rsidP="006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1667A" w:rsidRDefault="0061667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13"/>
      </w:tblGrid>
      <w:tr w:rsidR="00852227" w:rsidRPr="00852227" w:rsidTr="00852227">
        <w:trPr>
          <w:tblCellSpacing w:w="0" w:type="dxa"/>
        </w:trPr>
        <w:tc>
          <w:tcPr>
            <w:tcW w:w="0" w:type="auto"/>
            <w:hideMark/>
          </w:tcPr>
          <w:p w:rsidR="00852227" w:rsidRPr="00852227" w:rsidRDefault="00852227" w:rsidP="00852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cs-CZ"/>
              </w:rPr>
            </w:pPr>
            <w:r w:rsidRPr="00852227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cs-CZ"/>
              </w:rPr>
              <w:t>Curriculum</w:t>
            </w:r>
          </w:p>
        </w:tc>
      </w:tr>
    </w:tbl>
    <w:p w:rsidR="00852227" w:rsidRPr="00852227" w:rsidRDefault="00852227" w:rsidP="008522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9057"/>
      </w:tblGrid>
      <w:tr w:rsidR="00852227" w:rsidRPr="00852227" w:rsidTr="008522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227" w:rsidRPr="00852227" w:rsidRDefault="00852227" w:rsidP="0085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1" name="obrázek 11" descr="http://www.dalton.org/podi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alton.org/podi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7"/>
            </w:tblGrid>
            <w:tr w:rsidR="00852227" w:rsidRPr="00852227" w:rsidTr="0085222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2227" w:rsidRPr="00852227" w:rsidRDefault="00852227" w:rsidP="008522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Within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defined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but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flexible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curriculum,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faculty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individualizes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children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different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levels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development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Teachers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vary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pace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instruction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skills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enabling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each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achieve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both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personal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academic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success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takes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place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a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-to-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basis, in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small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groups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part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whole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class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activities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Opportunities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provided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levels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encourage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children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become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active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independent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learners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Unique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experiences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enrich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curriculum, such as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Archaeology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third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grade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a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hands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-on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archaeological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unit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by Dalton's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own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Archaeologist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-in-Residence.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Investigative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digs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designed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conjunction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Social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Studies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cultural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themes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lead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children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into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new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areas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discovery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interdisciplinary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coordinated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Archeologist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in Residence,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Technology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coordinators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who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provide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additional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resources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House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Advisors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curriculum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also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enhanced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Chess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Dalton's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Chess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provides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instruction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kindergarten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second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grade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In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addition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to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chess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useful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tool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developing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young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'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problem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solving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skills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focus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logical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thinking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curriculum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extended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through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numerous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field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trips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utilize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many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resources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city, as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well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through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Dalton's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liaisons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Metropolitan Museum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Museum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History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other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institutions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These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trips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are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integral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part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children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's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educational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experience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overnight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study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trip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third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graders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highlight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852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program.</w:t>
                  </w:r>
                </w:p>
              </w:tc>
            </w:tr>
          </w:tbl>
          <w:p w:rsidR="00852227" w:rsidRPr="00852227" w:rsidRDefault="00852227" w:rsidP="0085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2227" w:rsidRDefault="00852227"/>
    <w:p w:rsidR="00852227" w:rsidRPr="00852227" w:rsidRDefault="00852227">
      <w:pPr>
        <w:rPr>
          <w:sz w:val="28"/>
          <w:szCs w:val="28"/>
        </w:rPr>
      </w:pPr>
      <w:proofErr w:type="spellStart"/>
      <w:r w:rsidRPr="00852227">
        <w:rPr>
          <w:sz w:val="28"/>
          <w:szCs w:val="28"/>
        </w:rPr>
        <w:t>Homework</w:t>
      </w:r>
      <w:proofErr w:type="spellEnd"/>
    </w:p>
    <w:p w:rsidR="00852227" w:rsidRDefault="00852227">
      <w:proofErr w:type="spellStart"/>
      <w:r>
        <w:t>Regular</w:t>
      </w:r>
      <w:proofErr w:type="spellEnd"/>
      <w:r>
        <w:t xml:space="preserve">,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grade </w:t>
      </w:r>
      <w:proofErr w:type="spellStart"/>
      <w:r>
        <w:t>and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Dalton </w:t>
      </w:r>
      <w:proofErr w:type="spellStart"/>
      <w:r>
        <w:t>Plan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's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.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to help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management,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study,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schoolwork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as much </w:t>
      </w:r>
      <w:proofErr w:type="spellStart"/>
      <w:r>
        <w:t>independence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Parents</w:t>
      </w:r>
      <w:proofErr w:type="spellEnd"/>
      <w:r>
        <w:t xml:space="preserve"> are </w:t>
      </w:r>
      <w:proofErr w:type="spellStart"/>
      <w:r>
        <w:t>encouraged</w:t>
      </w:r>
      <w:proofErr w:type="spellEnd"/>
      <w:r>
        <w:t xml:space="preserve"> to help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study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On </w:t>
      </w:r>
      <w:proofErr w:type="spellStart"/>
      <w:r>
        <w:t>occasion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grade.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in </w:t>
      </w:r>
      <w:proofErr w:type="spellStart"/>
      <w:r>
        <w:t>First</w:t>
      </w:r>
      <w:proofErr w:type="spellEnd"/>
      <w:r>
        <w:t xml:space="preserve"> Program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schoolwork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>.</w:t>
      </w:r>
    </w:p>
    <w:p w:rsidR="00852227" w:rsidRDefault="00852227"/>
    <w:p w:rsidR="00852227" w:rsidRDefault="00852227"/>
    <w:sectPr w:rsidR="00852227" w:rsidSect="0085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5EE5"/>
    <w:multiLevelType w:val="multilevel"/>
    <w:tmpl w:val="6FC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5C5"/>
    <w:rsid w:val="0061667A"/>
    <w:rsid w:val="007A75C5"/>
    <w:rsid w:val="00852227"/>
    <w:rsid w:val="0085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2BE"/>
  </w:style>
  <w:style w:type="paragraph" w:styleId="Nadpis1">
    <w:name w:val="heading 1"/>
    <w:basedOn w:val="Normln"/>
    <w:link w:val="Nadpis1Char"/>
    <w:uiPriority w:val="9"/>
    <w:qFormat/>
    <w:rsid w:val="007A7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5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C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1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6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6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0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7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7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8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2013-03-19T09:48:00Z</dcterms:created>
  <dcterms:modified xsi:type="dcterms:W3CDTF">2013-03-19T21:25:00Z</dcterms:modified>
</cp:coreProperties>
</file>