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7"/>
        <w:gridCol w:w="10425"/>
      </w:tblGrid>
      <w:tr w:rsidR="00545521" w:rsidRPr="00545521" w:rsidTr="00545521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45521" w:rsidRPr="00545521" w:rsidRDefault="00545521" w:rsidP="00545521">
            <w:pPr>
              <w:spacing w:before="75"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</w:pPr>
            <w:r w:rsidRPr="00545521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  <w:t>Zákon o komunikačních systémech neslyšících a hluchoslepých osob</w:t>
            </w:r>
          </w:p>
        </w:tc>
      </w:tr>
      <w:tr w:rsidR="00545521" w:rsidRPr="00545521" w:rsidTr="00545521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45521" w:rsidRPr="00545521" w:rsidRDefault="00545521" w:rsidP="00545521">
            <w:pPr>
              <w:spacing w:after="0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4552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cs-CZ"/>
              </w:rPr>
              <w:t>platné znění ze dne 20.10.2008</w:t>
            </w:r>
          </w:p>
        </w:tc>
      </w:tr>
      <w:tr w:rsidR="00545521" w:rsidRPr="00545521" w:rsidTr="0054552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45521" w:rsidRPr="00545521" w:rsidRDefault="00545521" w:rsidP="0054552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521" w:rsidRPr="00545521" w:rsidRDefault="00545521" w:rsidP="0054552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99999"/>
                <w:sz w:val="17"/>
                <w:szCs w:val="17"/>
                <w:lang w:eastAsia="cs-CZ"/>
              </w:rPr>
            </w:pPr>
            <w:r w:rsidRPr="00545521">
              <w:rPr>
                <w:rFonts w:ascii="Trebuchet MS" w:eastAsia="Times New Roman" w:hAnsi="Trebuchet MS" w:cs="Times New Roman"/>
                <w:color w:val="999999"/>
                <w:sz w:val="17"/>
                <w:szCs w:val="17"/>
                <w:lang w:eastAsia="cs-CZ"/>
              </w:rPr>
              <w:t>publikováno: 22/11/2008</w:t>
            </w:r>
          </w:p>
        </w:tc>
      </w:tr>
    </w:tbl>
    <w:p w:rsidR="00545521" w:rsidRPr="00545521" w:rsidRDefault="00545521" w:rsidP="00545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D83523"/>
          <w:sz w:val="17"/>
          <w:szCs w:val="17"/>
          <w:lang w:eastAsia="cs-CZ"/>
        </w:rPr>
        <w:t>Sbírka zákonů</w:t>
      </w:r>
    </w:p>
    <w:p w:rsidR="00545521" w:rsidRPr="00545521" w:rsidRDefault="00545521" w:rsidP="00545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585858"/>
          <w:sz w:val="15"/>
          <w:szCs w:val="15"/>
          <w:lang w:eastAsia="cs-CZ"/>
        </w:rPr>
        <w:t>Předpis č. 155/1998 Sb., zdroj: SBÍRKA ZÁKONŮ ročník 1998, částka 54, ze dne 13.07.1998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155</w:t>
      </w:r>
    </w:p>
    <w:p w:rsidR="00545521" w:rsidRPr="00545521" w:rsidRDefault="00545521" w:rsidP="0054552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D83523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D83523"/>
          <w:sz w:val="17"/>
          <w:szCs w:val="17"/>
          <w:lang w:eastAsia="cs-CZ"/>
        </w:rPr>
        <w:t>ZÁKON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D83523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D83523"/>
          <w:sz w:val="17"/>
          <w:szCs w:val="17"/>
          <w:lang w:eastAsia="cs-CZ"/>
        </w:rPr>
        <w:t>ze dne 11. června 1998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D83523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D83523"/>
          <w:sz w:val="17"/>
          <w:szCs w:val="17"/>
          <w:lang w:eastAsia="cs-CZ"/>
        </w:rPr>
        <w:t>o komunikačních systémech neslyšících a hluchoslepých osob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D83523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D83523"/>
          <w:sz w:val="17"/>
          <w:szCs w:val="17"/>
          <w:lang w:eastAsia="cs-CZ"/>
        </w:rPr>
        <w:t>Změna: 384/2008 Sb.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Parlament se usnesl na tomto zákoně České republiky: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ČÁST PRVNÍ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1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Úvodní ustanovení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(1) Tento zákon upravuje používání komunikačních systémů neslyšících a hluchoslepých osob jako jejich dorozumívacích prostředků.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(2) Neslyšící a hluchoslepé osoby mají právo svobodně si zvolit z komunikačních systémů uvedených v tomto zákoně ten, který odpovídá jejich potřebám. Jejich volba musí být v maximální možné míře respektována tak, aby měly možnost rovnoprávného a účinného zapojení do všech oblastí života společnosti i při uplatňování jejich zákonných práv.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nadpis vypuštěn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2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Definice základních pojmů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(1) Za neslyšící se pro účely tohoto zákona považují osoby, které neslyší od narození, nebo ztratily sluch před rozvinutím mluvené řeči, nebo osoby s úplnou či praktickou hluchotou, které ztratily sluch po rozvinutí mluvené řeči, a osoby těžce nedoslýchavé, u nichž rozsah a charakter sluchového postižení neumožňuje plnohodnotně porozumět mluvené řeči sluchem.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(2) Za hluchoslepé se pro účely tohoto zákona považují osoby se souběžným postižením sluchu a zraku různého stupně, typu a doby vzniku, u nichž rozsah a charakter souběžného sluchového a zrakového postižení neumožňuje plnohodnotný rozvoj mluvené řeči, nebo neumožňuje plnohodnotnou komunikaci mluvenou řečí.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3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Komunikační systémy neslyšících a hluchoslepých osob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Komunikačními systémy neslyšících a hluchoslepých osob se pro účely tohoto zákona rozumí český znakový jazyk a komunikační systémy vycházející z českého jazyka.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4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Český znakový jazyk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(1) Český znakový jazyk je základním komunikačním systémem těch neslyšících osob v České republice, které jej samy považují za hlavní formu své komunikace.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(2) Český znakový jazyk je přirozený a plnohodnotný komunikační systém tvořený specifickými vizuálně-pohybovými prostředky, tj. tvary rukou, jejich postavením a pohyby, mimikou, pozicemi hlavy a horní části trupu. Český znakový jazyk má základní atributy jazyka, tj. znakovost, systémovost, dvojí členění, produktivnost, svébytnost a historický rozměr, a je ustálen po stránce lexikální i gramatické.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(3) Český znakový jazyk může být využíván jako komunikační systém hluchoslepých osob v taktilní formě, která spočívá ve vnímání jeho výrazových prostředků prostřednictvím hmatu.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lastRenderedPageBreak/>
        <w:t>§ 5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zrušen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6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Komunikační systémy vycházející z českého jazyka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(1) Komunikačními systémy neslyšících a hluchoslepých osob vycházejícími z českého jazyka jsou znakovaná čeština, prstová abeceda, vizualizace mluvené češtiny, písemný záznam mluvené řeči, Lormova abeceda, daktylografika, Braillovo písmo s využitím taktilní formy, taktilní odezírání a vibrační metoda Tadoma.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(2) Znakovaná čeština využívá gramatické prostředky češtiny, která je současně hlasitě nebo bezhlasně artikulována. Spolu s jednotlivými českými slovy jsou pohybem a postavením rukou ukazovány jednotlivé znaky, převzaté z českého znakového jazyka. Znakovaná čeština v taktilní formě může být využívána jako komunikační systém hluchoslepých osob, které ovládají český jazyk.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(3) Prstová abeceda využívá formalizovaných a ustálených postavení prstů a dlaně jedné ruky nebo prstů a dlaní obou rukou k zobrazování jednotlivých písmen české abecedy. Prstová abeceda je využívána zejména k odhláskování cizích slov, odborných termínů, případně dalších pojmů. Prstová abeceda v taktilní formě může být využívána jako komunikační systém hluchoslepých osob.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(4) Vizualizace mluvené češtiny je zřetelná artikulace jednotlivých českých slov ústy tak, aby bylo umožněno nebo usnadněno odezírání mluveného projevu osobami, které ovládají český jazyk a odezírání preferují jako prostředek své komunikace.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(5) Písemný záznam mluvené řeči je převod mluvené řeči do písemné podoby v reálném čase. Pro potřeby hluchoslepých se písemný záznam provádí zvětšeným písmem nebo Braillovým písmem.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(6) Lormova abeceda je dotyková dlaňová abeceda, při které se jednotlivá písmena vyznačují pomocí ustálených pohybů a dotyků prováděných na dlani a prstech ruky příjemce sdělení.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(7) Daktylografika je vpisování velkých tiskacích písmen zpravidla do dlaně ruky příjemce sdělení.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(8) Braillovo písmo s využitím taktilní formy umožňuje zobrazovat písmena abecedy ustálenými dotyky na dvou prstech jedné ruky nebo více prstech obou rukou příjemce sdělení s využitím kódového systému Braillova písma.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(9) Taktilní odezírání je založeno na vnímání mluvené řeči pomocí odhmatávání vibrací hlasivek mluvčího.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(10) Vibrační metoda Tadoma je založena na vnímání mluvené řeči pomocí odhmatávání vibrací hlasivek, pohybů dolní čelisti, rtů a tváří mluvčího.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nadpis vypuštěn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7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Používání komunikačních systémů neslyšících a hluchoslepých osob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Neslyšící a hluchoslepé osoby mají právo na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a) používání komunikačních systémů neslyšících a hluchoslepých osob,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b) vzdělávání s využitím komunikačních systémů neslyšících a hluchoslepých osob,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c) výuku komunikačních systémů neslyšících a hluchoslepých osob, kterou upravuje jiný právní předpis^1).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8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(1) Neslyšící a hluchoslepé osoby mají při návštěvě lékaře, vyřizování úředních záležitostí a při zajišťování dalších nezbytných potřeb právo na tlumočnické služby zajišťující tlumočení v jimi zvoleném komunikačním systému uvedeném v tomto zákoně. Podmínky poskytování tlumočnických služeb stanoví jiný právní předpis^2).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(2) Neslyšícím a hluchoslepým osobám, kterým byly z důvodu úplné nebo praktické hluchoty nebo hluchoslepoty přiznány mimořádné výhody II. stupně (průkaz ZTP) nebo III. stupně (průkaz ZTP/P), jsou tlumočnické služby při soudním řízení poskytovány bezplatně.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(3) Neslyšícím a hluchoslepým žákům středních škol a neslyšícím a hluchoslepým studentům vyšších odborných škol a vysokých škol, kterým byly z důvodu úplné nebo praktické hluchoty nebo hluchoslepoty přiznány mimořádné výhody II. stupně (průkaz ZTP) nebo III. stupně (průkaz ZTP/P), jsou tlumočnické služby poskytovány bezplatně za podmínek stanovených prováděcím právním předpisem.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lastRenderedPageBreak/>
        <w:t>§ 9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Rodiče, u jejichž dítěte byla diagnostikována praktická nebo úplná hluchota^3) nebo hluchoslepota, mají právo na bezplatnou výuku v kursech komunikačních systémů neslyšících a hluchoslepých osob.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10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Ministerstvo školství, mládeže a tělovýchovy stanoví vyhláškou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a) podmínky a rozsah tlumočnických služeb poskytovaných bezplatně neslyšícím a hluchoslepým žákům a studentům podle § 8 odst. 3,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b) obsah a rozsah kurzů podle § 9.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ČÁST DRUHÁ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zrušena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11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zrušen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ČÁST TŘETÍ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zrušena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12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zrušen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ČÁST ČTVRTÁ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t>§ 13</w:t>
      </w:r>
      <w:r w:rsidRPr="00545521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cs-CZ"/>
        </w:rPr>
        <w:br/>
        <w:t>Účinnost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Tento zákon nabývá účinnosti dnem vyhlášení, s výjimkou § 8 až 12, které nabývají účinnosti dnem 1. ledna 1999.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Zeman v. r.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Havel v. r.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Tošovský v. r.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1) § 16 odst. 7 zákona č. 561/2004 Sb., o předškolním, základním, středním, vyšším odborném a jiném vzdělávání (školský zákon), ve znění zákona č. 384/2008 Sb.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2) § 86a zákona č. 100/1988 Sb., o sociálním zabezpečení, ve znění zákona č. 155/1998 Sb.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2) Zákon č. 108/2006 Sb., o sociálních službách, ve znění pozdějších předpisů.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3) Vyhláška č. 207/1995 Sb., kterou se stanoví stupně zdravotního postižení a způsob jejich posuzování pro účely dávek státní sociální podpory, ve znění vyhlášky č. 156/1997 Sb.</w:t>
      </w:r>
    </w:p>
    <w:p w:rsidR="00545521" w:rsidRPr="00545521" w:rsidRDefault="00545521" w:rsidP="00545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545521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3) Vyhláška č. 207/1995 Sb., kterou se stanoví stupně zdravotního postižení a způsob jejich posuzování pro účely dávek státní sociální podpory, ve znění vyhlášky č. 156/1997 Sb. a vyhlášky č. 62/2008 Sb.</w:t>
      </w:r>
    </w:p>
    <w:p w:rsidR="004972C1" w:rsidRDefault="00545521">
      <w:bookmarkStart w:id="0" w:name="_GoBack"/>
      <w:bookmarkEnd w:id="0"/>
    </w:p>
    <w:sectPr w:rsidR="004972C1" w:rsidSect="005455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DB1"/>
    <w:multiLevelType w:val="multilevel"/>
    <w:tmpl w:val="F6E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E1"/>
    <w:rsid w:val="003E209C"/>
    <w:rsid w:val="004424B6"/>
    <w:rsid w:val="00545521"/>
    <w:rsid w:val="009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CB2C-B291-43DF-A347-87E92CD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Blatná</dc:creator>
  <cp:keywords/>
  <dc:description/>
  <cp:lastModifiedBy>Mgr. Kateřina Blatná</cp:lastModifiedBy>
  <cp:revision>2</cp:revision>
  <dcterms:created xsi:type="dcterms:W3CDTF">2015-03-14T09:04:00Z</dcterms:created>
  <dcterms:modified xsi:type="dcterms:W3CDTF">2015-03-14T09:04:00Z</dcterms:modified>
</cp:coreProperties>
</file>