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87" w:rsidRPr="00216821" w:rsidRDefault="00F73587" w:rsidP="00F73587">
      <w:pPr>
        <w:jc w:val="center"/>
        <w:rPr>
          <w:b/>
          <w:sz w:val="36"/>
          <w:szCs w:val="36"/>
          <w:u w:val="single"/>
        </w:rPr>
      </w:pPr>
      <w:r w:rsidRPr="00216821">
        <w:rPr>
          <w:b/>
          <w:sz w:val="36"/>
          <w:szCs w:val="36"/>
          <w:u w:val="single"/>
        </w:rPr>
        <w:t>MKV a GRV semináře</w:t>
      </w:r>
    </w:p>
    <w:p w:rsidR="00F73587" w:rsidRDefault="00F73587"/>
    <w:p w:rsidR="00F73587" w:rsidRDefault="00F73587">
      <w:r>
        <w:t xml:space="preserve">MKV – multikulturní výchova </w:t>
      </w:r>
    </w:p>
    <w:p w:rsidR="00F73587" w:rsidRDefault="00F73587">
      <w:r>
        <w:t>GRV – globální rozvojové vzdělávání</w:t>
      </w:r>
    </w:p>
    <w:p w:rsidR="00F73587" w:rsidRDefault="00F73587"/>
    <w:p w:rsidR="008F0A5A" w:rsidRPr="00F73587" w:rsidRDefault="00F73587">
      <w:pPr>
        <w:rPr>
          <w:b/>
        </w:rPr>
      </w:pPr>
      <w:r w:rsidRPr="00F73587">
        <w:rPr>
          <w:b/>
        </w:rPr>
        <w:t xml:space="preserve">Zadání </w:t>
      </w:r>
      <w:r>
        <w:rPr>
          <w:b/>
        </w:rPr>
        <w:t>pro chybějící:</w:t>
      </w:r>
    </w:p>
    <w:p w:rsidR="00F73587" w:rsidRDefault="00F73587"/>
    <w:p w:rsidR="008F0A5A" w:rsidRPr="00216821" w:rsidRDefault="008F0A5A">
      <w:pPr>
        <w:rPr>
          <w:b/>
          <w:sz w:val="32"/>
          <w:szCs w:val="32"/>
          <w:u w:val="single"/>
        </w:rPr>
      </w:pPr>
      <w:r w:rsidRPr="00216821">
        <w:rPr>
          <w:b/>
          <w:sz w:val="32"/>
          <w:szCs w:val="32"/>
          <w:u w:val="single"/>
        </w:rPr>
        <w:t>MKV ČÁST:</w:t>
      </w:r>
    </w:p>
    <w:p w:rsidR="008F0A5A" w:rsidRDefault="00216821">
      <w:r>
        <w:t>1/ Přečtěte si</w:t>
      </w:r>
      <w:r w:rsidR="008F0A5A">
        <w:t xml:space="preserve"> text o dvou přístupech k</w:t>
      </w:r>
      <w:r w:rsidR="00F73587">
        <w:t> </w:t>
      </w:r>
      <w:r w:rsidR="008F0A5A">
        <w:t>MKV</w:t>
      </w:r>
      <w:r w:rsidR="00F73587">
        <w:t xml:space="preserve"> (kulturně standardní a </w:t>
      </w:r>
      <w:proofErr w:type="spellStart"/>
      <w:r w:rsidR="00F73587">
        <w:t>transkulturní</w:t>
      </w:r>
      <w:proofErr w:type="spellEnd"/>
      <w:r w:rsidR="00F73587">
        <w:t>)</w:t>
      </w:r>
      <w:r>
        <w:t>. Text najdete na konci tohoto dokument.</w:t>
      </w:r>
    </w:p>
    <w:p w:rsidR="008F0A5A" w:rsidRDefault="008F0A5A"/>
    <w:p w:rsidR="008F0A5A" w:rsidRDefault="008F0A5A">
      <w:r>
        <w:t>2/ Na zákl</w:t>
      </w:r>
      <w:r w:rsidR="00216821">
        <w:t>adě textu vyplňte tuto tabulku</w:t>
      </w:r>
      <w:r>
        <w:t>:</w:t>
      </w:r>
    </w:p>
    <w:p w:rsidR="008F0A5A" w:rsidRDefault="008F0A5A"/>
    <w:tbl>
      <w:tblPr>
        <w:tblStyle w:val="Mkatabulky"/>
        <w:tblW w:w="0" w:type="auto"/>
        <w:tblLook w:val="04A0" w:firstRow="1" w:lastRow="0" w:firstColumn="1" w:lastColumn="0" w:noHBand="0" w:noVBand="1"/>
      </w:tblPr>
      <w:tblGrid>
        <w:gridCol w:w="1727"/>
        <w:gridCol w:w="7335"/>
      </w:tblGrid>
      <w:tr w:rsidR="008F0A5A" w:rsidTr="00216821">
        <w:tc>
          <w:tcPr>
            <w:tcW w:w="846" w:type="dxa"/>
            <w:shd w:val="clear" w:color="auto" w:fill="C5E0B3" w:themeFill="accent6" w:themeFillTint="66"/>
          </w:tcPr>
          <w:p w:rsidR="008F0A5A" w:rsidRDefault="008F0A5A">
            <w:r>
              <w:t>KULTURNĚ-STANDARDNÍ PŘÍSTUP</w:t>
            </w:r>
          </w:p>
        </w:tc>
        <w:tc>
          <w:tcPr>
            <w:tcW w:w="8216" w:type="dxa"/>
          </w:tcPr>
          <w:p w:rsidR="008F0A5A" w:rsidRDefault="008F0A5A">
            <w:r>
              <w:t>Základní charakteristiky:</w:t>
            </w:r>
          </w:p>
          <w:p w:rsidR="00216821" w:rsidRDefault="00216821"/>
          <w:p w:rsidR="00216821" w:rsidRDefault="00216821"/>
          <w:p w:rsidR="008F0A5A" w:rsidRDefault="008F0A5A">
            <w:r>
              <w:t>Cíle:</w:t>
            </w:r>
          </w:p>
          <w:p w:rsidR="00216821" w:rsidRDefault="00216821"/>
          <w:p w:rsidR="00216821" w:rsidRDefault="00216821"/>
          <w:p w:rsidR="008F0A5A" w:rsidRDefault="008F0A5A">
            <w:r>
              <w:t>Rizika:</w:t>
            </w:r>
          </w:p>
          <w:p w:rsidR="00216821" w:rsidRDefault="00216821"/>
          <w:p w:rsidR="00216821" w:rsidRDefault="00216821"/>
        </w:tc>
      </w:tr>
      <w:tr w:rsidR="008F0A5A" w:rsidTr="00216821">
        <w:trPr>
          <w:trHeight w:val="70"/>
        </w:trPr>
        <w:tc>
          <w:tcPr>
            <w:tcW w:w="846" w:type="dxa"/>
            <w:shd w:val="clear" w:color="auto" w:fill="C5E0B3" w:themeFill="accent6" w:themeFillTint="66"/>
          </w:tcPr>
          <w:p w:rsidR="008F0A5A" w:rsidRDefault="008F0A5A">
            <w:r>
              <w:t>TRANSKULTURNÍ PŘÍSTUP</w:t>
            </w:r>
          </w:p>
        </w:tc>
        <w:tc>
          <w:tcPr>
            <w:tcW w:w="8216" w:type="dxa"/>
          </w:tcPr>
          <w:p w:rsidR="008F0A5A" w:rsidRDefault="008F0A5A">
            <w:r>
              <w:t>Základní charakteristiky:</w:t>
            </w:r>
          </w:p>
          <w:p w:rsidR="00216821" w:rsidRDefault="00216821"/>
          <w:p w:rsidR="00216821" w:rsidRDefault="00216821"/>
          <w:p w:rsidR="008F0A5A" w:rsidRDefault="008F0A5A">
            <w:r>
              <w:t xml:space="preserve">Cíle: </w:t>
            </w:r>
          </w:p>
          <w:p w:rsidR="00216821" w:rsidRDefault="00216821"/>
          <w:p w:rsidR="00216821" w:rsidRDefault="00216821"/>
          <w:p w:rsidR="008F0A5A" w:rsidRDefault="008F0A5A">
            <w:r>
              <w:t>Rizika:</w:t>
            </w:r>
          </w:p>
          <w:p w:rsidR="00216821" w:rsidRDefault="00216821"/>
          <w:p w:rsidR="00216821" w:rsidRDefault="00216821"/>
        </w:tc>
      </w:tr>
    </w:tbl>
    <w:p w:rsidR="008F0A5A" w:rsidRDefault="008F0A5A"/>
    <w:p w:rsidR="008F0A5A" w:rsidRDefault="008F0A5A"/>
    <w:p w:rsidR="008F0A5A" w:rsidRDefault="008F0A5A">
      <w:r>
        <w:t>3/ Jaké tři nejdůležitější nové poznatky Vám text přinesl? (prosím, napište souvislý text o min. 150 slovech)</w:t>
      </w:r>
    </w:p>
    <w:p w:rsidR="008F0A5A" w:rsidRDefault="008F0A5A"/>
    <w:p w:rsidR="008F0A5A" w:rsidRPr="00216821" w:rsidRDefault="008F0A5A">
      <w:pPr>
        <w:rPr>
          <w:b/>
          <w:u w:val="single"/>
        </w:rPr>
      </w:pPr>
      <w:r w:rsidRPr="00216821">
        <w:rPr>
          <w:b/>
          <w:u w:val="single"/>
        </w:rPr>
        <w:t>GRV</w:t>
      </w:r>
      <w:r w:rsidR="00216821" w:rsidRPr="00216821">
        <w:rPr>
          <w:b/>
          <w:u w:val="single"/>
        </w:rPr>
        <w:t xml:space="preserve"> část:</w:t>
      </w:r>
    </w:p>
    <w:p w:rsidR="008F0A5A" w:rsidRDefault="008F0A5A">
      <w:r>
        <w:t xml:space="preserve">1/ Přečtěte si následující </w:t>
      </w:r>
      <w:hyperlink r:id="rId6" w:history="1">
        <w:r w:rsidRPr="00216821">
          <w:rPr>
            <w:rStyle w:val="Hypertextovodkaz"/>
          </w:rPr>
          <w:t>příručku o k</w:t>
        </w:r>
        <w:r w:rsidR="00216821" w:rsidRPr="00216821">
          <w:rPr>
            <w:rStyle w:val="Hypertextovodkaz"/>
          </w:rPr>
          <w:t>ompetencích globálního občanství:</w:t>
        </w:r>
      </w:hyperlink>
    </w:p>
    <w:p w:rsidR="008F0A5A" w:rsidRDefault="008F0A5A">
      <w:r>
        <w:lastRenderedPageBreak/>
        <w:t>2/ Co Vás k tomu napadá</w:t>
      </w:r>
      <w:r w:rsidR="00216821">
        <w:t xml:space="preserve"> jako první</w:t>
      </w:r>
      <w:r>
        <w:t>?</w:t>
      </w:r>
    </w:p>
    <w:p w:rsidR="008F0A5A" w:rsidRDefault="008F0A5A"/>
    <w:p w:rsidR="008F0A5A" w:rsidRDefault="008F0A5A">
      <w:r>
        <w:t xml:space="preserve">3/ Která z daných kompetencí je podle Vás nejdůležitější </w:t>
      </w:r>
      <w:r w:rsidR="00216821">
        <w:t>a proč? (souvislý text o min. 10</w:t>
      </w:r>
      <w:r>
        <w:t>0 slovech)</w:t>
      </w:r>
    </w:p>
    <w:p w:rsidR="00216821" w:rsidRDefault="00216821"/>
    <w:p w:rsidR="00216821" w:rsidRDefault="00216821">
      <w:r>
        <w:t xml:space="preserve">4/ V které kompetenci se cítíte nejméně kovaní? Kterou byste chtěli více prozkoumávat? </w:t>
      </w:r>
      <w:r>
        <w:t>(souvislý text o min. 100 slovech)</w:t>
      </w:r>
    </w:p>
    <w:p w:rsidR="008F0A5A" w:rsidRDefault="008F0A5A"/>
    <w:p w:rsidR="008F0A5A" w:rsidRDefault="00216821">
      <w:r>
        <w:t>5</w:t>
      </w:r>
      <w:r w:rsidR="008F0A5A">
        <w:t xml:space="preserve">/ Podívejte se na </w:t>
      </w:r>
      <w:hyperlink r:id="rId7" w:history="1">
        <w:r w:rsidR="008F0A5A" w:rsidRPr="008C7577">
          <w:rPr>
            <w:rStyle w:val="Hypertextovodkaz"/>
          </w:rPr>
          <w:t>www.globalnivzdelavani.cz</w:t>
        </w:r>
      </w:hyperlink>
      <w:r w:rsidR="008F0A5A">
        <w:t xml:space="preserve"> do sekce </w:t>
      </w:r>
      <w:hyperlink r:id="rId8" w:history="1">
        <w:r w:rsidR="008F0A5A" w:rsidRPr="00216821">
          <w:rPr>
            <w:rStyle w:val="Hypertextovodkaz"/>
          </w:rPr>
          <w:t>Materiály prakticky</w:t>
        </w:r>
      </w:hyperlink>
      <w:r w:rsidR="008F0A5A">
        <w:t>. Najdete zde více jak 80 příruček. Vyberte si jednu, která Vás zaujala a je volně ke stažení. Poté, co do ní nahlédnete, popište, čím může být příručka přínosná, a také zda máte nějaké pochybnosti či kritické komentáře.</w:t>
      </w:r>
    </w:p>
    <w:p w:rsidR="008F0A5A" w:rsidRDefault="008F0A5A"/>
    <w:p w:rsidR="008F0A5A" w:rsidRPr="00216821" w:rsidRDefault="008F0A5A">
      <w:pPr>
        <w:rPr>
          <w:b/>
        </w:rPr>
      </w:pPr>
      <w:r w:rsidRPr="00216821">
        <w:rPr>
          <w:b/>
        </w:rPr>
        <w:t>SHRNUTÍ:</w:t>
      </w:r>
    </w:p>
    <w:p w:rsidR="008F0A5A" w:rsidRDefault="00B21336">
      <w:r>
        <w:t>Jak osobně vnímáte MKV a GRV? Vidíte pro něj prostor ve svém životě, současném či budoucím? (min. 150 slov)</w:t>
      </w:r>
    </w:p>
    <w:p w:rsidR="008F0A5A" w:rsidRDefault="008F0A5A"/>
    <w:p w:rsidR="00F73587" w:rsidRDefault="00F73587"/>
    <w:p w:rsidR="00F73587" w:rsidRDefault="00F73587"/>
    <w:p w:rsidR="00F73587" w:rsidRDefault="00F73587"/>
    <w:p w:rsidR="00F73587" w:rsidRDefault="00F73587">
      <w:pPr>
        <w:pBdr>
          <w:bottom w:val="single" w:sz="12" w:space="1" w:color="auto"/>
        </w:pBdr>
      </w:pPr>
    </w:p>
    <w:p w:rsidR="00F73587" w:rsidRDefault="00F73587"/>
    <w:p w:rsidR="00F73587" w:rsidRPr="00F73587" w:rsidRDefault="00F73587">
      <w:pPr>
        <w:rPr>
          <w:b/>
        </w:rPr>
      </w:pPr>
      <w:r w:rsidRPr="00F73587">
        <w:rPr>
          <w:b/>
        </w:rPr>
        <w:t>Text (úkol MKV 1):</w:t>
      </w:r>
    </w:p>
    <w:p w:rsidR="00F73587" w:rsidRDefault="00F73587"/>
    <w:p w:rsidR="00F73587" w:rsidRDefault="00F73587" w:rsidP="00F73587">
      <w:pPr>
        <w:pStyle w:val="Nadpis3"/>
        <w:jc w:val="center"/>
        <w:rPr>
          <w:rFonts w:cs="Arial"/>
        </w:rPr>
      </w:pPr>
      <w:r>
        <w:rPr>
          <w:rFonts w:cs="Arial"/>
        </w:rPr>
        <w:t>P</w:t>
      </w:r>
      <w:r>
        <w:rPr>
          <w:rFonts w:cs="Arial"/>
        </w:rPr>
        <w:t>řístupy k MKV</w:t>
      </w:r>
    </w:p>
    <w:p w:rsidR="00F73587" w:rsidRDefault="00F73587" w:rsidP="00F73587">
      <w:pPr>
        <w:pStyle w:val="Zkladntext"/>
        <w:rPr>
          <w:rFonts w:ascii="Arial" w:hAnsi="Arial" w:cs="Arial"/>
          <w:b/>
          <w:sz w:val="18"/>
          <w:szCs w:val="18"/>
        </w:rPr>
      </w:pPr>
    </w:p>
    <w:p w:rsidR="00F73587" w:rsidRDefault="00F73587" w:rsidP="00F73587">
      <w:pPr>
        <w:pStyle w:val="Zkladntext"/>
        <w:rPr>
          <w:rFonts w:ascii="Arial" w:hAnsi="Arial" w:cs="Arial"/>
          <w:b/>
          <w:sz w:val="18"/>
          <w:szCs w:val="18"/>
        </w:rPr>
      </w:pPr>
    </w:p>
    <w:p w:rsidR="00F73587" w:rsidRDefault="00F73587" w:rsidP="00F73587">
      <w:pPr>
        <w:pStyle w:val="Zkladntext"/>
        <w:rPr>
          <w:rFonts w:ascii="Arial" w:hAnsi="Arial" w:cs="Arial"/>
          <w:sz w:val="18"/>
          <w:szCs w:val="18"/>
        </w:rPr>
      </w:pPr>
      <w:r>
        <w:rPr>
          <w:rFonts w:ascii="Arial" w:hAnsi="Arial" w:cs="Arial"/>
          <w:b/>
          <w:sz w:val="18"/>
          <w:szCs w:val="18"/>
        </w:rPr>
        <w:t>Ze studie:</w:t>
      </w:r>
      <w:r>
        <w:rPr>
          <w:rFonts w:ascii="Arial" w:hAnsi="Arial" w:cs="Arial"/>
          <w:sz w:val="18"/>
          <w:szCs w:val="18"/>
        </w:rPr>
        <w:t xml:space="preserve"> Dana </w:t>
      </w:r>
      <w:proofErr w:type="spellStart"/>
      <w:r>
        <w:rPr>
          <w:rFonts w:ascii="Arial" w:hAnsi="Arial" w:cs="Arial"/>
          <w:sz w:val="18"/>
          <w:szCs w:val="18"/>
        </w:rPr>
        <w:t>Moree</w:t>
      </w:r>
      <w:proofErr w:type="spellEnd"/>
      <w:r>
        <w:rPr>
          <w:rFonts w:ascii="Arial" w:hAnsi="Arial" w:cs="Arial"/>
          <w:sz w:val="18"/>
          <w:szCs w:val="18"/>
        </w:rPr>
        <w:t xml:space="preserve"> (</w:t>
      </w:r>
      <w:proofErr w:type="spellStart"/>
      <w:r>
        <w:rPr>
          <w:rFonts w:ascii="Arial" w:hAnsi="Arial" w:cs="Arial"/>
          <w:sz w:val="18"/>
          <w:szCs w:val="18"/>
        </w:rPr>
        <w:t>ed</w:t>
      </w:r>
      <w:proofErr w:type="spellEnd"/>
      <w:r>
        <w:rPr>
          <w:rFonts w:ascii="Arial" w:hAnsi="Arial" w:cs="Arial"/>
          <w:sz w:val="18"/>
          <w:szCs w:val="18"/>
        </w:rPr>
        <w:t xml:space="preserve">.): </w:t>
      </w:r>
      <w:r>
        <w:rPr>
          <w:rFonts w:ascii="Arial" w:hAnsi="Arial" w:cs="Arial"/>
          <w:i/>
          <w:iCs/>
          <w:sz w:val="18"/>
          <w:szCs w:val="18"/>
        </w:rPr>
        <w:t xml:space="preserve">Strategie rozvoje </w:t>
      </w:r>
      <w:proofErr w:type="spellStart"/>
      <w:r>
        <w:rPr>
          <w:rFonts w:ascii="Arial" w:hAnsi="Arial" w:cs="Arial"/>
          <w:i/>
          <w:iCs/>
          <w:sz w:val="18"/>
          <w:szCs w:val="18"/>
        </w:rPr>
        <w:t>mutlukulturní</w:t>
      </w:r>
      <w:proofErr w:type="spellEnd"/>
      <w:r>
        <w:rPr>
          <w:rFonts w:ascii="Arial" w:hAnsi="Arial" w:cs="Arial"/>
          <w:i/>
          <w:iCs/>
          <w:sz w:val="18"/>
          <w:szCs w:val="18"/>
        </w:rPr>
        <w:t xml:space="preserve"> výchovy ve všeobecném vzdělávání. </w:t>
      </w:r>
      <w:r>
        <w:rPr>
          <w:rFonts w:ascii="Arial" w:hAnsi="Arial" w:cs="Arial"/>
          <w:sz w:val="18"/>
          <w:szCs w:val="18"/>
        </w:rPr>
        <w:t>Dostupné z http://www.ptac.cz/data/Multikulturni_vychova_ocekavane_vystupy.pdf</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Multikulturní výchova prošla jako obor dlouhým vývojem, ve kterém je možné sledovat některé tendence. Pozorovatelný je především vývoj od důrazu na skupinovou identifikaci směrem k důrazu na osobnostní a individuální přístup ve výuce. Ten reflektuje konkrétní situaci a kulturní zkušenost každého jednotlivce. Došlo též k odklonu od čistě etnického pojetí MKV k identifikaci řady dalších typů odlišností ať už na základě genderu, náboženství, sociálního statusu. </w:t>
      </w:r>
    </w:p>
    <w:p w:rsidR="00F73587" w:rsidRDefault="00F73587" w:rsidP="00F73587">
      <w:pPr>
        <w:pStyle w:val="Default"/>
        <w:spacing w:before="57" w:after="57"/>
        <w:ind w:firstLine="113"/>
        <w:jc w:val="both"/>
        <w:rPr>
          <w:sz w:val="20"/>
          <w:szCs w:val="20"/>
        </w:rPr>
      </w:pPr>
      <w:r>
        <w:rPr>
          <w:sz w:val="20"/>
          <w:szCs w:val="20"/>
        </w:rPr>
        <w:t xml:space="preserve">Pokud se na základě výše zmíněného pokusíme roztřídit způsoby práce s diverzitou ve třídě, máme možnost mluvit o dvou základních přístupech. </w:t>
      </w:r>
    </w:p>
    <w:p w:rsidR="00F73587" w:rsidRDefault="00F73587" w:rsidP="00F73587">
      <w:pPr>
        <w:pStyle w:val="Nadpis3"/>
        <w:rPr>
          <w:rFonts w:cs="Arial"/>
        </w:rPr>
      </w:pPr>
    </w:p>
    <w:p w:rsidR="00F73587" w:rsidRDefault="00F73587" w:rsidP="00F73587">
      <w:pPr>
        <w:pStyle w:val="Nadpis3"/>
        <w:rPr>
          <w:rFonts w:cs="Arial"/>
        </w:rPr>
      </w:pPr>
      <w:r>
        <w:rPr>
          <w:rFonts w:cs="Arial"/>
          <w:sz w:val="24"/>
          <w:szCs w:val="24"/>
        </w:rPr>
        <w:t>1. Kulturně-standardní přístup</w:t>
      </w:r>
      <w:r>
        <w:rPr>
          <w:rFonts w:cs="Arial"/>
        </w:rPr>
        <w:t xml:space="preserve">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Kulturně-standardní přístup vychází z předpokladu, že sociokulturní (tedy etnické, národnostní a další skupiny) mají specifické znaky, které vytvářejí rozdíly a zapříčiňují nedorozumění v interkulturních kontaktech (setkáních). Tento přístup je založen na přesvědčení, že pro zlepšení vzájemných interkulturních vztahů je nutné tyto rozdíly pochopit a naučit se je respektovat, adekvátně na ně reagovat a efektivně s nimi zacházet.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MKV v tomto pojetí operuje především s pojmem sociokulturní skupiny, které mají jasně danou charakteristiku, která se dá popsat a předat studentům. Koncepce kulturně-standardního přístupu čerpá z velké míry z pluralistického multikulturalismu. V oblasti konkrétní tréninkové nebo výchovné praxe pak vychází z principů, o kterých mluví např. autoři </w:t>
      </w:r>
      <w:proofErr w:type="spellStart"/>
      <w:r>
        <w:rPr>
          <w:sz w:val="20"/>
          <w:szCs w:val="20"/>
        </w:rPr>
        <w:t>Hall</w:t>
      </w:r>
      <w:proofErr w:type="spellEnd"/>
      <w:r>
        <w:rPr>
          <w:sz w:val="20"/>
          <w:szCs w:val="20"/>
        </w:rPr>
        <w:t xml:space="preserve"> (1976), </w:t>
      </w:r>
      <w:proofErr w:type="spellStart"/>
      <w:r>
        <w:rPr>
          <w:sz w:val="20"/>
          <w:szCs w:val="20"/>
        </w:rPr>
        <w:t>Trompenaars</w:t>
      </w:r>
      <w:proofErr w:type="spellEnd"/>
      <w:r>
        <w:rPr>
          <w:sz w:val="20"/>
          <w:szCs w:val="20"/>
        </w:rPr>
        <w:t xml:space="preserve"> &amp; </w:t>
      </w:r>
      <w:proofErr w:type="spellStart"/>
      <w:r>
        <w:rPr>
          <w:sz w:val="20"/>
          <w:szCs w:val="20"/>
        </w:rPr>
        <w:t>Hampden</w:t>
      </w:r>
      <w:proofErr w:type="spellEnd"/>
      <w:r>
        <w:rPr>
          <w:sz w:val="20"/>
          <w:szCs w:val="20"/>
        </w:rPr>
        <w:t xml:space="preserve">-Turner (1989) či </w:t>
      </w:r>
      <w:proofErr w:type="spellStart"/>
      <w:r>
        <w:rPr>
          <w:sz w:val="20"/>
          <w:szCs w:val="20"/>
        </w:rPr>
        <w:t>Hofstede</w:t>
      </w:r>
      <w:proofErr w:type="spellEnd"/>
      <w:r>
        <w:rPr>
          <w:sz w:val="20"/>
          <w:szCs w:val="20"/>
        </w:rPr>
        <w:t xml:space="preserve"> (1991). Ti se zabývali hlavně odlišnostmi kultur na teoretické a praktické úrovni a na základě interkulturních výzkumných šetření definovali některé kulturní dimenze. Následně také kulturní standardy jednotlivých skupin, podle nichž se jejich příslušníci mají tendenci chovat. Právě na základě této charakteristiky, tj. vytvářeni standardů pro jasně vymezené skupiny, je tento přístup označován autory </w:t>
      </w:r>
      <w:proofErr w:type="spellStart"/>
      <w:r>
        <w:rPr>
          <w:sz w:val="20"/>
          <w:szCs w:val="20"/>
        </w:rPr>
        <w:t>Bittl</w:t>
      </w:r>
      <w:proofErr w:type="spellEnd"/>
      <w:r>
        <w:rPr>
          <w:sz w:val="20"/>
          <w:szCs w:val="20"/>
        </w:rPr>
        <w:t xml:space="preserve"> &amp; </w:t>
      </w:r>
      <w:proofErr w:type="spellStart"/>
      <w:r>
        <w:rPr>
          <w:sz w:val="20"/>
          <w:szCs w:val="20"/>
        </w:rPr>
        <w:t>Moree</w:t>
      </w:r>
      <w:proofErr w:type="spellEnd"/>
      <w:r>
        <w:rPr>
          <w:sz w:val="20"/>
          <w:szCs w:val="20"/>
        </w:rPr>
        <w:t xml:space="preserve"> (2007) jako kulturně-standardní, jinými autory je označován jako kulturalismus (</w:t>
      </w:r>
      <w:proofErr w:type="spellStart"/>
      <w:r>
        <w:rPr>
          <w:sz w:val="20"/>
          <w:szCs w:val="20"/>
        </w:rPr>
        <w:t>Leeman</w:t>
      </w:r>
      <w:proofErr w:type="spellEnd"/>
      <w:r>
        <w:rPr>
          <w:sz w:val="20"/>
          <w:szCs w:val="20"/>
        </w:rPr>
        <w:t xml:space="preserve"> &amp; </w:t>
      </w:r>
      <w:proofErr w:type="spellStart"/>
      <w:r>
        <w:rPr>
          <w:sz w:val="20"/>
          <w:szCs w:val="20"/>
        </w:rPr>
        <w:t>Ledoux</w:t>
      </w:r>
      <w:proofErr w:type="spellEnd"/>
      <w:r>
        <w:rPr>
          <w:sz w:val="20"/>
          <w:szCs w:val="20"/>
        </w:rPr>
        <w:t xml:space="preserve">). Kulturně-standardní přístup otevírá téma kulturní odlišnosti se snahou vysvětlit příčiny jednání druhých pomocí znalosti historie, kulturních rituálů, zvyků jiných skupin.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V průběhu 90. let se kulturně-standardní přístup významně prosadil i v České republice a při práci s multikulturní výchovou je v naší vzdělávací praxi dosud nejvíce využíván (viz např. </w:t>
      </w:r>
      <w:proofErr w:type="spellStart"/>
      <w:r>
        <w:rPr>
          <w:sz w:val="20"/>
          <w:szCs w:val="20"/>
        </w:rPr>
        <w:t>Hajská</w:t>
      </w:r>
      <w:proofErr w:type="spellEnd"/>
      <w:r>
        <w:rPr>
          <w:sz w:val="20"/>
          <w:szCs w:val="20"/>
        </w:rPr>
        <w:t xml:space="preserve"> et al., 2008; </w:t>
      </w:r>
      <w:proofErr w:type="spellStart"/>
      <w:r>
        <w:rPr>
          <w:sz w:val="20"/>
          <w:szCs w:val="20"/>
        </w:rPr>
        <w:t>Moree</w:t>
      </w:r>
      <w:proofErr w:type="spellEnd"/>
      <w:r>
        <w:rPr>
          <w:sz w:val="20"/>
          <w:szCs w:val="20"/>
        </w:rPr>
        <w:t xml:space="preserve">, 2008). Tento přístup má některé nesporné přínosy, zejména v rozšíření celkových znalostí o jiných zemích a již zmiňovanou přípravu na kontakt s odlišností. Má však také některá didaktická omezení a rizika. Prvním omezením je skutečnost, že ve snaze seznámit se se specifiky jednotlivých skupin (ať již definovanými na základě etnicity či třeba náboženského přesvědčení) vede tento přístup k zachycení pouze některých znaků kultur. Nedokáže zachytit nuance, které se nevejdou do popisu charakteru celé skupiny, ani její dynamiku. Dále je také problematický důraz na skupinové identity. Kulturně-standardní přístup pro nás buduje systém kategorií. Tímto dochází často k vytváření stereotypů namísto bourání prvotního strachu. Jedním z dalších nebezpečí, které tento přístup přináší, je také přílišné zdůrazňování rozdílů mezi skupinami. Ve snaze vysvětlit rozdílnost jednání se tento přístup až nadbytečně věnuje </w:t>
      </w:r>
      <w:proofErr w:type="gramStart"/>
      <w:r>
        <w:rPr>
          <w:sz w:val="20"/>
          <w:szCs w:val="20"/>
        </w:rPr>
        <w:t>představováni</w:t>
      </w:r>
      <w:proofErr w:type="gramEnd"/>
      <w:r>
        <w:rPr>
          <w:sz w:val="20"/>
          <w:szCs w:val="20"/>
        </w:rPr>
        <w:t xml:space="preserve"> </w:t>
      </w:r>
      <w:bookmarkStart w:id="0" w:name="_GoBack"/>
      <w:bookmarkEnd w:id="0"/>
      <w:r>
        <w:rPr>
          <w:sz w:val="20"/>
          <w:szCs w:val="20"/>
        </w:rPr>
        <w:t xml:space="preserve">a popisu skupinových odlišností, které mohou vyvolat spíše pocit nedůvěry než vzájemného porozumění. Děti pak mohou odlišné reakce svého spolužáka posuzovat mylně jen podle jeho kulturní příslušnosti. </w:t>
      </w:r>
    </w:p>
    <w:p w:rsidR="00F73587" w:rsidRDefault="00F73587" w:rsidP="00F73587">
      <w:pPr>
        <w:pStyle w:val="Default"/>
        <w:spacing w:before="57" w:after="57"/>
        <w:ind w:firstLine="113"/>
        <w:jc w:val="both"/>
        <w:rPr>
          <w:sz w:val="20"/>
          <w:szCs w:val="20"/>
        </w:rPr>
      </w:pPr>
      <w:r>
        <w:rPr>
          <w:sz w:val="20"/>
          <w:szCs w:val="20"/>
        </w:rPr>
        <w:t xml:space="preserve">V pedagogické práci je možno tento přístup poznat např. formulováním cílů jako: </w:t>
      </w:r>
    </w:p>
    <w:p w:rsidR="00F73587" w:rsidRDefault="00F73587" w:rsidP="00F73587">
      <w:pPr>
        <w:pStyle w:val="Default"/>
        <w:spacing w:before="57" w:after="57"/>
        <w:ind w:firstLine="113"/>
        <w:jc w:val="both"/>
        <w:rPr>
          <w:sz w:val="20"/>
          <w:szCs w:val="20"/>
        </w:rPr>
      </w:pPr>
      <w:r>
        <w:rPr>
          <w:sz w:val="20"/>
          <w:szCs w:val="20"/>
        </w:rPr>
        <w:t xml:space="preserve">• Podpora a upevňování vzájemných vztahů mezi sociokulturními skupinami. </w:t>
      </w:r>
    </w:p>
    <w:p w:rsidR="00F73587" w:rsidRDefault="00F73587" w:rsidP="00F73587">
      <w:pPr>
        <w:pStyle w:val="Default"/>
        <w:spacing w:before="57" w:after="57"/>
        <w:ind w:firstLine="113"/>
        <w:jc w:val="both"/>
        <w:rPr>
          <w:sz w:val="20"/>
          <w:szCs w:val="20"/>
        </w:rPr>
      </w:pPr>
      <w:r>
        <w:rPr>
          <w:sz w:val="20"/>
          <w:szCs w:val="20"/>
        </w:rPr>
        <w:t xml:space="preserve">• Seznámení se s odlišnými sociokulturními/etnickými skupinami, s jejich historií, jazykem a zvyky. </w:t>
      </w:r>
    </w:p>
    <w:p w:rsidR="00F73587" w:rsidRDefault="00F73587" w:rsidP="00F73587">
      <w:pPr>
        <w:pStyle w:val="Default"/>
        <w:spacing w:before="57" w:after="57"/>
        <w:ind w:firstLine="113"/>
        <w:jc w:val="both"/>
        <w:rPr>
          <w:sz w:val="20"/>
          <w:szCs w:val="20"/>
        </w:rPr>
      </w:pPr>
      <w:r>
        <w:rPr>
          <w:sz w:val="20"/>
          <w:szCs w:val="20"/>
        </w:rPr>
        <w:t>• Porozumění odlišnosti jiných sociokulturních/etnických skupin.</w:t>
      </w:r>
    </w:p>
    <w:p w:rsidR="00F73587" w:rsidRDefault="00F73587" w:rsidP="00F73587">
      <w:pPr>
        <w:pStyle w:val="Nadpis3"/>
        <w:jc w:val="both"/>
        <w:rPr>
          <w:rFonts w:cs="Arial"/>
          <w:sz w:val="24"/>
          <w:szCs w:val="24"/>
          <w:lang/>
        </w:rPr>
      </w:pPr>
    </w:p>
    <w:p w:rsidR="00F73587" w:rsidRDefault="00F73587" w:rsidP="00F73587">
      <w:pPr>
        <w:pStyle w:val="Nadpis3"/>
        <w:jc w:val="both"/>
        <w:rPr>
          <w:rFonts w:cs="Arial"/>
          <w:sz w:val="24"/>
          <w:szCs w:val="24"/>
          <w:lang/>
        </w:rPr>
      </w:pPr>
      <w:r>
        <w:rPr>
          <w:rFonts w:cs="Arial"/>
          <w:sz w:val="24"/>
          <w:szCs w:val="24"/>
          <w:lang/>
        </w:rPr>
        <w:t xml:space="preserve">2. </w:t>
      </w:r>
      <w:proofErr w:type="spellStart"/>
      <w:r>
        <w:rPr>
          <w:rFonts w:cs="Arial"/>
          <w:sz w:val="24"/>
          <w:szCs w:val="24"/>
          <w:lang/>
        </w:rPr>
        <w:t>Transkulturní</w:t>
      </w:r>
      <w:proofErr w:type="spellEnd"/>
      <w:r>
        <w:rPr>
          <w:rFonts w:cs="Arial"/>
          <w:sz w:val="24"/>
          <w:szCs w:val="24"/>
          <w:lang/>
        </w:rPr>
        <w:t xml:space="preserve"> přístup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Přistup, který můžeme nazvat </w:t>
      </w:r>
      <w:proofErr w:type="spellStart"/>
      <w:r>
        <w:rPr>
          <w:sz w:val="20"/>
          <w:szCs w:val="20"/>
        </w:rPr>
        <w:t>transkulturní</w:t>
      </w:r>
      <w:proofErr w:type="spellEnd"/>
      <w:r>
        <w:rPr>
          <w:sz w:val="20"/>
          <w:szCs w:val="20"/>
        </w:rPr>
        <w:t xml:space="preserve"> (více viz </w:t>
      </w:r>
      <w:proofErr w:type="spellStart"/>
      <w:r>
        <w:rPr>
          <w:sz w:val="20"/>
          <w:szCs w:val="20"/>
        </w:rPr>
        <w:t>Flechsig</w:t>
      </w:r>
      <w:proofErr w:type="spellEnd"/>
      <w:r>
        <w:rPr>
          <w:sz w:val="20"/>
          <w:szCs w:val="20"/>
        </w:rPr>
        <w:t xml:space="preserve">, 2000), navazuje na limity kulturně-standardního přístupu a zároveň jej problematizuje. Namísto popisu jednotlivých sociokulturních skupin začíná přemyšlením o příčinách a hranicích odlišností každého z nás. </w:t>
      </w:r>
      <w:proofErr w:type="spellStart"/>
      <w:r>
        <w:rPr>
          <w:sz w:val="20"/>
          <w:szCs w:val="20"/>
        </w:rPr>
        <w:t>Transkulturní</w:t>
      </w:r>
      <w:proofErr w:type="spellEnd"/>
      <w:r>
        <w:rPr>
          <w:sz w:val="20"/>
          <w:szCs w:val="20"/>
        </w:rPr>
        <w:t xml:space="preserve"> přístup tak odstupuje od uvažování v kategoriích a hovoří o zkušenostech jednotlivce (jeho kultuře), které se projevují při vzájemném setkání s druhým jako kulturní rozdíl.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Od 80. let je možno vysledovat trend spojený s globalizací a migrací, který výrazně problematizuje představu, že existují jasně dané hranice mezi kulturami, respektive národy (které v této zjednodušené podobě stejně nikdy neexistovaly). Kultura je pak v </w:t>
      </w:r>
      <w:proofErr w:type="spellStart"/>
      <w:r>
        <w:rPr>
          <w:sz w:val="20"/>
          <w:szCs w:val="20"/>
        </w:rPr>
        <w:t>transkulturním</w:t>
      </w:r>
      <w:proofErr w:type="spellEnd"/>
      <w:r>
        <w:rPr>
          <w:sz w:val="20"/>
          <w:szCs w:val="20"/>
        </w:rPr>
        <w:t xml:space="preserve"> přístupu viděna jako abstraktní systém vztahů a institucí, které lidem umožňuje budovat své já. Tato síť vztahů pramenící v náboženství, </w:t>
      </w:r>
      <w:r>
        <w:rPr>
          <w:sz w:val="20"/>
          <w:szCs w:val="20"/>
        </w:rPr>
        <w:lastRenderedPageBreak/>
        <w:t xml:space="preserve">příslušnosti k profesní skupině, pohlaví apod. vytváří orientační strukturu každého z nás. Tato struktura je vystavena největším změnám a je nejvíce zřejmá právě v interkulturním kontaktu.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Právě situace kontaktu s druhými lidmi jako základní situace pro uvědomění si své identity a také pro její změnu, je největší novinkou tohoto přístupu. V </w:t>
      </w:r>
      <w:proofErr w:type="spellStart"/>
      <w:r>
        <w:rPr>
          <w:sz w:val="20"/>
          <w:szCs w:val="20"/>
        </w:rPr>
        <w:t>transkulturním</w:t>
      </w:r>
      <w:proofErr w:type="spellEnd"/>
      <w:r>
        <w:rPr>
          <w:sz w:val="20"/>
          <w:szCs w:val="20"/>
        </w:rPr>
        <w:t xml:space="preserve"> přístupu je setkání dvou individualit vnímáno jako možnost pro sebepoznání a změnu sebe sama. Identita každého z nás se tak vyvíjí nejen dle místa života a pocitu příslušnosti k určitým skupinám, ale také v čase. Je ovlivněna především setkáními s konkrétními individuálními lidmi, s jejich systémem hodnot a jejich kulturou. Každý z nás by měl být připraven na setkání a pochopení odlišností u druhých, zároveň však také na proměny, které kontakt s jiným člověkem přináší. Tento přístup pracuje velmi často s hodnotami a především s autentickými situacemi, jako je např. konflikt, diskriminace, dilema apod. Pracuje tedy s konkrétními jevy a jejich odlišnými kulturními interpretacemi na místo s dopředu určenými soubory znaků té či oné skupiny, které pak virtuálně aplikuje na jednotlivé jevy.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Dopad </w:t>
      </w:r>
      <w:proofErr w:type="spellStart"/>
      <w:r>
        <w:rPr>
          <w:sz w:val="20"/>
          <w:szCs w:val="20"/>
        </w:rPr>
        <w:t>transkulturního</w:t>
      </w:r>
      <w:proofErr w:type="spellEnd"/>
      <w:r>
        <w:rPr>
          <w:sz w:val="20"/>
          <w:szCs w:val="20"/>
        </w:rPr>
        <w:t xml:space="preserve"> přístupu na způsoby práce s tématem multikulturní výchovy je s ohledem na jeho výše zmíněné charakteristiky zásadní. Nadále už totiž nemůžeme zdůrazňovat jen představitele jednotlivých kulturních skupin, které spolu vzájemně komunikují, ale také vzájemnou interakci jednotlivých lidi – individuí (</w:t>
      </w:r>
      <w:proofErr w:type="spellStart"/>
      <w:r>
        <w:rPr>
          <w:sz w:val="20"/>
          <w:szCs w:val="20"/>
        </w:rPr>
        <w:t>Moree</w:t>
      </w:r>
      <w:proofErr w:type="spellEnd"/>
      <w:r>
        <w:rPr>
          <w:sz w:val="20"/>
          <w:szCs w:val="20"/>
        </w:rPr>
        <w:t xml:space="preserve">, 2008). Důraz je kladen na jedinečnost každého člověka, která je formována jeho osobními zkušenostmi a prostředím, ve kterém žije (oproti předchozímu vnímání osob jako zástupců jednotlivých sociokulturních skupin). Ve vztahu k </w:t>
      </w:r>
      <w:proofErr w:type="spellStart"/>
      <w:r>
        <w:rPr>
          <w:sz w:val="20"/>
          <w:szCs w:val="20"/>
        </w:rPr>
        <w:t>transkulturnímu</w:t>
      </w:r>
      <w:proofErr w:type="spellEnd"/>
      <w:r>
        <w:rPr>
          <w:sz w:val="20"/>
          <w:szCs w:val="20"/>
        </w:rPr>
        <w:t xml:space="preserve"> konceptu pak i multikulturní výchova není již jen způsobem, jak předávat informace o těch „druhých” (Vietnamcích, Romech, Ukrajincích, homosexuálech, věřících atd.), ale cestou, jak budovat otevřenost, podporovat pluralistické myšlení a individuální, občanský přístup (</w:t>
      </w:r>
      <w:proofErr w:type="spellStart"/>
      <w:r>
        <w:rPr>
          <w:sz w:val="20"/>
          <w:szCs w:val="20"/>
        </w:rPr>
        <w:t>Moree</w:t>
      </w:r>
      <w:proofErr w:type="spellEnd"/>
      <w:r>
        <w:rPr>
          <w:sz w:val="20"/>
          <w:szCs w:val="20"/>
        </w:rPr>
        <w:t xml:space="preserve">, 2008).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Výhodou </w:t>
      </w:r>
      <w:proofErr w:type="spellStart"/>
      <w:r>
        <w:rPr>
          <w:sz w:val="20"/>
          <w:szCs w:val="20"/>
        </w:rPr>
        <w:t>transkulturního</w:t>
      </w:r>
      <w:proofErr w:type="spellEnd"/>
      <w:r>
        <w:rPr>
          <w:sz w:val="20"/>
          <w:szCs w:val="20"/>
        </w:rPr>
        <w:t xml:space="preserve"> přístupu je odklon od rizik </w:t>
      </w:r>
      <w:proofErr w:type="spellStart"/>
      <w:r>
        <w:rPr>
          <w:sz w:val="20"/>
          <w:szCs w:val="20"/>
        </w:rPr>
        <w:t>stereotypizace</w:t>
      </w:r>
      <w:proofErr w:type="spellEnd"/>
      <w:r>
        <w:rPr>
          <w:sz w:val="20"/>
          <w:szCs w:val="20"/>
        </w:rPr>
        <w:t xml:space="preserve">, která ve vztahu ke kultuře a etnicitě bývá velmi silná, a cílený rozvoj senzitivity vůči rozdílnosti a respektu ke každému jednotlivci. Nevýhodou pak může být určité odvrácení pozornosti od velkých interkulturních konfliktů, které v životě reálně vznikají na celém světě od skutečně existujících rozdílů mezi lidmi, kteří nemají příležitost se setkávat.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proofErr w:type="spellStart"/>
      <w:r>
        <w:rPr>
          <w:sz w:val="20"/>
          <w:szCs w:val="20"/>
        </w:rPr>
        <w:t>Transkulturalita</w:t>
      </w:r>
      <w:proofErr w:type="spellEnd"/>
      <w:r>
        <w:rPr>
          <w:sz w:val="20"/>
          <w:szCs w:val="20"/>
        </w:rPr>
        <w:t xml:space="preserve"> přináší směr, který vychází z reálných zkušeností a příběhů lidí. Přináší osobnostní přístup, který se namísto jasného škatulkování a zdůrazňování důležitosti kulturního předurčení jednotlivců snaží spíše popisovat způsob, jakým různé kulturní vlivy působí na člověka a spoluvytváří jeho identitu.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sz w:val="20"/>
          <w:szCs w:val="20"/>
        </w:rPr>
        <w:t xml:space="preserve">V pedagogické práci je možno tento přístup poznat např. formulováním cílů jako: </w:t>
      </w:r>
    </w:p>
    <w:p w:rsidR="00F73587" w:rsidRDefault="00F73587" w:rsidP="00F73587">
      <w:pPr>
        <w:pStyle w:val="Default"/>
        <w:spacing w:after="57"/>
        <w:ind w:firstLine="113"/>
        <w:jc w:val="both"/>
        <w:rPr>
          <w:sz w:val="20"/>
          <w:szCs w:val="20"/>
        </w:rPr>
      </w:pPr>
      <w:r>
        <w:rPr>
          <w:sz w:val="20"/>
          <w:szCs w:val="20"/>
        </w:rPr>
        <w:t xml:space="preserve">• Naučit se reflektovat vlastni kulturní identitu a její proměny. </w:t>
      </w:r>
    </w:p>
    <w:p w:rsidR="00F73587" w:rsidRDefault="00F73587" w:rsidP="00F73587">
      <w:pPr>
        <w:pStyle w:val="Default"/>
        <w:spacing w:after="57"/>
        <w:ind w:firstLine="113"/>
        <w:jc w:val="both"/>
        <w:rPr>
          <w:sz w:val="20"/>
          <w:szCs w:val="20"/>
        </w:rPr>
      </w:pPr>
      <w:r>
        <w:rPr>
          <w:sz w:val="20"/>
          <w:szCs w:val="20"/>
        </w:rPr>
        <w:t xml:space="preserve">• Naučit se vnímat kulturní rozdíly v konkrétních situacích. </w:t>
      </w:r>
    </w:p>
    <w:p w:rsidR="00F73587" w:rsidRDefault="00F73587" w:rsidP="00F73587">
      <w:pPr>
        <w:pStyle w:val="Default"/>
        <w:spacing w:after="57"/>
        <w:ind w:firstLine="113"/>
        <w:jc w:val="both"/>
        <w:rPr>
          <w:sz w:val="20"/>
          <w:szCs w:val="20"/>
        </w:rPr>
      </w:pPr>
      <w:r>
        <w:rPr>
          <w:sz w:val="20"/>
          <w:szCs w:val="20"/>
        </w:rPr>
        <w:t xml:space="preserve">• Prostřednictvím tréninku dokázat řešit tyto situace. </w:t>
      </w: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p>
    <w:p w:rsidR="00F73587" w:rsidRDefault="00F73587" w:rsidP="00F73587">
      <w:pPr>
        <w:pStyle w:val="Default"/>
        <w:spacing w:before="57" w:after="57"/>
        <w:ind w:firstLine="113"/>
        <w:jc w:val="both"/>
        <w:rPr>
          <w:sz w:val="20"/>
          <w:szCs w:val="20"/>
        </w:rPr>
      </w:pPr>
      <w:r>
        <w:rPr>
          <w:b/>
          <w:sz w:val="20"/>
          <w:szCs w:val="20"/>
        </w:rPr>
        <w:t>Pozn. autora</w:t>
      </w:r>
      <w:r>
        <w:rPr>
          <w:sz w:val="20"/>
          <w:szCs w:val="20"/>
        </w:rPr>
        <w:t xml:space="preserve">: část tohoto textu je převzata a upravena z příručky </w:t>
      </w:r>
      <w:proofErr w:type="spellStart"/>
      <w:r>
        <w:rPr>
          <w:sz w:val="20"/>
          <w:szCs w:val="20"/>
        </w:rPr>
        <w:t>Moree</w:t>
      </w:r>
      <w:proofErr w:type="spellEnd"/>
      <w:r>
        <w:rPr>
          <w:sz w:val="20"/>
          <w:szCs w:val="20"/>
        </w:rPr>
        <w:t xml:space="preserve"> &amp; Varianty (2008).</w:t>
      </w:r>
    </w:p>
    <w:p w:rsidR="00F73587" w:rsidRDefault="00F73587"/>
    <w:sectPr w:rsidR="00F73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5A"/>
    <w:rsid w:val="00216821"/>
    <w:rsid w:val="008F0A5A"/>
    <w:rsid w:val="00B21336"/>
    <w:rsid w:val="00BE51ED"/>
    <w:rsid w:val="00F73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C3661-DAD4-4807-A6D5-E00E7777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Zkladntext"/>
    <w:link w:val="Nadpis3Char"/>
    <w:qFormat/>
    <w:rsid w:val="00F73587"/>
    <w:pPr>
      <w:keepNext/>
      <w:widowControl w:val="0"/>
      <w:numPr>
        <w:ilvl w:val="2"/>
        <w:numId w:val="1"/>
      </w:numPr>
      <w:suppressAutoHyphens/>
      <w:spacing w:before="240" w:after="120" w:line="240" w:lineRule="auto"/>
      <w:outlineLvl w:val="2"/>
    </w:pPr>
    <w:rPr>
      <w:rFonts w:ascii="Arial" w:eastAsia="Lucida Sans Unicode" w:hAnsi="Arial" w:cs="Tahoma"/>
      <w:b/>
      <w:bCs/>
      <w:kern w:val="1"/>
      <w:sz w:val="28"/>
      <w:szCs w:val="28"/>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F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F0A5A"/>
    <w:rPr>
      <w:color w:val="0563C1" w:themeColor="hyperlink"/>
      <w:u w:val="single"/>
    </w:rPr>
  </w:style>
  <w:style w:type="character" w:customStyle="1" w:styleId="Nadpis3Char">
    <w:name w:val="Nadpis 3 Char"/>
    <w:basedOn w:val="Standardnpsmoodstavce"/>
    <w:link w:val="Nadpis3"/>
    <w:rsid w:val="00F73587"/>
    <w:rPr>
      <w:rFonts w:ascii="Arial" w:eastAsia="Lucida Sans Unicode" w:hAnsi="Arial" w:cs="Tahoma"/>
      <w:b/>
      <w:bCs/>
      <w:kern w:val="1"/>
      <w:sz w:val="28"/>
      <w:szCs w:val="28"/>
      <w:lang/>
    </w:rPr>
  </w:style>
  <w:style w:type="paragraph" w:styleId="Zkladntext">
    <w:name w:val="Body Text"/>
    <w:basedOn w:val="Normln"/>
    <w:link w:val="ZkladntextChar"/>
    <w:rsid w:val="00F73587"/>
    <w:pPr>
      <w:widowControl w:val="0"/>
      <w:suppressAutoHyphens/>
      <w:spacing w:after="120" w:line="240" w:lineRule="auto"/>
    </w:pPr>
    <w:rPr>
      <w:rFonts w:ascii="Times New Roman" w:eastAsia="Lucida Sans Unicode" w:hAnsi="Times New Roman" w:cs="Times New Roman"/>
      <w:kern w:val="1"/>
      <w:sz w:val="24"/>
      <w:szCs w:val="24"/>
      <w:lang/>
    </w:rPr>
  </w:style>
  <w:style w:type="character" w:customStyle="1" w:styleId="ZkladntextChar">
    <w:name w:val="Základní text Char"/>
    <w:basedOn w:val="Standardnpsmoodstavce"/>
    <w:link w:val="Zkladntext"/>
    <w:rsid w:val="00F73587"/>
    <w:rPr>
      <w:rFonts w:ascii="Times New Roman" w:eastAsia="Lucida Sans Unicode" w:hAnsi="Times New Roman" w:cs="Times New Roman"/>
      <w:kern w:val="1"/>
      <w:sz w:val="24"/>
      <w:szCs w:val="24"/>
      <w:lang/>
    </w:rPr>
  </w:style>
  <w:style w:type="paragraph" w:customStyle="1" w:styleId="Default">
    <w:name w:val="Default"/>
    <w:basedOn w:val="Normln"/>
    <w:rsid w:val="00F73587"/>
    <w:pPr>
      <w:widowControl w:val="0"/>
      <w:suppressAutoHyphens/>
      <w:autoSpaceDE w:val="0"/>
      <w:spacing w:after="0" w:line="240" w:lineRule="auto"/>
    </w:pPr>
    <w:rPr>
      <w:rFonts w:ascii="Arial" w:eastAsia="Arial" w:hAnsi="Arial" w:cs="Arial"/>
      <w:color w:val="000000"/>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nirozvojovevzdelavani.cz/grv-materialy/grv-prakticky.html" TargetMode="External"/><Relationship Id="rId3" Type="http://schemas.openxmlformats.org/officeDocument/2006/relationships/styles" Target="styles.xml"/><Relationship Id="rId7" Type="http://schemas.openxmlformats.org/officeDocument/2006/relationships/hyperlink" Target="http://www.globalnivzdelava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kautinazemi.cz/sites/default/files/2016-11/Global_Citizenship_Competences_CZ_WEB.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C7B8-5D1A-468C-A521-940C7E35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4</Pages>
  <Words>1393</Words>
  <Characters>8219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Holková</dc:creator>
  <cp:keywords/>
  <dc:description/>
  <cp:lastModifiedBy>Martina Holková</cp:lastModifiedBy>
  <cp:revision>2</cp:revision>
  <dcterms:created xsi:type="dcterms:W3CDTF">2017-05-04T12:49:00Z</dcterms:created>
  <dcterms:modified xsi:type="dcterms:W3CDTF">2017-05-06T19:40:00Z</dcterms:modified>
</cp:coreProperties>
</file>