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5" w:rsidRPr="008C6F84" w:rsidRDefault="00E52D65" w:rsidP="00E52D65">
      <w:pPr>
        <w:widowControl w:val="0"/>
        <w:jc w:val="both"/>
        <w:rPr>
          <w:lang w:val="cs-CZ" w:eastAsia="cs-CZ"/>
        </w:rPr>
      </w:pPr>
      <w:r>
        <w:rPr>
          <w:rFonts w:ascii="Verdana" w:hAnsi="Verdana" w:cs="Verdana"/>
          <w:b/>
          <w:bCs/>
          <w:sz w:val="18"/>
          <w:szCs w:val="18"/>
          <w:lang w:val="cs-CZ" w:eastAsia="cs-CZ"/>
        </w:rPr>
        <w:t>C. Okruhy otázek k ústní části magisterské státní závěrečné zkoušky</w:t>
      </w:r>
    </w:p>
    <w:p w:rsidR="00E52D65" w:rsidRDefault="00E52D65" w:rsidP="00E52D65">
      <w:pPr>
        <w:widowControl w:val="0"/>
        <w:autoSpaceDE w:val="0"/>
        <w:rPr>
          <w:rFonts w:ascii="Verdana" w:hAnsi="Verdana" w:cs="Verdana"/>
          <w:sz w:val="18"/>
          <w:szCs w:val="18"/>
          <w:lang w:val="fr-CA" w:eastAsia="cs-CZ"/>
        </w:rPr>
      </w:pPr>
    </w:p>
    <w:p w:rsidR="00E52D65" w:rsidRPr="00E52D65" w:rsidRDefault="00E52D65" w:rsidP="00E52D65">
      <w:pPr>
        <w:widowControl w:val="0"/>
        <w:autoSpaceDE w:val="0"/>
        <w:rPr>
          <w:rFonts w:ascii="Verdana" w:hAnsi="Verdana" w:cs="Verdana"/>
          <w:b/>
          <w:sz w:val="18"/>
          <w:szCs w:val="18"/>
          <w:lang w:val="fr-CA" w:eastAsia="cs-CZ"/>
        </w:rPr>
      </w:pPr>
      <w:r w:rsidRPr="00E52D65">
        <w:rPr>
          <w:rFonts w:ascii="Verdana" w:hAnsi="Verdana" w:cs="Verdana"/>
          <w:b/>
          <w:sz w:val="18"/>
          <w:szCs w:val="18"/>
          <w:lang w:val="fr-CA" w:eastAsia="cs-CZ"/>
        </w:rPr>
        <w:t>Littérature :</w:t>
      </w:r>
    </w:p>
    <w:p w:rsidR="00E52D65" w:rsidRDefault="00E52D65" w:rsidP="00E52D65">
      <w:pPr>
        <w:widowControl w:val="0"/>
        <w:autoSpaceDE w:val="0"/>
        <w:rPr>
          <w:rFonts w:ascii="Verdana" w:hAnsi="Verdana" w:cs="Verdana"/>
          <w:sz w:val="18"/>
          <w:szCs w:val="18"/>
          <w:lang w:val="fr-CA" w:eastAsia="cs-CZ"/>
        </w:rPr>
      </w:pPr>
    </w:p>
    <w:p w:rsidR="00E52D65" w:rsidRPr="005C73FF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 w:rsidRPr="005C73FF">
        <w:rPr>
          <w:rFonts w:ascii="Verdana" w:hAnsi="Verdana" w:cs="Verdana"/>
          <w:sz w:val="18"/>
          <w:szCs w:val="18"/>
          <w:lang w:val="fr-CA" w:eastAsia="cs-CZ"/>
        </w:rPr>
        <w:t>Les genres de la littérature au Moyen-</w:t>
      </w:r>
      <w:r w:rsidRPr="005C73FF">
        <w:rPr>
          <w:rFonts w:ascii="Arial" w:hAnsi="Arial" w:cs="Arial"/>
          <w:sz w:val="18"/>
          <w:szCs w:val="18"/>
          <w:lang w:val="fr-CA" w:eastAsia="cs-CZ"/>
        </w:rPr>
        <w:t>â</w:t>
      </w:r>
      <w:r w:rsidRPr="005C73FF">
        <w:rPr>
          <w:rFonts w:ascii="Verdana" w:hAnsi="Verdana" w:cs="Verdana"/>
          <w:sz w:val="18"/>
          <w:szCs w:val="18"/>
          <w:lang w:val="fr-CA" w:eastAsia="cs-CZ"/>
        </w:rPr>
        <w:t>ge.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La poésie et la prose de la Renaissance et du baroque.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Les règles de la création littéraire au classicisme.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L’âge des Lumières, entre la philosophie et la littérature.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 xml:space="preserve">La nouvelle esthétique du romantisme. 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Du réalisme au naturalisme.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La poésie de la deuxième moitié du XIXe siècle.</w:t>
      </w:r>
    </w:p>
    <w:p w:rsidR="00E52D65" w:rsidRPr="00F256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b/>
          <w:sz w:val="18"/>
          <w:szCs w:val="18"/>
          <w:lang w:val="fr-CA" w:eastAsia="cs-CZ"/>
        </w:rPr>
      </w:pPr>
      <w:r w:rsidRPr="00F25665">
        <w:rPr>
          <w:rFonts w:ascii="Verdana" w:hAnsi="Verdana" w:cs="Verdana"/>
          <w:b/>
          <w:sz w:val="18"/>
          <w:szCs w:val="18"/>
          <w:lang w:val="fr-CA" w:eastAsia="cs-CZ"/>
        </w:rPr>
        <w:t xml:space="preserve">Les avant-gardes au début du XXe siècle. </w:t>
      </w:r>
    </w:p>
    <w:p w:rsidR="00E52D65" w:rsidRPr="00F256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b/>
          <w:sz w:val="18"/>
          <w:szCs w:val="18"/>
          <w:lang w:val="fr-CA" w:eastAsia="cs-CZ"/>
        </w:rPr>
      </w:pPr>
      <w:r w:rsidRPr="00F25665">
        <w:rPr>
          <w:rFonts w:ascii="Verdana" w:hAnsi="Verdana" w:cs="Verdana"/>
          <w:b/>
          <w:sz w:val="18"/>
          <w:szCs w:val="18"/>
          <w:lang w:val="fr-CA" w:eastAsia="cs-CZ"/>
        </w:rPr>
        <w:t xml:space="preserve">Les nouvelles tendances dans le roman de l’entre-deux-guerres </w:t>
      </w:r>
    </w:p>
    <w:p w:rsidR="00E52D65" w:rsidRPr="00F256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b/>
          <w:sz w:val="18"/>
          <w:szCs w:val="18"/>
          <w:lang w:val="fr-CA" w:eastAsia="cs-CZ"/>
        </w:rPr>
      </w:pPr>
      <w:r w:rsidRPr="00F25665">
        <w:rPr>
          <w:rFonts w:ascii="Verdana" w:hAnsi="Verdana" w:cs="Verdana"/>
          <w:b/>
          <w:sz w:val="18"/>
          <w:szCs w:val="18"/>
          <w:lang w:val="fr-CA" w:eastAsia="cs-CZ"/>
        </w:rPr>
        <w:t xml:space="preserve">La condition humaine et l’existentialisme. </w:t>
      </w:r>
    </w:p>
    <w:p w:rsidR="00E52D65" w:rsidRPr="00F256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b/>
          <w:sz w:val="18"/>
          <w:szCs w:val="18"/>
          <w:lang w:val="fr-CA" w:eastAsia="cs-CZ"/>
        </w:rPr>
      </w:pPr>
      <w:r w:rsidRPr="00F25665">
        <w:rPr>
          <w:rFonts w:ascii="Verdana" w:hAnsi="Verdana" w:cs="Verdana"/>
          <w:b/>
          <w:sz w:val="18"/>
          <w:szCs w:val="18"/>
          <w:lang w:val="fr-CA" w:eastAsia="cs-CZ"/>
        </w:rPr>
        <w:t>Le nouveau roman et le théâtre absurde.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 w:rsidRPr="00F25665">
        <w:rPr>
          <w:rFonts w:ascii="Verdana" w:hAnsi="Verdana" w:cs="Verdana"/>
          <w:b/>
          <w:sz w:val="18"/>
          <w:szCs w:val="18"/>
          <w:lang w:val="fr-CA" w:eastAsia="cs-CZ"/>
        </w:rPr>
        <w:t>La littérature au tournant du XXe et XXIe siècles</w:t>
      </w:r>
      <w:r>
        <w:rPr>
          <w:rFonts w:ascii="Verdana" w:hAnsi="Verdana" w:cs="Verdana"/>
          <w:sz w:val="18"/>
          <w:szCs w:val="18"/>
          <w:lang w:val="fr-CA" w:eastAsia="cs-CZ"/>
        </w:rPr>
        <w:t>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Les caractéristiques de la littérature pour enfants et jeunesse.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rFonts w:ascii="Verdana" w:hAnsi="Verdana" w:cs="Verdana"/>
          <w:sz w:val="18"/>
          <w:szCs w:val="18"/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Le développement de la littérature pour enfants et jeunesse.</w:t>
      </w:r>
    </w:p>
    <w:p w:rsidR="00E52D65" w:rsidRDefault="00E52D65" w:rsidP="00E52D65">
      <w:pPr>
        <w:widowControl w:val="0"/>
        <w:numPr>
          <w:ilvl w:val="0"/>
          <w:numId w:val="1"/>
        </w:numPr>
        <w:autoSpaceDE w:val="0"/>
        <w:rPr>
          <w:lang w:val="fr-CA" w:eastAsia="cs-CZ"/>
        </w:rPr>
      </w:pPr>
      <w:r>
        <w:rPr>
          <w:rFonts w:ascii="Verdana" w:hAnsi="Verdana" w:cs="Verdana"/>
          <w:sz w:val="18"/>
          <w:szCs w:val="18"/>
          <w:lang w:val="fr-CA" w:eastAsia="cs-CZ"/>
        </w:rPr>
        <w:t>Les genres spécifiques de la littérature pour enfants et jeunesse.</w:t>
      </w:r>
    </w:p>
    <w:p w:rsidR="00E1206B" w:rsidRPr="00E52D65" w:rsidRDefault="00E1206B">
      <w:pPr>
        <w:rPr>
          <w:lang w:val="fr-CA"/>
        </w:rPr>
      </w:pPr>
      <w:bookmarkStart w:id="0" w:name="_GoBack"/>
      <w:bookmarkEnd w:id="0"/>
    </w:p>
    <w:sectPr w:rsidR="00E1206B" w:rsidRPr="00E5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val="fr-CA" w:eastAsia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65"/>
    <w:rsid w:val="00B50389"/>
    <w:rsid w:val="00E1206B"/>
    <w:rsid w:val="00E52D65"/>
    <w:rsid w:val="00F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0653-7907-4AED-AF1D-4A23AAD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2</cp:revision>
  <dcterms:created xsi:type="dcterms:W3CDTF">2018-02-20T10:54:00Z</dcterms:created>
  <dcterms:modified xsi:type="dcterms:W3CDTF">2018-02-20T15:46:00Z</dcterms:modified>
</cp:coreProperties>
</file>