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97454B">
        <w:trPr>
          <w:trHeight w:val="572"/>
        </w:trPr>
        <w:tc>
          <w:tcPr>
            <w:tcW w:w="1601" w:type="dxa"/>
            <w:shd w:val="clear" w:color="auto" w:fill="9CC2E5" w:themeFill="accent1" w:themeFillTint="99"/>
            <w:vAlign w:val="center"/>
          </w:tcPr>
          <w:p w14:paraId="5A4A9392" w14:textId="0B94C7E2" w:rsidR="00CF6D6F" w:rsidRDefault="00684D22" w:rsidP="00684D22">
            <w:pPr>
              <w:ind w:left="360"/>
              <w:jc w:val="center"/>
            </w:pPr>
            <w:bookmarkStart w:id="0" w:name="_GoBack"/>
            <w:bookmarkEnd w:id="0"/>
            <w:r>
              <w:rPr>
                <w:sz w:val="56"/>
              </w:rPr>
              <w:t>1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1187F70A" w:rsidR="00CF6D6F" w:rsidRPr="0077604F" w:rsidRDefault="00911D69" w:rsidP="00911D69">
            <w:pPr>
              <w:jc w:val="center"/>
              <w:rPr>
                <w:b/>
              </w:rPr>
            </w:pPr>
            <w:r w:rsidRPr="00911D69">
              <w:rPr>
                <w:b/>
                <w:color w:val="5B9BD5" w:themeColor="accent1"/>
                <w:sz w:val="40"/>
              </w:rPr>
              <w:t xml:space="preserve">Paradoxní </w:t>
            </w:r>
            <w:proofErr w:type="spellStart"/>
            <w:r w:rsidRPr="00911D69">
              <w:rPr>
                <w:b/>
                <w:color w:val="5B9BD5" w:themeColor="accent1"/>
                <w:sz w:val="40"/>
              </w:rPr>
              <w:t>dvojkužel</w:t>
            </w:r>
            <w:proofErr w:type="spellEnd"/>
            <w:r w:rsidR="005837EA" w:rsidRPr="0097454B">
              <w:rPr>
                <w:noProof/>
                <w:color w:val="5B9BD5" w:themeColor="accent1"/>
                <w:sz w:val="28"/>
                <w:lang w:eastAsia="cs-CZ"/>
              </w:rPr>
              <w:drawing>
                <wp:anchor distT="0" distB="0" distL="114300" distR="114300" simplePos="0" relativeHeight="251681280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47FD" w14:paraId="7218D891" w14:textId="77777777" w:rsidTr="0097454B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Pr="006F4377" w:rsidRDefault="00151366" w:rsidP="00151366">
            <w:pPr>
              <w:jc w:val="both"/>
              <w:rPr>
                <w:sz w:val="24"/>
                <w:szCs w:val="24"/>
              </w:rPr>
            </w:pPr>
            <w:r w:rsidRPr="006F4377">
              <w:rPr>
                <w:sz w:val="24"/>
                <w:szCs w:val="24"/>
              </w:rPr>
              <w:t>RVP pro PV</w:t>
            </w:r>
          </w:p>
          <w:p w14:paraId="477966E4" w14:textId="77777777" w:rsidR="00151366" w:rsidRPr="006F4377" w:rsidRDefault="00151366" w:rsidP="00151366">
            <w:pPr>
              <w:jc w:val="both"/>
              <w:rPr>
                <w:sz w:val="24"/>
                <w:szCs w:val="24"/>
              </w:rPr>
            </w:pPr>
            <w:r w:rsidRPr="006F4377">
              <w:rPr>
                <w:sz w:val="24"/>
                <w:szCs w:val="24"/>
              </w:rPr>
              <w:t xml:space="preserve">Vzdělávací oblast: </w:t>
            </w:r>
            <w:r w:rsidRPr="006F4377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Pr="006F4377" w:rsidRDefault="00151366" w:rsidP="00151366">
            <w:pPr>
              <w:jc w:val="both"/>
              <w:rPr>
                <w:sz w:val="24"/>
                <w:szCs w:val="24"/>
              </w:rPr>
            </w:pPr>
            <w:r w:rsidRPr="006F4377">
              <w:rPr>
                <w:sz w:val="24"/>
                <w:szCs w:val="24"/>
              </w:rPr>
              <w:t xml:space="preserve">Očekávaný výstup dle RVP PV: </w:t>
            </w:r>
          </w:p>
          <w:p w14:paraId="5022FC2B" w14:textId="77777777" w:rsidR="005273D4" w:rsidRPr="006F4377" w:rsidRDefault="00151366" w:rsidP="00CF6D6F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6F4377">
              <w:rPr>
                <w:sz w:val="24"/>
                <w:szCs w:val="24"/>
              </w:rPr>
              <w:t>osvojovat si elementární poznatky o okolním prostředí, k</w:t>
            </w:r>
            <w:r w:rsidR="0042189C" w:rsidRPr="006F4377">
              <w:rPr>
                <w:sz w:val="24"/>
                <w:szCs w:val="24"/>
              </w:rPr>
              <w:t>teré jsou dítěti blízké, pro ně </w:t>
            </w:r>
            <w:r w:rsidRPr="006F4377">
              <w:rPr>
                <w:sz w:val="24"/>
                <w:szCs w:val="24"/>
              </w:rPr>
              <w:t>smysluplné a přínosné, zajímavé a jemu pochopitelné a využitelné pro další uč</w:t>
            </w:r>
            <w:r w:rsidR="0042189C" w:rsidRPr="006F4377">
              <w:rPr>
                <w:sz w:val="24"/>
                <w:szCs w:val="24"/>
              </w:rPr>
              <w:t>ení a </w:t>
            </w:r>
            <w:r w:rsidRPr="006F4377">
              <w:rPr>
                <w:sz w:val="24"/>
                <w:szCs w:val="24"/>
              </w:rPr>
              <w:t>životní praxi</w:t>
            </w:r>
          </w:p>
          <w:p w14:paraId="2A78C26A" w14:textId="5A24C83F" w:rsidR="00CF6D6F" w:rsidRPr="006F4377" w:rsidRDefault="00CF6D6F" w:rsidP="00CF6D6F">
            <w:pPr>
              <w:pStyle w:val="Odstavecseseznamem"/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DEEAF6" w:themeFill="accent1" w:themeFillTint="33"/>
            <w:vAlign w:val="center"/>
          </w:tcPr>
          <w:p w14:paraId="75C7190C" w14:textId="48F5B5EC" w:rsidR="00CA47FD" w:rsidRPr="00151366" w:rsidRDefault="00911D69" w:rsidP="00911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Ono se to samo pohybuje do kopce</w:t>
            </w:r>
          </w:p>
        </w:tc>
      </w:tr>
      <w:tr w:rsidR="005A7C62" w14:paraId="5295C9EA" w14:textId="77777777" w:rsidTr="0097454B">
        <w:trPr>
          <w:trHeight w:val="299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37E7CC4F" w14:textId="3BC6FBC3" w:rsidR="005A7C62" w:rsidRPr="006F4377" w:rsidRDefault="005A7C62" w:rsidP="005837EA">
            <w:pPr>
              <w:rPr>
                <w:sz w:val="28"/>
                <w:szCs w:val="24"/>
              </w:rPr>
            </w:pPr>
            <w:r w:rsidRPr="006F4377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1584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4377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97454B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0E958DA2" w:rsidR="0077604F" w:rsidRPr="006F4377" w:rsidRDefault="00911D69" w:rsidP="0099565C">
            <w:pPr>
              <w:jc w:val="both"/>
              <w:rPr>
                <w:sz w:val="24"/>
                <w:szCs w:val="24"/>
              </w:rPr>
            </w:pPr>
            <w:r w:rsidRPr="00911D69">
              <w:rPr>
                <w:sz w:val="24"/>
                <w:szCs w:val="24"/>
              </w:rPr>
              <w:t xml:space="preserve">Paradoxní </w:t>
            </w:r>
            <w:proofErr w:type="spellStart"/>
            <w:r w:rsidRPr="00911D69">
              <w:rPr>
                <w:sz w:val="24"/>
                <w:szCs w:val="24"/>
              </w:rPr>
              <w:t>dvojkužel</w:t>
            </w:r>
            <w:proofErr w:type="spellEnd"/>
            <w:r>
              <w:rPr>
                <w:sz w:val="24"/>
                <w:szCs w:val="24"/>
              </w:rPr>
              <w:t xml:space="preserve"> s nakloněnou rovinou</w:t>
            </w:r>
          </w:p>
        </w:tc>
      </w:tr>
      <w:tr w:rsidR="005A7C62" w14:paraId="0CB04F9C" w14:textId="77777777" w:rsidTr="0097454B">
        <w:trPr>
          <w:trHeight w:val="298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4656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97454B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550440D9" w14:textId="77777777" w:rsidR="00911D69" w:rsidRDefault="00911D69" w:rsidP="00911D69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911D69">
              <w:rPr>
                <w:sz w:val="24"/>
                <w:szCs w:val="24"/>
              </w:rPr>
              <w:t xml:space="preserve">Paradoxní </w:t>
            </w:r>
            <w:proofErr w:type="spellStart"/>
            <w:r w:rsidRPr="00911D69">
              <w:rPr>
                <w:sz w:val="24"/>
                <w:szCs w:val="24"/>
              </w:rPr>
              <w:t>dvojkužel</w:t>
            </w:r>
            <w:proofErr w:type="spellEnd"/>
            <w:r w:rsidRPr="00911D69">
              <w:rPr>
                <w:sz w:val="24"/>
                <w:szCs w:val="24"/>
              </w:rPr>
              <w:t xml:space="preserve"> položíme na spodní část nakloněné roviny</w:t>
            </w:r>
            <w:r>
              <w:rPr>
                <w:sz w:val="24"/>
                <w:szCs w:val="24"/>
              </w:rPr>
              <w:t xml:space="preserve">. </w:t>
            </w:r>
          </w:p>
          <w:p w14:paraId="4CB7C6D9" w14:textId="77777777" w:rsidR="00911D69" w:rsidRDefault="00911D69" w:rsidP="00911D69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Kužel se začne pohybovat směrem nahoru.</w:t>
            </w:r>
          </w:p>
          <w:p w14:paraId="410B2493" w14:textId="6D5C5797" w:rsidR="009F795F" w:rsidRPr="00911D69" w:rsidRDefault="00911D69" w:rsidP="00911D69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Popíšeme celý děj</w:t>
            </w:r>
          </w:p>
        </w:tc>
      </w:tr>
      <w:tr w:rsidR="005A7C62" w14:paraId="5E1FCBB3" w14:textId="77777777" w:rsidTr="0097454B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9CC2E5" w:themeColor="accent1" w:themeTint="99"/>
            </w:tcBorders>
            <w:shd w:val="clear" w:color="auto" w:fill="9CC2E5" w:themeFill="accent1" w:themeFillTint="99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97454B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9CC2E5" w:themeColor="accent1" w:themeTint="99"/>
            </w:tcBorders>
            <w:shd w:val="clear" w:color="auto" w:fill="FFFFFF" w:themeFill="background1"/>
          </w:tcPr>
          <w:p w14:paraId="0A66C3E9" w14:textId="78FA4AE0" w:rsidR="00911D69" w:rsidRPr="00151366" w:rsidRDefault="00151366" w:rsidP="00911D69">
            <w:pPr>
              <w:jc w:val="both"/>
              <w:rPr>
                <w:sz w:val="24"/>
                <w:szCs w:val="24"/>
              </w:rPr>
            </w:pPr>
            <w:r w:rsidRPr="001D775A">
              <w:rPr>
                <w:sz w:val="24"/>
                <w:szCs w:val="24"/>
              </w:rPr>
              <w:t>Při práci s</w:t>
            </w:r>
            <w:r w:rsidR="001D775A" w:rsidRPr="001D775A">
              <w:rPr>
                <w:sz w:val="24"/>
                <w:szCs w:val="24"/>
              </w:rPr>
              <w:t> </w:t>
            </w:r>
            <w:r w:rsidR="00911D69" w:rsidRPr="00911D69">
              <w:rPr>
                <w:sz w:val="24"/>
                <w:szCs w:val="24"/>
              </w:rPr>
              <w:t>paradoxní</w:t>
            </w:r>
            <w:r w:rsidR="00911D69">
              <w:rPr>
                <w:sz w:val="24"/>
                <w:szCs w:val="24"/>
              </w:rPr>
              <w:t>m</w:t>
            </w:r>
            <w:r w:rsidR="00911D69" w:rsidRPr="00911D69">
              <w:rPr>
                <w:sz w:val="24"/>
                <w:szCs w:val="24"/>
              </w:rPr>
              <w:t xml:space="preserve"> </w:t>
            </w:r>
            <w:proofErr w:type="spellStart"/>
            <w:r w:rsidR="00911D69" w:rsidRPr="00911D69">
              <w:rPr>
                <w:sz w:val="24"/>
                <w:szCs w:val="24"/>
              </w:rPr>
              <w:t>dvojkužel</w:t>
            </w:r>
            <w:r w:rsidR="00911D69">
              <w:rPr>
                <w:sz w:val="24"/>
                <w:szCs w:val="24"/>
              </w:rPr>
              <w:t>em</w:t>
            </w:r>
            <w:proofErr w:type="spellEnd"/>
            <w:r w:rsidR="00911D69">
              <w:rPr>
                <w:sz w:val="24"/>
                <w:szCs w:val="24"/>
              </w:rPr>
              <w:t xml:space="preserve"> dbáme na bezpečnost, hlavně ochranu proti pádu na žákovy údy. Kužel může mít vyšší hmotnost.</w:t>
            </w:r>
          </w:p>
          <w:p w14:paraId="2D6BCE0C" w14:textId="0A9921B0" w:rsidR="001D775A" w:rsidRPr="00151366" w:rsidRDefault="001D775A" w:rsidP="001D775A">
            <w:pPr>
              <w:jc w:val="both"/>
              <w:rPr>
                <w:sz w:val="24"/>
                <w:szCs w:val="24"/>
              </w:rPr>
            </w:pPr>
          </w:p>
        </w:tc>
      </w:tr>
    </w:tbl>
    <w:p w14:paraId="32FE99F3" w14:textId="77777777" w:rsidR="000441EB" w:rsidRDefault="000441EB">
      <w:r>
        <w:br w:type="page"/>
      </w:r>
    </w:p>
    <w:tbl>
      <w:tblPr>
        <w:tblStyle w:val="Mkatabulky"/>
        <w:tblW w:w="9011" w:type="dxa"/>
        <w:tblInd w:w="15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011"/>
      </w:tblGrid>
      <w:tr w:rsidR="005837EA" w14:paraId="2BB5D40D" w14:textId="77777777" w:rsidTr="000441EB">
        <w:trPr>
          <w:trHeight w:val="121"/>
        </w:trPr>
        <w:tc>
          <w:tcPr>
            <w:tcW w:w="9011" w:type="dxa"/>
            <w:tcBorders>
              <w:top w:val="single" w:sz="12" w:space="0" w:color="9CC2E5" w:themeColor="accent1" w:themeTint="99"/>
              <w:left w:val="nil"/>
              <w:bottom w:val="single" w:sz="12" w:space="0" w:color="9CC2E5" w:themeColor="accent1" w:themeTint="99"/>
              <w:right w:val="nil"/>
            </w:tcBorders>
            <w:shd w:val="clear" w:color="auto" w:fill="FFFFFF" w:themeFill="background1"/>
          </w:tcPr>
          <w:p w14:paraId="3BA45DF8" w14:textId="6C64C376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CF6D6F" w14:paraId="70C64A4B" w14:textId="77777777" w:rsidTr="000441EB">
        <w:trPr>
          <w:trHeight w:val="377"/>
        </w:trPr>
        <w:tc>
          <w:tcPr>
            <w:tcW w:w="9011" w:type="dxa"/>
            <w:tcBorders>
              <w:top w:val="single" w:sz="12" w:space="0" w:color="9CC2E5" w:themeColor="accent1" w:themeTint="99"/>
            </w:tcBorders>
            <w:shd w:val="clear" w:color="auto" w:fill="9CC2E5" w:themeFill="accent1" w:themeFillTint="99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  <w:lang w:eastAsia="cs-CZ"/>
              </w:rPr>
              <w:drawing>
                <wp:anchor distT="0" distB="0" distL="114300" distR="114300" simplePos="0" relativeHeight="251670016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0441EB">
        <w:trPr>
          <w:trHeight w:val="4290"/>
        </w:trPr>
        <w:tc>
          <w:tcPr>
            <w:tcW w:w="9011" w:type="dxa"/>
            <w:shd w:val="clear" w:color="auto" w:fill="FFFFFF" w:themeFill="background1"/>
          </w:tcPr>
          <w:p w14:paraId="2DC3D90A" w14:textId="532DB8BA" w:rsidR="00852AFF" w:rsidRPr="00236790" w:rsidRDefault="00911D69" w:rsidP="00085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2304" behindDoc="0" locked="0" layoutInCell="1" allowOverlap="1" wp14:anchorId="5AF04844" wp14:editId="306F67A3">
                  <wp:simplePos x="978010" y="40392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636000" cy="2209935"/>
                  <wp:effectExtent l="0" t="0" r="3175" b="0"/>
                  <wp:wrapSquare wrapText="bothSides"/>
                  <wp:docPr id="2" name="Obrázek 2" descr="http://museo.liceofoscarini.it/museoreale/db/foto/03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seo.liceofoscarini.it/museoreale/db/foto/03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0" cy="220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  <w:lang w:eastAsia="cs-CZ"/>
              </w:rPr>
              <w:t xml:space="preserve"> </w:t>
            </w:r>
            <w:r w:rsidR="000F3932"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82D3AD3" wp14:editId="726F2774">
                      <wp:simplePos x="0" y="0"/>
                      <wp:positionH relativeFrom="column">
                        <wp:posOffset>237821</wp:posOffset>
                      </wp:positionH>
                      <wp:positionV relativeFrom="paragraph">
                        <wp:posOffset>2283156</wp:posOffset>
                      </wp:positionV>
                      <wp:extent cx="2075180" cy="349250"/>
                      <wp:effectExtent l="0" t="0" r="1270" b="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5180" cy="3492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81263DA" w:rsidR="00197A0F" w:rsidRPr="00911D69" w:rsidRDefault="00197A0F" w:rsidP="00911D69">
                                  <w:pPr>
                                    <w:pStyle w:val="Titulek"/>
                                    <w:rPr>
                                      <w:color w:val="auto"/>
                                    </w:rPr>
                                  </w:pPr>
                                  <w:r w:rsidRPr="000F3932">
                                    <w:rPr>
                                      <w:color w:val="auto"/>
                                    </w:rPr>
                                    <w:t xml:space="preserve">Obr. 1 </w:t>
                                  </w:r>
                                  <w:r w:rsidR="00911D69" w:rsidRPr="00911D69">
                                    <w:rPr>
                                      <w:color w:val="auto"/>
                                    </w:rPr>
                                    <w:t xml:space="preserve">Paradoxní </w:t>
                                  </w:r>
                                  <w:proofErr w:type="spellStart"/>
                                  <w:r w:rsidR="00911D69" w:rsidRPr="00911D69">
                                    <w:rPr>
                                      <w:color w:val="auto"/>
                                    </w:rPr>
                                    <w:t>dvojkužel</w:t>
                                  </w:r>
                                  <w:proofErr w:type="spellEnd"/>
                                  <w:r w:rsidR="00911D69">
                                    <w:rPr>
                                      <w:color w:val="auto"/>
                                    </w:rPr>
                                    <w:t xml:space="preserve"> v konečné fázi pohybu po nakloněné rovině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D3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left:0;text-align:left;margin-left:18.75pt;margin-top:179.8pt;width:163.4pt;height:2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dZOQIAAGUEAAAOAAAAZHJzL2Uyb0RvYy54bWysVMGO0zAQvSPxD5bvNG1h2aVquipdFSFV&#10;uyu1aM+uYzeWbI+x3Sblj/gOfoyxk3Rh4YS4OOOZ8djvvZnMb1ujyUn4oMCWdDIaUyIsh0rZQ0m/&#10;7NZvbigJkdmKabCipGcR6O3i9at542ZiCjXoSniCRWyYNa6kdYxuVhSB18KwMAInLAYleMMibv2h&#10;qDxrsLrRxXQ8fl804CvngYsQ0HvXBeki15dS8PggZRCR6JLi22JefV73aS0WczY7eOZqxftnsH94&#10;hWHK4qWXUncsMnL06o9SRnEPAWQccTAFSKm4yBgQzWT8As22Zk5kLEhOcBeawv8ry+9Pj56oqqTX&#10;lFhmUKKdaCOcfnwnDrQg14mixoUZZm4d5sb2I7Qo9eAP6EzIW+lN+iImgnEk+3whGCsSjs7p+Ppq&#10;coMhjrG37z5Mr7ICxfNp50P8JMCQZJTUo4CZV3bahIgvwdQhJV0WQKtqrbROmxRYaU9ODMVuahVF&#10;eiOe+C1L25RrIZ3qwslTJIgdlGTFdt/2uPdQnRG2h653guNrhRdtWIiPzGOzIBwcgPiAi9TQlBR6&#10;i5Ia/Le/+VM+aohRShpsvpKGr0fmBSX6s0V1U6cOhh+M/WDYo1kBQpzgaDmeTTzgox5M6cE84Vws&#10;0y0YYpbjXSWNg7mK3QjgXHGxXOYk7EfH4sZuHU+lB0J37RPzrpcjopD3MLQlm71Qpcvt6F0eI0iV&#10;JUuEdiz2PGMvZ136uUvD8us+Zz3/HRY/AQAA//8DAFBLAwQUAAYACAAAACEAXrY6oOEAAAAKAQAA&#10;DwAAAGRycy9kb3ducmV2LnhtbEyPwU7DMAyG70i8Q2QkLoilW7sApekEG7vBYWPaOWtMW9E4VZKu&#10;3dsTTnCyLH/6/f3FajIdO6PzrSUJ81kCDKmyuqVawuFze/8IzAdFWnWWUMIFPazK66tC5dqOtMPz&#10;PtQshpDPlYQmhD7n3FcNGuVntkeKty/rjApxdTXXTo0x3HR8kSSCG9VS/NCoHtcNVt/7wUgQGzeM&#10;O1rfbQ5v7+qjrxfH18tRytub6eUZWMAp/MHwqx/VoYxOJzuQ9qyTkD4sIxnn8kkAi0AqshTYSUI2&#10;zwTwsuD/K5Q/AAAA//8DAFBLAQItABQABgAIAAAAIQC2gziS/gAAAOEBAAATAAAAAAAAAAAAAAAA&#10;AAAAAABbQ29udGVudF9UeXBlc10ueG1sUEsBAi0AFAAGAAgAAAAhADj9If/WAAAAlAEAAAsAAAAA&#10;AAAAAAAAAAAALwEAAF9yZWxzLy5yZWxzUEsBAi0AFAAGAAgAAAAhAEfrJ1k5AgAAZQQAAA4AAAAA&#10;AAAAAAAAAAAALgIAAGRycy9lMm9Eb2MueG1sUEsBAi0AFAAGAAgAAAAhAF62OqDhAAAACgEAAA8A&#10;AAAAAAAAAAAAAAAAkwQAAGRycy9kb3ducmV2LnhtbFBLBQYAAAAABAAEAPMAAAChBQAAAAA=&#10;" stroked="f">
                      <v:textbox inset="0,0,0,0">
                        <w:txbxContent>
                          <w:p w14:paraId="3BC5A1D5" w14:textId="781263DA" w:rsidR="00197A0F" w:rsidRPr="00911D69" w:rsidRDefault="00197A0F" w:rsidP="00911D69">
                            <w:pPr>
                              <w:pStyle w:val="Titulek"/>
                              <w:rPr>
                                <w:color w:val="auto"/>
                              </w:rPr>
                            </w:pPr>
                            <w:r w:rsidRPr="000F3932">
                              <w:rPr>
                                <w:color w:val="auto"/>
                              </w:rPr>
                              <w:t xml:space="preserve">Obr. 1 </w:t>
                            </w:r>
                            <w:r w:rsidR="00911D69" w:rsidRPr="00911D69">
                              <w:rPr>
                                <w:color w:val="auto"/>
                              </w:rPr>
                              <w:t xml:space="preserve">Paradoxní </w:t>
                            </w:r>
                            <w:proofErr w:type="spellStart"/>
                            <w:r w:rsidR="00911D69" w:rsidRPr="00911D69">
                              <w:rPr>
                                <w:color w:val="auto"/>
                              </w:rPr>
                              <w:t>dvojkužel</w:t>
                            </w:r>
                            <w:proofErr w:type="spellEnd"/>
                            <w:r w:rsidR="00911D69">
                              <w:rPr>
                                <w:color w:val="auto"/>
                              </w:rPr>
                              <w:t xml:space="preserve"> v konečné fázi pohybu po nakloněné rovině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2F5B84" w14:paraId="0BD01B44" w14:textId="77777777" w:rsidTr="000441EB">
        <w:trPr>
          <w:trHeight w:val="419"/>
        </w:trPr>
        <w:tc>
          <w:tcPr>
            <w:tcW w:w="9011" w:type="dxa"/>
            <w:shd w:val="clear" w:color="auto" w:fill="9CC2E5" w:themeFill="accent1" w:themeFillTint="99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  <w:lang w:eastAsia="cs-CZ"/>
              </w:rPr>
              <w:drawing>
                <wp:anchor distT="0" distB="0" distL="114300" distR="114300" simplePos="0" relativeHeight="251648512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0441EB">
        <w:trPr>
          <w:trHeight w:val="708"/>
        </w:trPr>
        <w:tc>
          <w:tcPr>
            <w:tcW w:w="9011" w:type="dxa"/>
            <w:shd w:val="clear" w:color="auto" w:fill="FFFFFF" w:themeFill="background1"/>
          </w:tcPr>
          <w:p w14:paraId="14631922" w14:textId="157E97C5" w:rsidR="0007598B" w:rsidRPr="005A7C62" w:rsidRDefault="00911D69" w:rsidP="00911D69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 w:rsidRPr="00911D69">
              <w:rPr>
                <w:sz w:val="24"/>
                <w:szCs w:val="24"/>
              </w:rPr>
              <w:t xml:space="preserve">Paradoxní </w:t>
            </w:r>
            <w:proofErr w:type="spellStart"/>
            <w:r w:rsidRPr="00911D69">
              <w:rPr>
                <w:sz w:val="24"/>
                <w:szCs w:val="24"/>
              </w:rPr>
              <w:t>dvojkužel</w:t>
            </w:r>
            <w:proofErr w:type="spellEnd"/>
            <w:r>
              <w:rPr>
                <w:sz w:val="24"/>
                <w:szCs w:val="24"/>
              </w:rPr>
              <w:t xml:space="preserve"> se zdánlivě pohybuje „sám od sebe“ směrem do kopce.</w:t>
            </w:r>
          </w:p>
        </w:tc>
      </w:tr>
      <w:tr w:rsidR="00CF6D6F" w14:paraId="63E4BFC1" w14:textId="77777777" w:rsidTr="000441EB">
        <w:trPr>
          <w:trHeight w:val="421"/>
        </w:trPr>
        <w:tc>
          <w:tcPr>
            <w:tcW w:w="9011" w:type="dxa"/>
            <w:shd w:val="clear" w:color="auto" w:fill="9CC2E5" w:themeFill="accent1" w:themeFillTint="99"/>
          </w:tcPr>
          <w:p w14:paraId="7310BB0C" w14:textId="34887BB8" w:rsidR="00CF6D6F" w:rsidRPr="00CF6D6F" w:rsidRDefault="00CF6D6F" w:rsidP="005837EA">
            <w:pPr>
              <w:jc w:val="both"/>
              <w:rPr>
                <w:sz w:val="28"/>
              </w:rPr>
            </w:pPr>
            <w:r w:rsidRPr="005837EA">
              <w:rPr>
                <w:b/>
                <w:noProof/>
                <w:sz w:val="28"/>
                <w:szCs w:val="24"/>
                <w:lang w:eastAsia="cs-CZ"/>
              </w:rPr>
              <w:drawing>
                <wp:anchor distT="0" distB="0" distL="114300" distR="114300" simplePos="0" relativeHeight="251662848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  <w:szCs w:val="24"/>
              </w:rPr>
              <w:t>Věda v pozadí:</w:t>
            </w:r>
            <w:r w:rsidRPr="00CF6D6F">
              <w:rPr>
                <w:sz w:val="28"/>
              </w:rPr>
              <w:t xml:space="preserve"> </w:t>
            </w:r>
          </w:p>
        </w:tc>
      </w:tr>
      <w:tr w:rsidR="0042189C" w14:paraId="6B9F2287" w14:textId="77777777" w:rsidTr="000441EB">
        <w:trPr>
          <w:trHeight w:val="757"/>
        </w:trPr>
        <w:tc>
          <w:tcPr>
            <w:tcW w:w="9011" w:type="dxa"/>
            <w:shd w:val="clear" w:color="auto" w:fill="FFFFFF" w:themeFill="background1"/>
          </w:tcPr>
          <w:p w14:paraId="7B32A119" w14:textId="48076537" w:rsidR="000441EB" w:rsidRDefault="000441EB" w:rsidP="000441EB">
            <w:pPr>
              <w:jc w:val="both"/>
              <w:rPr>
                <w:sz w:val="24"/>
              </w:rPr>
            </w:pPr>
            <w:r w:rsidRPr="000441EB">
              <w:rPr>
                <w:sz w:val="24"/>
              </w:rPr>
              <w:t>Těžiště tuhého tělesa je působiště tíhové síly, která působí na těleso v homogenním tíhovém poli.</w:t>
            </w:r>
            <w:r>
              <w:rPr>
                <w:sz w:val="24"/>
              </w:rPr>
              <w:t xml:space="preserve"> </w:t>
            </w:r>
            <w:r w:rsidRPr="000441EB">
              <w:rPr>
                <w:sz w:val="24"/>
              </w:rPr>
              <w:t>Poloha těžiště v tělese je dána rozložením látky v tělese.</w:t>
            </w:r>
            <w:r w:rsidR="00183C78">
              <w:rPr>
                <w:sz w:val="24"/>
              </w:rPr>
              <w:t xml:space="preserve"> </w:t>
            </w:r>
          </w:p>
          <w:p w14:paraId="14CF3133" w14:textId="26361312" w:rsidR="005273D4" w:rsidRPr="00034844" w:rsidRDefault="00894083" w:rsidP="00894083">
            <w:pPr>
              <w:jc w:val="both"/>
              <w:rPr>
                <w:sz w:val="24"/>
              </w:rPr>
            </w:pPr>
            <w:r w:rsidRPr="00911D69">
              <w:rPr>
                <w:sz w:val="24"/>
                <w:szCs w:val="24"/>
              </w:rPr>
              <w:t xml:space="preserve">Paradoxní </w:t>
            </w:r>
            <w:proofErr w:type="spellStart"/>
            <w:r w:rsidRPr="00911D69">
              <w:rPr>
                <w:sz w:val="24"/>
                <w:szCs w:val="24"/>
              </w:rPr>
              <w:t>dvojkužel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94083">
              <w:rPr>
                <w:sz w:val="24"/>
              </w:rPr>
              <w:t>se sice pohybuje</w:t>
            </w:r>
            <w:r>
              <w:rPr>
                <w:sz w:val="24"/>
              </w:rPr>
              <w:t xml:space="preserve"> směrem </w:t>
            </w:r>
            <w:r w:rsidRPr="00894083">
              <w:rPr>
                <w:sz w:val="24"/>
              </w:rPr>
              <w:t>nahoru</w:t>
            </w:r>
            <w:r>
              <w:rPr>
                <w:sz w:val="24"/>
              </w:rPr>
              <w:t xml:space="preserve"> po nakloněné rovině. </w:t>
            </w:r>
            <w:r w:rsidRPr="00894083">
              <w:rPr>
                <w:sz w:val="24"/>
              </w:rPr>
              <w:t>Jeho těžiště</w:t>
            </w:r>
            <w:r>
              <w:rPr>
                <w:sz w:val="24"/>
              </w:rPr>
              <w:t xml:space="preserve"> se ovšem d</w:t>
            </w:r>
            <w:r w:rsidRPr="00894083">
              <w:rPr>
                <w:sz w:val="24"/>
              </w:rPr>
              <w:t>íky konstrukci kužele a</w:t>
            </w:r>
            <w:r>
              <w:rPr>
                <w:sz w:val="24"/>
              </w:rPr>
              <w:t xml:space="preserve"> nakloněné </w:t>
            </w:r>
            <w:r w:rsidRPr="00894083">
              <w:rPr>
                <w:sz w:val="24"/>
              </w:rPr>
              <w:t>dráhy pohybuje dol</w:t>
            </w:r>
            <w:r>
              <w:rPr>
                <w:sz w:val="24"/>
              </w:rPr>
              <w:t>ů, proto dojede až na konec dráhy. Opticky se jeví, že jel do kopce, ale při pohledu zboku je patrné, že je těžiště v jednotlivých fázích pohybu jinak vysoko.</w:t>
            </w:r>
          </w:p>
        </w:tc>
      </w:tr>
    </w:tbl>
    <w:p w14:paraId="6598B5C5" w14:textId="7A5E4283" w:rsidR="003F34F0" w:rsidRDefault="003F34F0" w:rsidP="000261AB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BC7"/>
    <w:multiLevelType w:val="hybridMultilevel"/>
    <w:tmpl w:val="469C1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25213"/>
    <w:multiLevelType w:val="hybridMultilevel"/>
    <w:tmpl w:val="CCB25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3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FD"/>
    <w:rsid w:val="000118AA"/>
    <w:rsid w:val="000261AB"/>
    <w:rsid w:val="00034844"/>
    <w:rsid w:val="000441EB"/>
    <w:rsid w:val="0007598B"/>
    <w:rsid w:val="00085BBD"/>
    <w:rsid w:val="000F3932"/>
    <w:rsid w:val="00110A67"/>
    <w:rsid w:val="0015098D"/>
    <w:rsid w:val="00151366"/>
    <w:rsid w:val="00183C78"/>
    <w:rsid w:val="00197A0F"/>
    <w:rsid w:val="001D775A"/>
    <w:rsid w:val="00236790"/>
    <w:rsid w:val="00241A79"/>
    <w:rsid w:val="002F5B84"/>
    <w:rsid w:val="003F34F0"/>
    <w:rsid w:val="0042189C"/>
    <w:rsid w:val="00425406"/>
    <w:rsid w:val="004773B1"/>
    <w:rsid w:val="004B11A9"/>
    <w:rsid w:val="005273D4"/>
    <w:rsid w:val="00534327"/>
    <w:rsid w:val="005469EB"/>
    <w:rsid w:val="005837EA"/>
    <w:rsid w:val="00586A28"/>
    <w:rsid w:val="005A7C62"/>
    <w:rsid w:val="005C1441"/>
    <w:rsid w:val="005C3E65"/>
    <w:rsid w:val="006337BD"/>
    <w:rsid w:val="006521A3"/>
    <w:rsid w:val="00684D22"/>
    <w:rsid w:val="00684F02"/>
    <w:rsid w:val="006A0479"/>
    <w:rsid w:val="006B49DF"/>
    <w:rsid w:val="006E1B6B"/>
    <w:rsid w:val="006F4377"/>
    <w:rsid w:val="006F4E16"/>
    <w:rsid w:val="0077604F"/>
    <w:rsid w:val="00777CC4"/>
    <w:rsid w:val="00785A3A"/>
    <w:rsid w:val="007A73F3"/>
    <w:rsid w:val="00852AFF"/>
    <w:rsid w:val="00887636"/>
    <w:rsid w:val="00894083"/>
    <w:rsid w:val="008D6FA3"/>
    <w:rsid w:val="00911D69"/>
    <w:rsid w:val="00916B45"/>
    <w:rsid w:val="0097454B"/>
    <w:rsid w:val="0099565C"/>
    <w:rsid w:val="009E77C9"/>
    <w:rsid w:val="009F055B"/>
    <w:rsid w:val="009F795F"/>
    <w:rsid w:val="00A24BBA"/>
    <w:rsid w:val="00A750AE"/>
    <w:rsid w:val="00A970E7"/>
    <w:rsid w:val="00AA34F0"/>
    <w:rsid w:val="00AB0782"/>
    <w:rsid w:val="00AB18B7"/>
    <w:rsid w:val="00AE3B55"/>
    <w:rsid w:val="00B05B2B"/>
    <w:rsid w:val="00B2535E"/>
    <w:rsid w:val="00C21C00"/>
    <w:rsid w:val="00CA47FD"/>
    <w:rsid w:val="00CB3AC5"/>
    <w:rsid w:val="00CC532F"/>
    <w:rsid w:val="00CE74DC"/>
    <w:rsid w:val="00CF11C9"/>
    <w:rsid w:val="00CF6D6F"/>
    <w:rsid w:val="00D00723"/>
    <w:rsid w:val="00D33F3C"/>
    <w:rsid w:val="00D95258"/>
    <w:rsid w:val="00DE39BB"/>
    <w:rsid w:val="00DF014D"/>
    <w:rsid w:val="00E135DD"/>
    <w:rsid w:val="00E60D79"/>
    <w:rsid w:val="00EE0B9D"/>
    <w:rsid w:val="00F76022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92B1-8304-499F-9BA6-F85632F2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Iva Frýzová</cp:lastModifiedBy>
  <cp:revision>2</cp:revision>
  <cp:lastPrinted>2018-06-22T14:20:00Z</cp:lastPrinted>
  <dcterms:created xsi:type="dcterms:W3CDTF">2018-12-26T10:29:00Z</dcterms:created>
  <dcterms:modified xsi:type="dcterms:W3CDTF">2018-12-26T10:29:00Z</dcterms:modified>
</cp:coreProperties>
</file>