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8D" w:rsidRDefault="0059248D" w:rsidP="000E3C16">
      <w:pPr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 w:rsidRPr="000E3C16">
        <w:rPr>
          <w:rFonts w:ascii="Times New Roman" w:hAnsi="Times New Roman" w:cs="Times New Roman"/>
          <w:b/>
          <w:bCs/>
          <w:sz w:val="40"/>
          <w:szCs w:val="36"/>
        </w:rPr>
        <w:t>MASARYKOVA UNIVERZITA</w:t>
      </w:r>
    </w:p>
    <w:p w:rsidR="000E3C16" w:rsidRPr="000E3C16" w:rsidRDefault="000E3C16" w:rsidP="000E3C16">
      <w:pPr>
        <w:jc w:val="center"/>
        <w:rPr>
          <w:rFonts w:ascii="Times New Roman" w:hAnsi="Times New Roman" w:cs="Times New Roman"/>
          <w:b/>
          <w:bCs/>
          <w:sz w:val="40"/>
          <w:szCs w:val="36"/>
        </w:rPr>
      </w:pPr>
    </w:p>
    <w:p w:rsidR="000E3C16" w:rsidRDefault="000E3C16" w:rsidP="000E3C16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0E3C16">
        <w:rPr>
          <w:rFonts w:ascii="Times New Roman" w:hAnsi="Times New Roman" w:cs="Times New Roman"/>
          <w:b/>
          <w:bCs/>
          <w:sz w:val="32"/>
          <w:szCs w:val="24"/>
        </w:rPr>
        <w:t>PEDAGOGICKÁ FAKULTA</w:t>
      </w:r>
    </w:p>
    <w:p w:rsidR="000E3C16" w:rsidRDefault="000E3C16" w:rsidP="000E3C16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0E3C16" w:rsidRDefault="000E3C16" w:rsidP="000E3C16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0E3C16" w:rsidRDefault="000E3C16" w:rsidP="000E3C16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0E3C16" w:rsidRDefault="000E3C16" w:rsidP="000E3C16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0E3C16" w:rsidRPr="000E3C16" w:rsidRDefault="000E3C16" w:rsidP="000E3C16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0E3C16" w:rsidRPr="000E3C16" w:rsidRDefault="000E3C16" w:rsidP="000E3C16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0E3C16">
        <w:rPr>
          <w:rFonts w:ascii="Times New Roman" w:hAnsi="Times New Roman" w:cs="Times New Roman"/>
          <w:b/>
          <w:bCs/>
          <w:sz w:val="32"/>
          <w:szCs w:val="24"/>
        </w:rPr>
        <w:t xml:space="preserve">Didaktika finančního vzdělávání </w:t>
      </w:r>
    </w:p>
    <w:p w:rsidR="000E3C16" w:rsidRDefault="000E3C16" w:rsidP="000E3C16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E3C16" w:rsidRPr="000E3C16" w:rsidRDefault="000E3C16" w:rsidP="000E3C16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E3C16">
        <w:rPr>
          <w:rFonts w:ascii="Times New Roman" w:hAnsi="Times New Roman" w:cs="Times New Roman"/>
          <w:b/>
          <w:bCs/>
          <w:sz w:val="28"/>
          <w:szCs w:val="24"/>
        </w:rPr>
        <w:t>Vklady na účet, běžný účet, Spořicí účet, Stavební spoření, Penzijní spoření</w:t>
      </w:r>
    </w:p>
    <w:p w:rsidR="000E3C16" w:rsidRDefault="000E3C16" w:rsidP="000E3C16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E3C16" w:rsidRDefault="000E3C16" w:rsidP="000E3C16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E3C16" w:rsidRDefault="000E3C16" w:rsidP="000E3C16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E3C16" w:rsidRDefault="000E3C16" w:rsidP="000E3C16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E3C16" w:rsidRDefault="000E3C16" w:rsidP="000E3C16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E3C16" w:rsidRDefault="000E3C16" w:rsidP="000E3C16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E3C16" w:rsidRDefault="000E3C16" w:rsidP="000E3C16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E3C16" w:rsidRDefault="000E3C16" w:rsidP="000E3C16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E3C16" w:rsidRDefault="000E3C16" w:rsidP="000E3C16">
      <w:pPr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Napsala: Bc. Karolína Hrabětová</w:t>
      </w:r>
    </w:p>
    <w:p w:rsidR="000E3C16" w:rsidRPr="000E3C16" w:rsidRDefault="000E3C16" w:rsidP="000E3C16">
      <w:pPr>
        <w:ind w:left="708"/>
        <w:jc w:val="right"/>
        <w:rPr>
          <w:rFonts w:ascii="Times New Roman" w:hAnsi="Times New Roman" w:cs="Times New Roman"/>
          <w:b/>
          <w:bCs/>
          <w:sz w:val="28"/>
        </w:rPr>
      </w:pPr>
      <w:r w:rsidRPr="000E3C16">
        <w:rPr>
          <w:rFonts w:ascii="Times New Roman" w:hAnsi="Times New Roman" w:cs="Times New Roman"/>
          <w:b/>
          <w:bCs/>
          <w:sz w:val="28"/>
          <w:szCs w:val="24"/>
        </w:rPr>
        <w:t xml:space="preserve">Bc. </w:t>
      </w:r>
      <w:r w:rsidRPr="000E3C16">
        <w:rPr>
          <w:rFonts w:ascii="Times New Roman" w:hAnsi="Times New Roman" w:cs="Times New Roman"/>
          <w:b/>
          <w:bCs/>
          <w:sz w:val="28"/>
        </w:rPr>
        <w:t>Petra Juřenčáková</w:t>
      </w:r>
    </w:p>
    <w:p w:rsidR="000E3C16" w:rsidRDefault="000E3C16" w:rsidP="000E3C16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9248D" w:rsidRPr="000E3C16" w:rsidRDefault="0059248D" w:rsidP="000E3C16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0E3C16">
        <w:rPr>
          <w:rFonts w:ascii="Times New Roman" w:hAnsi="Times New Roman" w:cs="Times New Roman"/>
          <w:b/>
          <w:bCs/>
          <w:sz w:val="28"/>
          <w:szCs w:val="24"/>
        </w:rPr>
        <w:br w:type="page"/>
      </w:r>
    </w:p>
    <w:p w:rsidR="0060735E" w:rsidRPr="0035371C" w:rsidRDefault="0060735E" w:rsidP="0035371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71C">
        <w:rPr>
          <w:rFonts w:ascii="Times New Roman" w:hAnsi="Times New Roman" w:cs="Times New Roman"/>
          <w:b/>
          <w:bCs/>
          <w:sz w:val="24"/>
          <w:szCs w:val="24"/>
        </w:rPr>
        <w:lastRenderedPageBreak/>
        <w:t>Bankovní účty</w:t>
      </w:r>
    </w:p>
    <w:p w:rsidR="0060735E" w:rsidRPr="0035371C" w:rsidRDefault="0060735E" w:rsidP="003537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bCs/>
          <w:sz w:val="24"/>
          <w:szCs w:val="24"/>
        </w:rPr>
        <w:t>Bankovní účet</w:t>
      </w:r>
      <w:r w:rsidRPr="0035371C">
        <w:rPr>
          <w:rFonts w:ascii="Times New Roman" w:hAnsi="Times New Roman" w:cs="Times New Roman"/>
          <w:sz w:val="24"/>
          <w:szCs w:val="24"/>
        </w:rPr>
        <w:t xml:space="preserve"> je finanční </w:t>
      </w:r>
      <w:hyperlink r:id="rId7" w:tooltip="Účet" w:history="1">
        <w:r w:rsidRPr="0035371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účet</w:t>
        </w:r>
      </w:hyperlink>
      <w:r w:rsidRPr="0035371C">
        <w:rPr>
          <w:rFonts w:ascii="Times New Roman" w:hAnsi="Times New Roman" w:cs="Times New Roman"/>
          <w:sz w:val="24"/>
          <w:szCs w:val="24"/>
        </w:rPr>
        <w:t xml:space="preserve"> v </w:t>
      </w:r>
      <w:hyperlink r:id="rId8" w:tooltip="Banka" w:history="1">
        <w:r w:rsidRPr="0035371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bance</w:t>
        </w:r>
      </w:hyperlink>
      <w:r w:rsidRPr="0035371C">
        <w:rPr>
          <w:rFonts w:ascii="Times New Roman" w:hAnsi="Times New Roman" w:cs="Times New Roman"/>
          <w:sz w:val="24"/>
          <w:szCs w:val="24"/>
        </w:rPr>
        <w:t xml:space="preserve">, který zaznamenává finanční transakce mezi klientem a bankou a sleduje tak finanční situaci účtu. </w:t>
      </w:r>
      <w:r w:rsidR="008B766D" w:rsidRPr="0035371C">
        <w:rPr>
          <w:rFonts w:ascii="Times New Roman" w:hAnsi="Times New Roman" w:cs="Times New Roman"/>
          <w:sz w:val="24"/>
          <w:szCs w:val="24"/>
        </w:rPr>
        <w:t>Tyto ú</w:t>
      </w:r>
      <w:r w:rsidRPr="0035371C">
        <w:rPr>
          <w:rFonts w:ascii="Times New Roman" w:hAnsi="Times New Roman" w:cs="Times New Roman"/>
          <w:sz w:val="24"/>
          <w:szCs w:val="24"/>
        </w:rPr>
        <w:t xml:space="preserve">čty mohou mít kladný </w:t>
      </w:r>
      <w:r w:rsidR="008B766D" w:rsidRPr="0035371C">
        <w:rPr>
          <w:rFonts w:ascii="Times New Roman" w:hAnsi="Times New Roman" w:cs="Times New Roman"/>
          <w:sz w:val="24"/>
          <w:szCs w:val="24"/>
        </w:rPr>
        <w:t>tzv.</w:t>
      </w:r>
      <w:r w:rsidRPr="0035371C">
        <w:rPr>
          <w:rFonts w:ascii="Times New Roman" w:hAnsi="Times New Roman" w:cs="Times New Roman"/>
          <w:sz w:val="24"/>
          <w:szCs w:val="24"/>
        </w:rPr>
        <w:t xml:space="preserve"> </w:t>
      </w:r>
      <w:r w:rsidRPr="0035371C">
        <w:rPr>
          <w:rFonts w:ascii="Times New Roman" w:hAnsi="Times New Roman" w:cs="Times New Roman"/>
          <w:i/>
          <w:iCs/>
          <w:sz w:val="24"/>
          <w:szCs w:val="24"/>
        </w:rPr>
        <w:t>kreditní</w:t>
      </w:r>
      <w:r w:rsidRPr="0035371C">
        <w:rPr>
          <w:rFonts w:ascii="Times New Roman" w:hAnsi="Times New Roman" w:cs="Times New Roman"/>
          <w:sz w:val="24"/>
          <w:szCs w:val="24"/>
        </w:rPr>
        <w:t xml:space="preserve"> zůstatek, kdy banka dluží peníze zákazníkovi</w:t>
      </w:r>
      <w:r w:rsidR="008B766D" w:rsidRPr="0035371C">
        <w:rPr>
          <w:rFonts w:ascii="Times New Roman" w:hAnsi="Times New Roman" w:cs="Times New Roman"/>
          <w:sz w:val="24"/>
          <w:szCs w:val="24"/>
        </w:rPr>
        <w:t>, nebo záporný tzv.</w:t>
      </w:r>
      <w:r w:rsidRPr="0035371C">
        <w:rPr>
          <w:rFonts w:ascii="Times New Roman" w:hAnsi="Times New Roman" w:cs="Times New Roman"/>
          <w:sz w:val="24"/>
          <w:szCs w:val="24"/>
        </w:rPr>
        <w:t xml:space="preserve"> </w:t>
      </w:r>
      <w:r w:rsidRPr="0035371C">
        <w:rPr>
          <w:rFonts w:ascii="Times New Roman" w:hAnsi="Times New Roman" w:cs="Times New Roman"/>
          <w:i/>
          <w:iCs/>
          <w:sz w:val="24"/>
          <w:szCs w:val="24"/>
        </w:rPr>
        <w:t>debetní</w:t>
      </w:r>
      <w:r w:rsidR="008B766D" w:rsidRPr="0035371C">
        <w:rPr>
          <w:rFonts w:ascii="Times New Roman" w:hAnsi="Times New Roman" w:cs="Times New Roman"/>
          <w:sz w:val="24"/>
          <w:szCs w:val="24"/>
        </w:rPr>
        <w:t xml:space="preserve"> zůstatek, pokud je</w:t>
      </w:r>
      <w:r w:rsidRPr="0035371C">
        <w:rPr>
          <w:rFonts w:ascii="Times New Roman" w:hAnsi="Times New Roman" w:cs="Times New Roman"/>
          <w:sz w:val="24"/>
          <w:szCs w:val="24"/>
        </w:rPr>
        <w:t xml:space="preserve"> zákazník</w:t>
      </w:r>
      <w:r w:rsidR="008B766D" w:rsidRPr="0035371C">
        <w:rPr>
          <w:rFonts w:ascii="Times New Roman" w:hAnsi="Times New Roman" w:cs="Times New Roman"/>
          <w:sz w:val="24"/>
          <w:szCs w:val="24"/>
        </w:rPr>
        <w:t xml:space="preserve"> peněžním</w:t>
      </w:r>
      <w:r w:rsidRPr="0035371C">
        <w:rPr>
          <w:rFonts w:ascii="Times New Roman" w:hAnsi="Times New Roman" w:cs="Times New Roman"/>
          <w:sz w:val="24"/>
          <w:szCs w:val="24"/>
        </w:rPr>
        <w:t xml:space="preserve"> dluž</w:t>
      </w:r>
      <w:r w:rsidR="008B766D" w:rsidRPr="0035371C">
        <w:rPr>
          <w:rFonts w:ascii="Times New Roman" w:hAnsi="Times New Roman" w:cs="Times New Roman"/>
          <w:sz w:val="24"/>
          <w:szCs w:val="24"/>
        </w:rPr>
        <w:t>n</w:t>
      </w:r>
      <w:r w:rsidRPr="0035371C">
        <w:rPr>
          <w:rFonts w:ascii="Times New Roman" w:hAnsi="Times New Roman" w:cs="Times New Roman"/>
          <w:sz w:val="24"/>
          <w:szCs w:val="24"/>
        </w:rPr>
        <w:t>í</w:t>
      </w:r>
      <w:r w:rsidR="008B766D" w:rsidRPr="0035371C">
        <w:rPr>
          <w:rFonts w:ascii="Times New Roman" w:hAnsi="Times New Roman" w:cs="Times New Roman"/>
          <w:sz w:val="24"/>
          <w:szCs w:val="24"/>
        </w:rPr>
        <w:t>kem banky</w:t>
      </w:r>
      <w:r w:rsidRPr="0035371C">
        <w:rPr>
          <w:rFonts w:ascii="Times New Roman" w:hAnsi="Times New Roman" w:cs="Times New Roman"/>
          <w:sz w:val="24"/>
          <w:szCs w:val="24"/>
        </w:rPr>
        <w:t>. Účty</w:t>
      </w:r>
      <w:r w:rsidR="008B766D" w:rsidRPr="0035371C">
        <w:rPr>
          <w:rFonts w:ascii="Times New Roman" w:hAnsi="Times New Roman" w:cs="Times New Roman"/>
          <w:sz w:val="24"/>
          <w:szCs w:val="24"/>
        </w:rPr>
        <w:t xml:space="preserve">, jež jsou </w:t>
      </w:r>
      <w:r w:rsidRPr="0035371C">
        <w:rPr>
          <w:rFonts w:ascii="Times New Roman" w:hAnsi="Times New Roman" w:cs="Times New Roman"/>
          <w:sz w:val="24"/>
          <w:szCs w:val="24"/>
        </w:rPr>
        <w:t>otevřené za účelem vkladů (</w:t>
      </w:r>
      <w:r w:rsidR="008B766D" w:rsidRPr="0035371C">
        <w:rPr>
          <w:rFonts w:ascii="Times New Roman" w:hAnsi="Times New Roman" w:cs="Times New Roman"/>
          <w:sz w:val="24"/>
          <w:szCs w:val="24"/>
        </w:rPr>
        <w:t xml:space="preserve">tedy </w:t>
      </w:r>
      <w:r w:rsidRPr="0035371C">
        <w:rPr>
          <w:rFonts w:ascii="Times New Roman" w:hAnsi="Times New Roman" w:cs="Times New Roman"/>
          <w:sz w:val="24"/>
          <w:szCs w:val="24"/>
        </w:rPr>
        <w:t>kreditních zůstatků)</w:t>
      </w:r>
      <w:r w:rsidR="008B766D" w:rsidRPr="0035371C">
        <w:rPr>
          <w:rFonts w:ascii="Times New Roman" w:hAnsi="Times New Roman" w:cs="Times New Roman"/>
          <w:sz w:val="24"/>
          <w:szCs w:val="24"/>
        </w:rPr>
        <w:t>, se označují</w:t>
      </w:r>
      <w:r w:rsidRPr="0035371C">
        <w:rPr>
          <w:rFonts w:ascii="Times New Roman" w:hAnsi="Times New Roman" w:cs="Times New Roman"/>
          <w:sz w:val="24"/>
          <w:szCs w:val="24"/>
        </w:rPr>
        <w:t xml:space="preserve"> jako </w:t>
      </w:r>
      <w:r w:rsidRPr="0035371C">
        <w:rPr>
          <w:rFonts w:ascii="Times New Roman" w:hAnsi="Times New Roman" w:cs="Times New Roman"/>
          <w:i/>
          <w:iCs/>
          <w:sz w:val="24"/>
          <w:szCs w:val="24"/>
        </w:rPr>
        <w:t>depozitní účty</w:t>
      </w:r>
      <w:r w:rsidR="008B766D" w:rsidRPr="0035371C">
        <w:rPr>
          <w:rFonts w:ascii="Times New Roman" w:hAnsi="Times New Roman" w:cs="Times New Roman"/>
          <w:sz w:val="24"/>
          <w:szCs w:val="24"/>
        </w:rPr>
        <w:t>, kdežto</w:t>
      </w:r>
      <w:r w:rsidRPr="0035371C">
        <w:rPr>
          <w:rFonts w:ascii="Times New Roman" w:hAnsi="Times New Roman" w:cs="Times New Roman"/>
          <w:sz w:val="24"/>
          <w:szCs w:val="24"/>
        </w:rPr>
        <w:t xml:space="preserve"> účty</w:t>
      </w:r>
      <w:r w:rsidR="008B766D" w:rsidRPr="0035371C">
        <w:rPr>
          <w:rFonts w:ascii="Times New Roman" w:hAnsi="Times New Roman" w:cs="Times New Roman"/>
          <w:sz w:val="24"/>
          <w:szCs w:val="24"/>
        </w:rPr>
        <w:t>, které jsou</w:t>
      </w:r>
      <w:r w:rsidRPr="0035371C">
        <w:rPr>
          <w:rFonts w:ascii="Times New Roman" w:hAnsi="Times New Roman" w:cs="Times New Roman"/>
          <w:sz w:val="24"/>
          <w:szCs w:val="24"/>
        </w:rPr>
        <w:t xml:space="preserve"> vedené za účelem půjček (</w:t>
      </w:r>
      <w:r w:rsidR="008B766D" w:rsidRPr="0035371C">
        <w:rPr>
          <w:rFonts w:ascii="Times New Roman" w:hAnsi="Times New Roman" w:cs="Times New Roman"/>
          <w:sz w:val="24"/>
          <w:szCs w:val="24"/>
        </w:rPr>
        <w:t xml:space="preserve">čili </w:t>
      </w:r>
      <w:r w:rsidRPr="0035371C">
        <w:rPr>
          <w:rFonts w:ascii="Times New Roman" w:hAnsi="Times New Roman" w:cs="Times New Roman"/>
          <w:sz w:val="24"/>
          <w:szCs w:val="24"/>
        </w:rPr>
        <w:t>debetních zůstatků)</w:t>
      </w:r>
      <w:r w:rsidR="008B766D" w:rsidRPr="0035371C">
        <w:rPr>
          <w:rFonts w:ascii="Times New Roman" w:hAnsi="Times New Roman" w:cs="Times New Roman"/>
          <w:sz w:val="24"/>
          <w:szCs w:val="24"/>
        </w:rPr>
        <w:t>,</w:t>
      </w:r>
      <w:r w:rsidRPr="0035371C">
        <w:rPr>
          <w:rFonts w:ascii="Times New Roman" w:hAnsi="Times New Roman" w:cs="Times New Roman"/>
          <w:sz w:val="24"/>
          <w:szCs w:val="24"/>
        </w:rPr>
        <w:t xml:space="preserve"> </w:t>
      </w:r>
      <w:r w:rsidR="008B766D" w:rsidRPr="0035371C">
        <w:rPr>
          <w:rFonts w:ascii="Times New Roman" w:hAnsi="Times New Roman" w:cs="Times New Roman"/>
          <w:sz w:val="24"/>
          <w:szCs w:val="24"/>
        </w:rPr>
        <w:t>se označují</w:t>
      </w:r>
      <w:r w:rsidRPr="0035371C">
        <w:rPr>
          <w:rFonts w:ascii="Times New Roman" w:hAnsi="Times New Roman" w:cs="Times New Roman"/>
          <w:sz w:val="24"/>
          <w:szCs w:val="24"/>
        </w:rPr>
        <w:t xml:space="preserve"> jako </w:t>
      </w:r>
      <w:r w:rsidRPr="0035371C">
        <w:rPr>
          <w:rFonts w:ascii="Times New Roman" w:hAnsi="Times New Roman" w:cs="Times New Roman"/>
          <w:i/>
          <w:iCs/>
          <w:sz w:val="24"/>
          <w:szCs w:val="24"/>
        </w:rPr>
        <w:t>úvěrové účty</w:t>
      </w:r>
      <w:r w:rsidRPr="0035371C">
        <w:rPr>
          <w:rFonts w:ascii="Times New Roman" w:hAnsi="Times New Roman" w:cs="Times New Roman"/>
          <w:sz w:val="24"/>
          <w:szCs w:val="24"/>
        </w:rPr>
        <w:t>.</w:t>
      </w:r>
    </w:p>
    <w:p w:rsidR="0060735E" w:rsidRPr="0035371C" w:rsidRDefault="008B766D" w:rsidP="003537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60735E" w:rsidRPr="0035371C">
        <w:rPr>
          <w:rFonts w:ascii="Times New Roman" w:hAnsi="Times New Roman" w:cs="Times New Roman"/>
          <w:sz w:val="24"/>
          <w:szCs w:val="24"/>
        </w:rPr>
        <w:t>měny</w:t>
      </w:r>
      <w:r w:rsidRPr="0035371C">
        <w:rPr>
          <w:rFonts w:ascii="Times New Roman" w:hAnsi="Times New Roman" w:cs="Times New Roman"/>
          <w:sz w:val="24"/>
          <w:szCs w:val="24"/>
        </w:rPr>
        <w:t>,</w:t>
      </w:r>
      <w:r w:rsidR="0060735E" w:rsidRPr="0035371C">
        <w:rPr>
          <w:rFonts w:ascii="Times New Roman" w:hAnsi="Times New Roman" w:cs="Times New Roman"/>
          <w:sz w:val="24"/>
          <w:szCs w:val="24"/>
        </w:rPr>
        <w:t xml:space="preserve"> ve které je účet veden, </w:t>
      </w:r>
      <w:r w:rsidRPr="0035371C">
        <w:rPr>
          <w:rFonts w:ascii="Times New Roman" w:hAnsi="Times New Roman" w:cs="Times New Roman"/>
          <w:sz w:val="24"/>
          <w:szCs w:val="24"/>
        </w:rPr>
        <w:t>rozlišujeme účty na účty v</w:t>
      </w:r>
      <w:r w:rsidR="0060735E" w:rsidRPr="0035371C">
        <w:rPr>
          <w:rFonts w:ascii="Times New Roman" w:hAnsi="Times New Roman" w:cs="Times New Roman"/>
          <w:sz w:val="24"/>
          <w:szCs w:val="24"/>
        </w:rPr>
        <w:t xml:space="preserve"> tuze</w:t>
      </w:r>
      <w:r w:rsidRPr="0035371C">
        <w:rPr>
          <w:rFonts w:ascii="Times New Roman" w:hAnsi="Times New Roman" w:cs="Times New Roman"/>
          <w:sz w:val="24"/>
          <w:szCs w:val="24"/>
        </w:rPr>
        <w:t>mské měně a devizové účty, jež</w:t>
      </w:r>
      <w:r w:rsidR="0060735E" w:rsidRPr="0035371C">
        <w:rPr>
          <w:rFonts w:ascii="Times New Roman" w:hAnsi="Times New Roman" w:cs="Times New Roman"/>
          <w:sz w:val="24"/>
          <w:szCs w:val="24"/>
        </w:rPr>
        <w:t xml:space="preserve"> jsou vedeny v cizích měnách.</w:t>
      </w:r>
      <w:r w:rsidRPr="0035371C">
        <w:rPr>
          <w:rFonts w:ascii="Times New Roman" w:hAnsi="Times New Roman" w:cs="Times New Roman"/>
          <w:sz w:val="24"/>
          <w:szCs w:val="24"/>
        </w:rPr>
        <w:t xml:space="preserve"> Devizové účty jsou významnější pro ekonomiky, které </w:t>
      </w:r>
      <w:r w:rsidR="0060735E" w:rsidRPr="0035371C">
        <w:rPr>
          <w:rFonts w:ascii="Times New Roman" w:hAnsi="Times New Roman" w:cs="Times New Roman"/>
          <w:sz w:val="24"/>
          <w:szCs w:val="24"/>
        </w:rPr>
        <w:t>nemají tuzemsk</w:t>
      </w:r>
      <w:r w:rsidRPr="0035371C">
        <w:rPr>
          <w:rFonts w:ascii="Times New Roman" w:hAnsi="Times New Roman" w:cs="Times New Roman"/>
          <w:sz w:val="24"/>
          <w:szCs w:val="24"/>
        </w:rPr>
        <w:t>ou měnu volně směnitelnou. Obvykle se ovšem</w:t>
      </w:r>
      <w:r w:rsidR="0060735E" w:rsidRPr="0035371C">
        <w:rPr>
          <w:rFonts w:ascii="Times New Roman" w:hAnsi="Times New Roman" w:cs="Times New Roman"/>
          <w:sz w:val="24"/>
          <w:szCs w:val="24"/>
        </w:rPr>
        <w:t xml:space="preserve"> využívají pro časté </w:t>
      </w:r>
      <w:r w:rsidRPr="0035371C">
        <w:rPr>
          <w:rFonts w:ascii="Times New Roman" w:hAnsi="Times New Roman" w:cs="Times New Roman"/>
          <w:sz w:val="24"/>
          <w:szCs w:val="24"/>
        </w:rPr>
        <w:t>přeshraniční transakce a k </w:t>
      </w:r>
      <w:r w:rsidR="0060735E" w:rsidRPr="0035371C">
        <w:rPr>
          <w:rFonts w:ascii="Times New Roman" w:hAnsi="Times New Roman" w:cs="Times New Roman"/>
          <w:sz w:val="24"/>
          <w:szCs w:val="24"/>
        </w:rPr>
        <w:t>ochraně před výkyvy měnových kursů tuzemské měny vůči měně účtu.</w:t>
      </w:r>
    </w:p>
    <w:p w:rsidR="0060735E" w:rsidRPr="0035371C" w:rsidRDefault="0060735E" w:rsidP="003537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537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Dělení účtů podle účelu</w:t>
      </w:r>
    </w:p>
    <w:p w:rsidR="0060735E" w:rsidRPr="0035371C" w:rsidRDefault="006C7A38" w:rsidP="0035371C">
      <w:pPr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tooltip="Běžný účet" w:history="1">
        <w:r w:rsidR="0060735E" w:rsidRPr="0035371C">
          <w:rPr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Běžný účet</w:t>
        </w:r>
      </w:hyperlink>
      <w:r w:rsidR="0060735E"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účet, který slouží především k snadnější hotovostní i bezhotovostní správě, manipulaci a hospodaření s finančními prostředky (převody, platby, vklady).</w:t>
      </w:r>
    </w:p>
    <w:p w:rsidR="0060735E" w:rsidRPr="0035371C" w:rsidRDefault="006C7A38" w:rsidP="0035371C">
      <w:pPr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tooltip="Spořicí účet" w:history="1">
        <w:r w:rsidR="0060735E" w:rsidRPr="0035371C">
          <w:rPr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Spořicí účet</w:t>
        </w:r>
      </w:hyperlink>
      <w:r w:rsidR="0060735E"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účet, který slouží nejčastěji ke spoření nebo ukládání dočasně volných finančních prostředků s vyšším </w:t>
      </w:r>
      <w:hyperlink r:id="rId11" w:tooltip="Úrok" w:history="1">
        <w:r w:rsidR="0060735E" w:rsidRPr="003537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úročením</w:t>
        </w:r>
      </w:hyperlink>
      <w:r w:rsidR="0060735E"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0735E" w:rsidRPr="0035371C" w:rsidRDefault="006C7A38" w:rsidP="0035371C">
      <w:pPr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tooltip="Termínovaný vklad" w:history="1">
        <w:r w:rsidR="0060735E" w:rsidRPr="0035371C">
          <w:rPr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Termínovaný vklad</w:t>
        </w:r>
      </w:hyperlink>
      <w:r w:rsidR="0060735E"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účet slouží k uložení volných finančních prostředků s vyšším </w:t>
      </w:r>
      <w:hyperlink r:id="rId13" w:tooltip="Úrok" w:history="1">
        <w:r w:rsidR="0060735E" w:rsidRPr="003537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úročením</w:t>
        </w:r>
      </w:hyperlink>
      <w:r w:rsidR="0060735E"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0735E" w:rsidRPr="0035371C" w:rsidRDefault="006C7A38" w:rsidP="0035371C">
      <w:pPr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tooltip="Úvěr" w:history="1">
        <w:r w:rsidR="0060735E" w:rsidRPr="003537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Úvěrový účet</w:t>
        </w:r>
      </w:hyperlink>
      <w:r w:rsidR="0060735E"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účet, na kterém banka eviduje stav poskytnutého úvěru.</w:t>
      </w:r>
    </w:p>
    <w:p w:rsidR="0060735E" w:rsidRPr="0035371C" w:rsidRDefault="0060735E" w:rsidP="0035371C">
      <w:pPr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71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Základní platební účet</w:t>
      </w:r>
      <w:r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účet podle evropské směrnice o právu na bankovní účet.</w:t>
      </w:r>
    </w:p>
    <w:p w:rsidR="0060735E" w:rsidRPr="0035371C" w:rsidRDefault="0060735E" w:rsidP="0035371C">
      <w:pPr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71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Neúročený účet</w:t>
      </w:r>
      <w:r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například </w:t>
      </w:r>
      <w:hyperlink r:id="rId15" w:tooltip="Notářská úschova" w:history="1">
        <w:r w:rsidRPr="0035371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notářská úschova</w:t>
        </w:r>
      </w:hyperlink>
      <w:r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0735E" w:rsidRPr="0035371C" w:rsidRDefault="0060735E" w:rsidP="0035371C">
      <w:pPr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71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Loro a Nostro účet</w:t>
      </w:r>
      <w:r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běžný účet, který vede banka bance v zahraničí </w:t>
      </w:r>
      <w:r w:rsidR="008B766D" w:rsidRPr="0035371C">
        <w:rPr>
          <w:rFonts w:ascii="Times New Roman" w:hAnsi="Times New Roman" w:cs="Times New Roman"/>
          <w:sz w:val="24"/>
          <w:szCs w:val="24"/>
        </w:rPr>
        <w:t>[1].</w:t>
      </w:r>
    </w:p>
    <w:p w:rsidR="0060735E" w:rsidRDefault="0060735E" w:rsidP="003537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C16" w:rsidRDefault="000E3C16" w:rsidP="003537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C16" w:rsidRPr="0035371C" w:rsidRDefault="000E3C16" w:rsidP="003537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447" w:rsidRPr="0035371C" w:rsidRDefault="00FB4447" w:rsidP="003537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71C">
        <w:rPr>
          <w:rFonts w:ascii="Times New Roman" w:hAnsi="Times New Roman" w:cs="Times New Roman"/>
          <w:b/>
          <w:sz w:val="24"/>
          <w:szCs w:val="24"/>
        </w:rPr>
        <w:lastRenderedPageBreak/>
        <w:t>Vklady na bankovní účty:</w:t>
      </w:r>
    </w:p>
    <w:p w:rsidR="00FB4447" w:rsidRPr="0035371C" w:rsidRDefault="00FB4447" w:rsidP="003537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t>Společným a pro nás pozitivním rysem všech těchto produktů je skutečnost, že jsou ze zákona pojištěny až do výše 100 000 EUR, tedy až do výše cca 2 450 000Kč (při kurzu 1 EUR%/= 24,5 Kč); tento kurz samozřejmě stále poněkud kolísá a v dlouhodobém horizontu se pravděpodobně bude snižovat).</w:t>
      </w:r>
    </w:p>
    <w:p w:rsidR="00FB4447" w:rsidRPr="0035371C" w:rsidRDefault="00FB4447" w:rsidP="003537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t>Limit je to hodně vysoký</w:t>
      </w:r>
      <w:r w:rsidR="003E1BBC" w:rsidRPr="0035371C">
        <w:rPr>
          <w:rFonts w:ascii="Times New Roman" w:hAnsi="Times New Roman" w:cs="Times New Roman"/>
          <w:sz w:val="24"/>
          <w:szCs w:val="24"/>
        </w:rPr>
        <w:t>,</w:t>
      </w:r>
      <w:r w:rsidRPr="0035371C">
        <w:rPr>
          <w:rFonts w:ascii="Times New Roman" w:hAnsi="Times New Roman" w:cs="Times New Roman"/>
          <w:sz w:val="24"/>
          <w:szCs w:val="24"/>
        </w:rPr>
        <w:t xml:space="preserve"> a pro většinu obyvatel znamená, že své vklady dostanou vyplaceny i v případě, že se banka, u které jsou uloženy, dostane do vážných potíží. Pokud budeme v budoucnu ho</w:t>
      </w:r>
      <w:r w:rsidR="00507D76" w:rsidRPr="0035371C">
        <w:rPr>
          <w:rFonts w:ascii="Times New Roman" w:hAnsi="Times New Roman" w:cs="Times New Roman"/>
          <w:sz w:val="24"/>
          <w:szCs w:val="24"/>
        </w:rPr>
        <w:t>dně bohatí a budeme na bankovní</w:t>
      </w:r>
      <w:r w:rsidRPr="0035371C">
        <w:rPr>
          <w:rFonts w:ascii="Times New Roman" w:hAnsi="Times New Roman" w:cs="Times New Roman"/>
          <w:sz w:val="24"/>
          <w:szCs w:val="24"/>
        </w:rPr>
        <w:t xml:space="preserve"> účty ukládat více peněz, než je tento limit, bude vhodné tyto vklady rozložit do více bank.</w:t>
      </w:r>
    </w:p>
    <w:p w:rsidR="00FB4447" w:rsidRPr="0035371C" w:rsidRDefault="00FB4447" w:rsidP="003537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t>Z úroků (výnosů) na bankov</w:t>
      </w:r>
      <w:r w:rsidR="00507D76" w:rsidRPr="0035371C">
        <w:rPr>
          <w:rFonts w:ascii="Times New Roman" w:hAnsi="Times New Roman" w:cs="Times New Roman"/>
          <w:sz w:val="24"/>
          <w:szCs w:val="24"/>
        </w:rPr>
        <w:t>ních ú</w:t>
      </w:r>
      <w:r w:rsidRPr="0035371C">
        <w:rPr>
          <w:rFonts w:ascii="Times New Roman" w:hAnsi="Times New Roman" w:cs="Times New Roman"/>
          <w:sz w:val="24"/>
          <w:szCs w:val="24"/>
        </w:rPr>
        <w:t>čtech je odváděna srážková daň ve výši 15% z úroku. Tuto daň odvádí do státního rozpočtu banka za nás automaticky při každém připsání úroku.</w:t>
      </w:r>
    </w:p>
    <w:p w:rsidR="00FB4447" w:rsidRPr="0035371C" w:rsidRDefault="00FB4447" w:rsidP="003537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71C">
        <w:rPr>
          <w:rFonts w:ascii="Times New Roman" w:hAnsi="Times New Roman" w:cs="Times New Roman"/>
          <w:b/>
          <w:sz w:val="24"/>
          <w:szCs w:val="24"/>
        </w:rPr>
        <w:t>Běžný účet:</w:t>
      </w:r>
    </w:p>
    <w:p w:rsidR="00FB4447" w:rsidRPr="0035371C" w:rsidRDefault="00FB4447" w:rsidP="003537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t>Je nejznámějším typem bankovního účtu. V dnešní době jej používá velká část dospělých obyvatel země. Banky jej poskytují zpravidla za určitý poplatek, většinou také zpoplatňují transakce na tomto účtu</w:t>
      </w:r>
      <w:r w:rsidR="00507D76" w:rsidRPr="0035371C">
        <w:rPr>
          <w:rFonts w:ascii="Times New Roman" w:hAnsi="Times New Roman" w:cs="Times New Roman"/>
          <w:sz w:val="24"/>
          <w:szCs w:val="24"/>
        </w:rPr>
        <w:t xml:space="preserve"> </w:t>
      </w:r>
      <w:r w:rsidRPr="0035371C">
        <w:rPr>
          <w:rFonts w:ascii="Times New Roman" w:hAnsi="Times New Roman" w:cs="Times New Roman"/>
          <w:sz w:val="24"/>
          <w:szCs w:val="24"/>
        </w:rPr>
        <w:t xml:space="preserve">(vklady, výběry, platby dle jednorázových nebo trvalých příkazů). Pokud je vklad na tomto účtu vůbec úročen, </w:t>
      </w:r>
      <w:r w:rsidR="00334857" w:rsidRPr="0035371C">
        <w:rPr>
          <w:rFonts w:ascii="Times New Roman" w:hAnsi="Times New Roman" w:cs="Times New Roman"/>
          <w:sz w:val="24"/>
          <w:szCs w:val="24"/>
        </w:rPr>
        <w:t>jde zpravidla o velmi malé úrokové sazby nepokrývající ani inflaci.</w:t>
      </w:r>
    </w:p>
    <w:p w:rsidR="00334857" w:rsidRPr="0035371C" w:rsidRDefault="00334857" w:rsidP="003537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t>K účtu může být vydána platební karta. Stav na účtu může být kontrolován a pokyny k provedení plateb z účtu mohou být zadávány na dálku prostřednictvím tzv. internetového bankovnictví.</w:t>
      </w:r>
    </w:p>
    <w:p w:rsidR="00334857" w:rsidRPr="0035371C" w:rsidRDefault="00334857" w:rsidP="003537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t xml:space="preserve">Účet je vhodný pro základní běžné hospodaření s našimi finančními prostředky. To zahrnuje zejména přijímání různých plateb (mzda od zaměstnavatele, sociální a důchodové dávky, honoráře za námi poskytované služby, apod.), provádění pravidelných měsíčních plateb (nájemné, elektřina, plyn, pojištění, apod.) a krytí našich nákupů realizovaných debetní platební kartou navázanou na účet, jakož i výběrů hotovosti prostřednictvím bankomatů. </w:t>
      </w:r>
    </w:p>
    <w:p w:rsidR="00334857" w:rsidRPr="0035371C" w:rsidRDefault="00334857" w:rsidP="003537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lastRenderedPageBreak/>
        <w:t>Vzhledem k nízkému úročení zůstatku na tomto účtu není běžný účet vhodný k dlouhodobějšímu spoření. Na běžném účtu bychom proto neměli mít zůstatek větší, než kolik běžně spotřebujeme za měsíc s rezervou cca do 15%.</w:t>
      </w:r>
      <w:r w:rsidR="009F2C65" w:rsidRPr="0035371C">
        <w:rPr>
          <w:rFonts w:ascii="Times New Roman" w:hAnsi="Times New Roman" w:cs="Times New Roman"/>
          <w:sz w:val="24"/>
          <w:szCs w:val="24"/>
        </w:rPr>
        <w:t xml:space="preserve"> </w:t>
      </w:r>
      <w:r w:rsidRPr="0035371C">
        <w:rPr>
          <w:rFonts w:ascii="Times New Roman" w:hAnsi="Times New Roman" w:cs="Times New Roman"/>
          <w:sz w:val="24"/>
          <w:szCs w:val="24"/>
        </w:rPr>
        <w:t>Vše co bude na tomto účtu navíc, bychom měli pravidelně převádět do jiných, výnosnějších nástrojů</w:t>
      </w:r>
      <w:r w:rsidR="0060735E" w:rsidRPr="0035371C">
        <w:rPr>
          <w:rFonts w:ascii="Times New Roman" w:hAnsi="Times New Roman" w:cs="Times New Roman"/>
          <w:sz w:val="24"/>
          <w:szCs w:val="24"/>
        </w:rPr>
        <w:t xml:space="preserve"> [</w:t>
      </w:r>
      <w:r w:rsidR="008B766D" w:rsidRPr="0035371C">
        <w:rPr>
          <w:rFonts w:ascii="Times New Roman" w:hAnsi="Times New Roman" w:cs="Times New Roman"/>
          <w:sz w:val="24"/>
          <w:szCs w:val="24"/>
        </w:rPr>
        <w:t>2</w:t>
      </w:r>
      <w:r w:rsidR="0060735E" w:rsidRPr="0035371C">
        <w:rPr>
          <w:rFonts w:ascii="Times New Roman" w:hAnsi="Times New Roman" w:cs="Times New Roman"/>
          <w:sz w:val="24"/>
          <w:szCs w:val="24"/>
        </w:rPr>
        <w:t>]</w:t>
      </w:r>
      <w:r w:rsidRPr="0035371C">
        <w:rPr>
          <w:rFonts w:ascii="Times New Roman" w:hAnsi="Times New Roman" w:cs="Times New Roman"/>
          <w:sz w:val="24"/>
          <w:szCs w:val="24"/>
        </w:rPr>
        <w:t>.</w:t>
      </w:r>
    </w:p>
    <w:p w:rsidR="0060735E" w:rsidRPr="0035371C" w:rsidRDefault="0060735E" w:rsidP="0035371C">
      <w:pPr>
        <w:pStyle w:val="Nadpis3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371C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Odeslání peněz na špatný účet</w:t>
      </w:r>
    </w:p>
    <w:p w:rsidR="0060735E" w:rsidRPr="0035371C" w:rsidRDefault="0060735E" w:rsidP="0035371C">
      <w:pPr>
        <w:pStyle w:val="Normlnweb"/>
        <w:spacing w:line="360" w:lineRule="auto"/>
        <w:jc w:val="both"/>
      </w:pPr>
      <w:r w:rsidRPr="0035371C">
        <w:t>Při převodu peněz mezi účty se může stát, že klient pošle díky vyplnění chybného čísla účtu peníze na špatný účet. Pokud se jedná o neexistující účet, platby jsou automaticky vráceny.</w:t>
      </w:r>
      <w:r w:rsidRPr="0035371C">
        <w:rPr>
          <w:vertAlign w:val="superscript"/>
        </w:rPr>
        <w:t xml:space="preserve"> </w:t>
      </w:r>
      <w:r w:rsidRPr="0035371C">
        <w:t xml:space="preserve">Pokud se jedná o existující účet, má klient dvě možnosti: </w:t>
      </w:r>
    </w:p>
    <w:p w:rsidR="0060735E" w:rsidRPr="0035371C" w:rsidRDefault="0060735E" w:rsidP="0035371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t>požádat o zprostředkování žádosti o vrácení peněz svého bankovního poradce, který tuto žádost předá majiteli účtu příjemce,</w:t>
      </w:r>
    </w:p>
    <w:p w:rsidR="0060735E" w:rsidRPr="0035371C" w:rsidRDefault="0060735E" w:rsidP="0035371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t>požádat banku o součinnost [</w:t>
      </w:r>
      <w:r w:rsidR="008B766D" w:rsidRPr="0035371C">
        <w:rPr>
          <w:rFonts w:ascii="Times New Roman" w:hAnsi="Times New Roman" w:cs="Times New Roman"/>
          <w:sz w:val="24"/>
          <w:szCs w:val="24"/>
        </w:rPr>
        <w:t>3</w:t>
      </w:r>
      <w:r w:rsidRPr="0035371C">
        <w:rPr>
          <w:rFonts w:ascii="Times New Roman" w:hAnsi="Times New Roman" w:cs="Times New Roman"/>
          <w:sz w:val="24"/>
          <w:szCs w:val="24"/>
        </w:rPr>
        <w:t>].</w:t>
      </w:r>
    </w:p>
    <w:p w:rsidR="0060735E" w:rsidRPr="0035371C" w:rsidRDefault="0060735E" w:rsidP="003537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857" w:rsidRPr="0035371C" w:rsidRDefault="00334857" w:rsidP="003537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71C">
        <w:rPr>
          <w:rFonts w:ascii="Times New Roman" w:hAnsi="Times New Roman" w:cs="Times New Roman"/>
          <w:b/>
          <w:sz w:val="24"/>
          <w:szCs w:val="24"/>
        </w:rPr>
        <w:t>Termínovaný vklad:</w:t>
      </w:r>
    </w:p>
    <w:p w:rsidR="00334857" w:rsidRPr="0035371C" w:rsidRDefault="00334857" w:rsidP="003537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t>Poskytuje vyšší úrokovou sazbu, než běžný účet.</w:t>
      </w:r>
    </w:p>
    <w:p w:rsidR="00334857" w:rsidRPr="0035371C" w:rsidRDefault="00334857" w:rsidP="003537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t>Tato sazba je zpravidla závislá na výši vkladu</w:t>
      </w:r>
      <w:r w:rsidR="00AB3675" w:rsidRPr="0035371C">
        <w:rPr>
          <w:rFonts w:ascii="Times New Roman" w:hAnsi="Times New Roman" w:cs="Times New Roman"/>
          <w:sz w:val="24"/>
          <w:szCs w:val="24"/>
        </w:rPr>
        <w:t xml:space="preserve"> </w:t>
      </w:r>
      <w:r w:rsidRPr="0035371C">
        <w:rPr>
          <w:rFonts w:ascii="Times New Roman" w:hAnsi="Times New Roman" w:cs="Times New Roman"/>
          <w:sz w:val="24"/>
          <w:szCs w:val="24"/>
        </w:rPr>
        <w:t>a na době, kterou je termínovaný vklad sjednán. Vklad může být dohodnut buďto jako jednorázový, nebo jako opakovaný, zpravidla s kapitalizací úroku.</w:t>
      </w:r>
    </w:p>
    <w:p w:rsidR="00334857" w:rsidRPr="0035371C" w:rsidRDefault="00D13756" w:rsidP="003537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t xml:space="preserve">V prvním případě je vklad po vypršení termínu převeden zpět n náš běžný účet včetně úroku, o který se vklad za tu dobu zvýšil. Daň z úroku je přitom automaticky odečtena. </w:t>
      </w:r>
    </w:p>
    <w:p w:rsidR="00D13756" w:rsidRPr="0035371C" w:rsidRDefault="00D13756" w:rsidP="003537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t xml:space="preserve">V druhém případě je vždy po doběhnutí termínu vklad </w:t>
      </w:r>
      <w:r w:rsidR="00507D76" w:rsidRPr="0035371C">
        <w:rPr>
          <w:rFonts w:ascii="Times New Roman" w:hAnsi="Times New Roman" w:cs="Times New Roman"/>
          <w:sz w:val="24"/>
          <w:szCs w:val="24"/>
        </w:rPr>
        <w:t>včetně úroku (po odečtení daně)</w:t>
      </w:r>
      <w:r w:rsidRPr="0035371C">
        <w:rPr>
          <w:rFonts w:ascii="Times New Roman" w:hAnsi="Times New Roman" w:cs="Times New Roman"/>
          <w:sz w:val="24"/>
          <w:szCs w:val="24"/>
        </w:rPr>
        <w:t xml:space="preserve"> znovu uložen na stejnou dobu, takže se úročí již vyšší částka</w:t>
      </w:r>
      <w:r w:rsidR="00AB3675" w:rsidRPr="0035371C">
        <w:rPr>
          <w:rFonts w:ascii="Times New Roman" w:hAnsi="Times New Roman" w:cs="Times New Roman"/>
          <w:sz w:val="24"/>
          <w:szCs w:val="24"/>
        </w:rPr>
        <w:t>,</w:t>
      </w:r>
      <w:r w:rsidRPr="0035371C">
        <w:rPr>
          <w:rFonts w:ascii="Times New Roman" w:hAnsi="Times New Roman" w:cs="Times New Roman"/>
          <w:sz w:val="24"/>
          <w:szCs w:val="24"/>
        </w:rPr>
        <w:t xml:space="preserve"> než byl původní vklad. To se opakuje až do té doby, než dáme příkaz k ukončení opakování. Po doběhnutí posledního termínu je pak výsledná částka převedena na náš běžný účet.</w:t>
      </w:r>
    </w:p>
    <w:p w:rsidR="00D13756" w:rsidRPr="0035371C" w:rsidRDefault="00D13756" w:rsidP="003537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t>Výhodou termínov</w:t>
      </w:r>
      <w:r w:rsidR="009F2C65" w:rsidRPr="0035371C">
        <w:rPr>
          <w:rFonts w:ascii="Times New Roman" w:hAnsi="Times New Roman" w:cs="Times New Roman"/>
          <w:sz w:val="24"/>
          <w:szCs w:val="24"/>
        </w:rPr>
        <w:t>a</w:t>
      </w:r>
      <w:r w:rsidRPr="0035371C">
        <w:rPr>
          <w:rFonts w:ascii="Times New Roman" w:hAnsi="Times New Roman" w:cs="Times New Roman"/>
          <w:sz w:val="24"/>
          <w:szCs w:val="24"/>
        </w:rPr>
        <w:t>ného vkladu je vyšší úroková sazba, jeho nevýhodou je skutečnost, že po dobu běhu dohodnutého termínu vkladu nemáme ke svým penězům přístup. U některých vkladů to platí absolutně, u jiných je možnost předčasného výběru, ale buď za cenu citelných finančních sankcí, nebo nižší úrokové sazby.</w:t>
      </w:r>
    </w:p>
    <w:p w:rsidR="009F2C65" w:rsidRPr="0035371C" w:rsidRDefault="009F2C65" w:rsidP="003537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756" w:rsidRPr="0035371C" w:rsidRDefault="00D13756" w:rsidP="003537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71C">
        <w:rPr>
          <w:rFonts w:ascii="Times New Roman" w:hAnsi="Times New Roman" w:cs="Times New Roman"/>
          <w:b/>
          <w:sz w:val="24"/>
          <w:szCs w:val="24"/>
        </w:rPr>
        <w:t>Spořicí účet:</w:t>
      </w:r>
    </w:p>
    <w:p w:rsidR="00D13756" w:rsidRPr="0035371C" w:rsidRDefault="00D13756" w:rsidP="003537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t>Je zvláštní typ</w:t>
      </w:r>
      <w:r w:rsidR="00507D76" w:rsidRPr="0035371C">
        <w:rPr>
          <w:rFonts w:ascii="Times New Roman" w:hAnsi="Times New Roman" w:cs="Times New Roman"/>
          <w:sz w:val="24"/>
          <w:szCs w:val="24"/>
        </w:rPr>
        <w:t xml:space="preserve"> účtu, který kombinuje výhodu vy</w:t>
      </w:r>
      <w:r w:rsidRPr="0035371C">
        <w:rPr>
          <w:rFonts w:ascii="Times New Roman" w:hAnsi="Times New Roman" w:cs="Times New Roman"/>
          <w:sz w:val="24"/>
          <w:szCs w:val="24"/>
        </w:rPr>
        <w:t xml:space="preserve">šší úrokové sazby s možností relativně rychlého přístupu k penězům, uloženým na tomto účtu. </w:t>
      </w:r>
    </w:p>
    <w:p w:rsidR="00D13756" w:rsidRPr="0035371C" w:rsidRDefault="00D13756" w:rsidP="003537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t>Lze na něj pravidelně či nepravidelně vkládat různé částky (někdy je rozsah jejich výše limitován zdola i shora) a obdobně i vybírat, přesněji převádět na předem definovaný běžný účet. Výběr v hotovosti není zpravidla povolen. Některé banky umožňují převod až n tři běžné účty, a to i na účty vedené u jiných b</w:t>
      </w:r>
      <w:r w:rsidR="00507D76" w:rsidRPr="0035371C">
        <w:rPr>
          <w:rFonts w:ascii="Times New Roman" w:hAnsi="Times New Roman" w:cs="Times New Roman"/>
          <w:sz w:val="24"/>
          <w:szCs w:val="24"/>
        </w:rPr>
        <w:t xml:space="preserve">ank, než u které je zřízen </w:t>
      </w:r>
      <w:proofErr w:type="gramStart"/>
      <w:r w:rsidR="00507D76" w:rsidRPr="0035371C">
        <w:rPr>
          <w:rFonts w:ascii="Times New Roman" w:hAnsi="Times New Roman" w:cs="Times New Roman"/>
          <w:sz w:val="24"/>
          <w:szCs w:val="24"/>
        </w:rPr>
        <w:t>spoří</w:t>
      </w:r>
      <w:r w:rsidRPr="0035371C">
        <w:rPr>
          <w:rFonts w:ascii="Times New Roman" w:hAnsi="Times New Roman" w:cs="Times New Roman"/>
          <w:sz w:val="24"/>
          <w:szCs w:val="24"/>
        </w:rPr>
        <w:t>cí</w:t>
      </w:r>
      <w:proofErr w:type="gramEnd"/>
      <w:r w:rsidRPr="0035371C">
        <w:rPr>
          <w:rFonts w:ascii="Times New Roman" w:hAnsi="Times New Roman" w:cs="Times New Roman"/>
          <w:sz w:val="24"/>
          <w:szCs w:val="24"/>
        </w:rPr>
        <w:t xml:space="preserve"> účet.</w:t>
      </w:r>
    </w:p>
    <w:p w:rsidR="00D13756" w:rsidRPr="0035371C" w:rsidRDefault="00D13756" w:rsidP="003537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t xml:space="preserve">Možnost flexibilních výběrů však znamená, že úrokové sazby na </w:t>
      </w:r>
      <w:proofErr w:type="gramStart"/>
      <w:r w:rsidRPr="0035371C">
        <w:rPr>
          <w:rFonts w:ascii="Times New Roman" w:hAnsi="Times New Roman" w:cs="Times New Roman"/>
          <w:sz w:val="24"/>
          <w:szCs w:val="24"/>
        </w:rPr>
        <w:t>spořících</w:t>
      </w:r>
      <w:proofErr w:type="gramEnd"/>
      <w:r w:rsidRPr="0035371C">
        <w:rPr>
          <w:rFonts w:ascii="Times New Roman" w:hAnsi="Times New Roman" w:cs="Times New Roman"/>
          <w:sz w:val="24"/>
          <w:szCs w:val="24"/>
        </w:rPr>
        <w:t xml:space="preserve"> účtech jsou většinou poněkud nižší než u termínovaných vkladů. Proto tyto účty nejsou vhodné pro dlouhodobé spoření</w:t>
      </w:r>
      <w:r w:rsidR="007C44ED" w:rsidRPr="0035371C">
        <w:rPr>
          <w:rFonts w:ascii="Times New Roman" w:hAnsi="Times New Roman" w:cs="Times New Roman"/>
          <w:sz w:val="24"/>
          <w:szCs w:val="24"/>
        </w:rPr>
        <w:t>, jsou však ideálním řešením pro vytvoření krátkodobé, případně i střednědobé rezervy</w:t>
      </w:r>
      <w:r w:rsidR="008B766D" w:rsidRPr="0035371C">
        <w:rPr>
          <w:rFonts w:ascii="Times New Roman" w:hAnsi="Times New Roman" w:cs="Times New Roman"/>
          <w:sz w:val="24"/>
          <w:szCs w:val="24"/>
        </w:rPr>
        <w:t xml:space="preserve"> [2]</w:t>
      </w:r>
      <w:r w:rsidR="007C44ED" w:rsidRPr="0035371C">
        <w:rPr>
          <w:rFonts w:ascii="Times New Roman" w:hAnsi="Times New Roman" w:cs="Times New Roman"/>
          <w:sz w:val="24"/>
          <w:szCs w:val="24"/>
        </w:rPr>
        <w:t>.</w:t>
      </w:r>
    </w:p>
    <w:p w:rsidR="00E0269D" w:rsidRPr="0035371C" w:rsidRDefault="00E0269D" w:rsidP="006C7A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71C">
        <w:rPr>
          <w:rFonts w:ascii="Times New Roman" w:hAnsi="Times New Roman" w:cs="Times New Roman"/>
          <w:b/>
          <w:sz w:val="24"/>
          <w:szCs w:val="24"/>
        </w:rPr>
        <w:t xml:space="preserve">Stavební spoření </w:t>
      </w:r>
    </w:p>
    <w:p w:rsidR="00E0269D" w:rsidRPr="0035371C" w:rsidRDefault="00E0269D" w:rsidP="006C7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t xml:space="preserve">Využíváno za účelem stavby či rekonstrukce bytu, je to tedy účelové spoření, kde dlouhodobě ukládá vkladatel prostředky u dané banky. </w:t>
      </w:r>
      <w:r w:rsidR="00A22446" w:rsidRPr="0035371C">
        <w:rPr>
          <w:rFonts w:ascii="Times New Roman" w:hAnsi="Times New Roman" w:cs="Times New Roman"/>
          <w:sz w:val="24"/>
          <w:szCs w:val="24"/>
        </w:rPr>
        <w:t xml:space="preserve">Jinými slovy tedy </w:t>
      </w:r>
      <w:r w:rsidR="00A22446"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spoření představuje výhodné ukládání peněz a zároveň možnost získat výhodný úvěr na bytové potřeby. </w:t>
      </w:r>
      <w:r w:rsidRPr="0035371C">
        <w:rPr>
          <w:rFonts w:ascii="Times New Roman" w:hAnsi="Times New Roman" w:cs="Times New Roman"/>
          <w:sz w:val="24"/>
          <w:szCs w:val="24"/>
        </w:rPr>
        <w:t xml:space="preserve">Během spoření lze využívat státní podporu a po jeho skončení ji získat. Pokud jsou splněny další podmínky, tak má nárok na úvěr ze stavebního spoření. Charakteristické jsou nízké a pevné úroky po celou dobu splácení. Účastníkem stavebního spoření je fyzická či právnická osoba, která má právo na státní podporu. </w:t>
      </w:r>
    </w:p>
    <w:p w:rsidR="00BA6E3E" w:rsidRPr="0035371C" w:rsidRDefault="00BA6E3E" w:rsidP="006C7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t>Na státní podporu má právo občan České republiky, občan Evropské unie, jemuž bylo udělené povolené k pobytu na území České republiky a zároveň p</w:t>
      </w:r>
      <w:r w:rsidR="006C7A38">
        <w:rPr>
          <w:rFonts w:ascii="Times New Roman" w:hAnsi="Times New Roman" w:cs="Times New Roman"/>
          <w:sz w:val="24"/>
          <w:szCs w:val="24"/>
        </w:rPr>
        <w:t>řidělené rodné číslo [4</w:t>
      </w:r>
      <w:r w:rsidR="006C7A38" w:rsidRPr="0035371C">
        <w:rPr>
          <w:rFonts w:ascii="Times New Roman" w:hAnsi="Times New Roman" w:cs="Times New Roman"/>
          <w:sz w:val="24"/>
          <w:szCs w:val="24"/>
        </w:rPr>
        <w:t>].</w:t>
      </w:r>
    </w:p>
    <w:p w:rsidR="00BA6E3E" w:rsidRPr="0035371C" w:rsidRDefault="00BA6E3E" w:rsidP="006C7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t xml:space="preserve">Stavební spoření lze rozdělit do </w:t>
      </w:r>
      <w:r w:rsidR="00A22446" w:rsidRPr="0035371C">
        <w:rPr>
          <w:rFonts w:ascii="Times New Roman" w:hAnsi="Times New Roman" w:cs="Times New Roman"/>
          <w:sz w:val="24"/>
          <w:szCs w:val="24"/>
        </w:rPr>
        <w:t>fází</w:t>
      </w:r>
      <w:r w:rsidR="006E4526" w:rsidRPr="0035371C">
        <w:rPr>
          <w:rFonts w:ascii="Times New Roman" w:hAnsi="Times New Roman" w:cs="Times New Roman"/>
          <w:sz w:val="24"/>
          <w:szCs w:val="24"/>
        </w:rPr>
        <w:t>:</w:t>
      </w:r>
    </w:p>
    <w:p w:rsidR="00BA6E3E" w:rsidRPr="0035371C" w:rsidRDefault="00BA6E3E" w:rsidP="006C7A38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71C">
        <w:rPr>
          <w:rFonts w:ascii="Times New Roman" w:hAnsi="Times New Roman" w:cs="Times New Roman"/>
          <w:b/>
          <w:sz w:val="24"/>
          <w:szCs w:val="24"/>
        </w:rPr>
        <w:t>Fáze spořící</w:t>
      </w:r>
    </w:p>
    <w:p w:rsidR="00BA6E3E" w:rsidRDefault="00BA6E3E" w:rsidP="006C7A38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71C">
        <w:rPr>
          <w:rFonts w:ascii="Times New Roman" w:hAnsi="Times New Roman" w:cs="Times New Roman"/>
          <w:b/>
          <w:sz w:val="24"/>
          <w:szCs w:val="24"/>
        </w:rPr>
        <w:t>Fáze úvěrová</w:t>
      </w:r>
    </w:p>
    <w:p w:rsidR="0059248D" w:rsidRPr="0059248D" w:rsidRDefault="0059248D" w:rsidP="006C7A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EA9" w:rsidRPr="0035371C" w:rsidRDefault="00A03EA9" w:rsidP="006C7A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7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Spořící fáze </w:t>
      </w:r>
    </w:p>
    <w:p w:rsidR="00A03EA9" w:rsidRPr="0035371C" w:rsidRDefault="00A03EA9" w:rsidP="006C7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t xml:space="preserve">Klient se sám rozhoduje, zda bude spořit či bude chtít úvěr. </w:t>
      </w:r>
      <w:r w:rsidR="00D8183F" w:rsidRPr="0035371C">
        <w:rPr>
          <w:rFonts w:ascii="Times New Roman" w:hAnsi="Times New Roman" w:cs="Times New Roman"/>
          <w:sz w:val="24"/>
          <w:szCs w:val="24"/>
        </w:rPr>
        <w:t xml:space="preserve">Smlouva však vždy platí na 6 let. Pokud ji bude chtít klient ukončit dříve či bude ukončena dříve ze strany pojišťovny, nebude mít nárok na státní příspěvek. </w:t>
      </w:r>
      <w:r w:rsidR="006A0229" w:rsidRPr="0035371C">
        <w:rPr>
          <w:rFonts w:ascii="Times New Roman" w:hAnsi="Times New Roman" w:cs="Times New Roman"/>
          <w:sz w:val="24"/>
          <w:szCs w:val="24"/>
          <w:shd w:val="clear" w:color="auto" w:fill="FFFFFF"/>
        </w:rPr>
        <w:t>Má-li účastník splňující výše uvedené podmínky</w:t>
      </w:r>
      <w:r w:rsidR="00A22446" w:rsidRPr="003537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A0229" w:rsidRPr="0035371C">
        <w:rPr>
          <w:rFonts w:ascii="Times New Roman" w:hAnsi="Times New Roman" w:cs="Times New Roman"/>
          <w:sz w:val="24"/>
          <w:szCs w:val="24"/>
          <w:shd w:val="clear" w:color="auto" w:fill="FFFFFF"/>
        </w:rPr>
        <w:t>uzavřeno v jednom kalendářním roce více smluv, přísluší státní podpora na ty smlouvy, u kterých o její přiznání písemně požádal. Přitom se postupně poukazují zálohy státní podpory přednostně z uspořených částek u dříve uzavřených smluv, přičemž celkový součet záloh státní podpory ke všem smlouvám účastníka v příslušném kalendářním roce nesmí přesáhnout částku 2 000 Kč.</w:t>
      </w:r>
    </w:p>
    <w:p w:rsidR="006A0229" w:rsidRPr="0035371C" w:rsidRDefault="006A0229" w:rsidP="006C7A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7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a) Fáze spořící</w:t>
      </w:r>
    </w:p>
    <w:p w:rsidR="006A0229" w:rsidRPr="0035371C" w:rsidRDefault="006A0229" w:rsidP="006C7A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>Vkladatel ukládá většinou pravidelně vklady na účet stavebního spoření a stát mu k nim poskytuje státní podporu. Vklady a státní podpora na účtu stavebního spořeni jsou úročeny.</w:t>
      </w:r>
    </w:p>
    <w:p w:rsidR="006A0229" w:rsidRPr="0035371C" w:rsidRDefault="006A0229" w:rsidP="006C7A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7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b) Fáze úvěrová</w:t>
      </w:r>
    </w:p>
    <w:p w:rsidR="00A03EA9" w:rsidRDefault="006A0229" w:rsidP="006C7A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Následuje po fázi spořící a spočívá v poskytnutí výhodného úvěru ze stavebního spoření na bytové potřeby</w:t>
      </w:r>
      <w:r w:rsidR="00A22446"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uvedené níže</w:t>
      </w:r>
      <w:r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C7A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6" w:history="1">
        <w:r w:rsidR="0059248D" w:rsidRPr="00C1267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http://www.acss.cz/cz/stavebni-sporeni/jak-funguje/</w:t>
        </w:r>
      </w:hyperlink>
    </w:p>
    <w:p w:rsidR="0059248D" w:rsidRPr="0059248D" w:rsidRDefault="0059248D" w:rsidP="006C7A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0229" w:rsidRPr="0035371C" w:rsidRDefault="006A0229" w:rsidP="006C7A38">
      <w:pPr>
        <w:pStyle w:val="Nadpis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35371C">
        <w:rPr>
          <w:rFonts w:ascii="Times New Roman" w:hAnsi="Times New Roman" w:cs="Times New Roman"/>
          <w:bCs w:val="0"/>
          <w:color w:val="auto"/>
          <w:sz w:val="24"/>
          <w:szCs w:val="24"/>
        </w:rPr>
        <w:t>Podmínky výplaty státní podpory</w:t>
      </w:r>
    </w:p>
    <w:p w:rsidR="006A0229" w:rsidRPr="0035371C" w:rsidRDefault="006A0229" w:rsidP="006C7A38">
      <w:pPr>
        <w:pStyle w:val="Normlnweb"/>
        <w:shd w:val="clear" w:color="auto" w:fill="FFFFFF"/>
        <w:spacing w:before="0" w:beforeAutospacing="0" w:after="0" w:afterAutospacing="0" w:line="360" w:lineRule="auto"/>
        <w:jc w:val="both"/>
      </w:pPr>
      <w:r w:rsidRPr="0035371C">
        <w:t xml:space="preserve">Nárok na výplatu státní podpory má účastník, pokud po dobu 6 let nebylo </w:t>
      </w:r>
      <w:r w:rsidR="00A22446" w:rsidRPr="0035371C">
        <w:t xml:space="preserve">nijak </w:t>
      </w:r>
      <w:proofErr w:type="gramStart"/>
      <w:r w:rsidR="0059248D">
        <w:t>nakládáno s</w:t>
      </w:r>
      <w:r w:rsidR="0059248D" w:rsidRPr="0035371C">
        <w:t> vkladem</w:t>
      </w:r>
      <w:proofErr w:type="gramEnd"/>
      <w:r w:rsidR="00A22446" w:rsidRPr="0035371C">
        <w:t xml:space="preserve"> ani zrušená smlouva</w:t>
      </w:r>
      <w:r w:rsidRPr="0035371C">
        <w:t>.</w:t>
      </w:r>
    </w:p>
    <w:p w:rsidR="006A0229" w:rsidRPr="0035371C" w:rsidRDefault="006A0229" w:rsidP="006C7A38">
      <w:pPr>
        <w:pStyle w:val="Nadpis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35371C">
        <w:rPr>
          <w:rFonts w:ascii="Times New Roman" w:hAnsi="Times New Roman" w:cs="Times New Roman"/>
          <w:bCs w:val="0"/>
          <w:color w:val="auto"/>
          <w:sz w:val="24"/>
          <w:szCs w:val="24"/>
        </w:rPr>
        <w:t>Výše státní podpory</w:t>
      </w:r>
    </w:p>
    <w:p w:rsidR="006A0229" w:rsidRPr="0035371C" w:rsidRDefault="0035371C" w:rsidP="006C7A38">
      <w:pPr>
        <w:pStyle w:val="Normlnweb"/>
        <w:shd w:val="clear" w:color="auto" w:fill="FFFFFF"/>
        <w:spacing w:before="0" w:beforeAutospacing="0" w:after="0" w:afterAutospacing="0" w:line="360" w:lineRule="auto"/>
        <w:jc w:val="both"/>
      </w:pPr>
      <w:r w:rsidRPr="0035371C">
        <w:t xml:space="preserve">Státní </w:t>
      </w:r>
      <w:r w:rsidR="006A0229" w:rsidRPr="0035371C">
        <w:t>podpora u všech smluv činí 10 % z uspořené částky v příslušném kalendářním roce, maximálně však z částky 20 000 Kč</w:t>
      </w:r>
      <w:r w:rsidR="00A22446" w:rsidRPr="0035371C">
        <w:t xml:space="preserve"> – tedy 2 000 Kč</w:t>
      </w:r>
      <w:r w:rsidR="006A0229" w:rsidRPr="0035371C">
        <w:t>.</w:t>
      </w:r>
    </w:p>
    <w:p w:rsidR="006A0229" w:rsidRPr="0035371C" w:rsidRDefault="006A0229" w:rsidP="006C7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EA9" w:rsidRPr="0035371C" w:rsidRDefault="00A03EA9" w:rsidP="006C7A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7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Úvěr</w:t>
      </w:r>
      <w:r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</w:t>
      </w:r>
      <w:r w:rsidR="00A22446"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možné použ</w:t>
      </w:r>
      <w:r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>it pouze na ř</w:t>
      </w:r>
      <w:r w:rsidR="00A22446"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>ešení bytových potřeb. Toto použ</w:t>
      </w:r>
      <w:r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ití musí být řádně prokázáno. </w:t>
      </w:r>
    </w:p>
    <w:p w:rsidR="00A03EA9" w:rsidRPr="0035371C" w:rsidRDefault="00A22446" w:rsidP="006C7A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>Bytové potřeby jsou</w:t>
      </w:r>
      <w:r w:rsidR="00A03EA9"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A03EA9" w:rsidRPr="0035371C" w:rsidRDefault="00A03EA9" w:rsidP="006C7A38">
      <w:pPr>
        <w:pStyle w:val="Odstavecseseznamem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>pořízení bytu, domu</w:t>
      </w:r>
    </w:p>
    <w:p w:rsidR="00A03EA9" w:rsidRPr="0035371C" w:rsidRDefault="00A03EA9" w:rsidP="006C7A38">
      <w:pPr>
        <w:pStyle w:val="Odstavecseseznamem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modernizace</w:t>
      </w:r>
    </w:p>
    <w:p w:rsidR="00A03EA9" w:rsidRPr="0035371C" w:rsidRDefault="00A03EA9" w:rsidP="006C7A38">
      <w:pPr>
        <w:pStyle w:val="Odstavecseseznamem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>bydlení</w:t>
      </w:r>
    </w:p>
    <w:p w:rsidR="00A03EA9" w:rsidRPr="0035371C" w:rsidRDefault="00A03EA9" w:rsidP="006C7A38">
      <w:pPr>
        <w:pStyle w:val="Odstavecseseznamem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>výstavba</w:t>
      </w:r>
    </w:p>
    <w:p w:rsidR="00A03EA9" w:rsidRPr="0035371C" w:rsidRDefault="00A03EA9" w:rsidP="006C7A38">
      <w:pPr>
        <w:pStyle w:val="Odstavecseseznamem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>či koupě</w:t>
      </w:r>
    </w:p>
    <w:p w:rsidR="00A03EA9" w:rsidRPr="0035371C" w:rsidRDefault="00A03EA9" w:rsidP="006C7A38">
      <w:pPr>
        <w:pStyle w:val="Odstavecseseznamem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stavby pro bydlení</w:t>
      </w:r>
    </w:p>
    <w:p w:rsidR="00A03EA9" w:rsidRPr="0035371C" w:rsidRDefault="00A03EA9" w:rsidP="006C7A38">
      <w:pPr>
        <w:pStyle w:val="Odstavecseseznamem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>koupě stavebního pozemku za účelem výstavby pro bydlení</w:t>
      </w:r>
    </w:p>
    <w:p w:rsidR="00A03EA9" w:rsidRPr="0035371C" w:rsidRDefault="00A03EA9" w:rsidP="006C7A38">
      <w:pPr>
        <w:pStyle w:val="Odstavecseseznamem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>koupě stavebního pozemku, na kterém se nachází stavba pro bydlení</w:t>
      </w:r>
    </w:p>
    <w:p w:rsidR="00A03EA9" w:rsidRPr="0035371C" w:rsidRDefault="00A03EA9" w:rsidP="006C7A38">
      <w:pPr>
        <w:pStyle w:val="Odstavecseseznamem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>stavební úprava nebytového prostoru na byt</w:t>
      </w:r>
    </w:p>
    <w:p w:rsidR="00A03EA9" w:rsidRPr="0035371C" w:rsidRDefault="00A03EA9" w:rsidP="006C7A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úhrada závazků, které souvisí s</w:t>
      </w:r>
      <w:r w:rsidR="00A22446"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5371C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uvedenými účely</w:t>
      </w:r>
    </w:p>
    <w:p w:rsidR="006A0229" w:rsidRPr="0035371C" w:rsidRDefault="006A0229" w:rsidP="006C7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FB6" w:rsidRPr="0035371C" w:rsidRDefault="00695FB6" w:rsidP="006C7A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71C">
        <w:rPr>
          <w:rFonts w:ascii="Times New Roman" w:hAnsi="Times New Roman" w:cs="Times New Roman"/>
          <w:b/>
          <w:sz w:val="24"/>
          <w:szCs w:val="24"/>
        </w:rPr>
        <w:t xml:space="preserve">Řádný úvěr ze stavebního spoření </w:t>
      </w:r>
    </w:p>
    <w:p w:rsidR="00695FB6" w:rsidRPr="0035371C" w:rsidRDefault="00695FB6" w:rsidP="006C7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t>Výše úvěru je zde vypočítána jako rozdíl cílové částky, a již naspořené částky. Úroková sazba je sjednána ve smlouvě, je tady daná a nemění se. Výše této sazby však závisí na konkrétní stavební spořitelně.</w:t>
      </w:r>
    </w:p>
    <w:p w:rsidR="00695FB6" w:rsidRPr="0035371C" w:rsidRDefault="00695FB6" w:rsidP="006C7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t>Doba splatnosti úvěru není dopředu daná. Závisí především na výši úvěru. Čím více má klient naspořen, tím může mít nižší úroveň a rychlejší splacení. Je možné splatit kdykoliv část úvěru, či celý díky tzv. mimořádné splátce</w:t>
      </w:r>
      <w:r w:rsidR="006C7A38">
        <w:rPr>
          <w:rFonts w:ascii="Times New Roman" w:hAnsi="Times New Roman" w:cs="Times New Roman"/>
          <w:sz w:val="24"/>
          <w:szCs w:val="24"/>
        </w:rPr>
        <w:t xml:space="preserve"> [5</w:t>
      </w:r>
      <w:r w:rsidR="006C7A38" w:rsidRPr="0035371C">
        <w:rPr>
          <w:rFonts w:ascii="Times New Roman" w:hAnsi="Times New Roman" w:cs="Times New Roman"/>
          <w:sz w:val="24"/>
          <w:szCs w:val="24"/>
        </w:rPr>
        <w:t>]</w:t>
      </w:r>
      <w:r w:rsidRPr="003537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FB6" w:rsidRPr="0035371C" w:rsidRDefault="00695FB6" w:rsidP="006C7A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71C">
        <w:rPr>
          <w:rFonts w:ascii="Times New Roman" w:hAnsi="Times New Roman" w:cs="Times New Roman"/>
          <w:b/>
          <w:sz w:val="24"/>
          <w:szCs w:val="24"/>
        </w:rPr>
        <w:t>Překlenovací úvěr</w:t>
      </w:r>
    </w:p>
    <w:p w:rsidR="00695FB6" w:rsidRPr="0035371C" w:rsidRDefault="00753C4D" w:rsidP="006C7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t>Ten je poskytován zejména, pokud klient potřebuje finanční prostředky ze stavebního spoření dřív, než je schopen splnit podmínky pro získání řádného úvěru. Což znamená, že nemá naspořeno 40% z cílové částky či nesplnil zákonem danou dobu dvou let. Tento úvěr poskytuje spořitelna ve fázi spoření a ve výši cílové částky. Pro tento typ úvěru spořitelny nepoužívají vklady klientů, ale externí zdroje (cenné papíry, půjčky na mezibankovním trhu). Tím dochází k tomu, že jsou překlenovací úvěry vyšší. Úrokové sazby nejsou regulovány zákonem</w:t>
      </w:r>
      <w:r w:rsidR="006C7A38">
        <w:rPr>
          <w:rFonts w:ascii="Times New Roman" w:hAnsi="Times New Roman" w:cs="Times New Roman"/>
          <w:sz w:val="24"/>
          <w:szCs w:val="24"/>
        </w:rPr>
        <w:t xml:space="preserve"> [5</w:t>
      </w:r>
      <w:r w:rsidR="006C7A38" w:rsidRPr="0035371C">
        <w:rPr>
          <w:rFonts w:ascii="Times New Roman" w:hAnsi="Times New Roman" w:cs="Times New Roman"/>
          <w:sz w:val="24"/>
          <w:szCs w:val="24"/>
        </w:rPr>
        <w:t>].</w:t>
      </w:r>
    </w:p>
    <w:p w:rsidR="00753C4D" w:rsidRPr="0035371C" w:rsidRDefault="00753C4D" w:rsidP="006C7A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71C">
        <w:rPr>
          <w:rFonts w:ascii="Times New Roman" w:hAnsi="Times New Roman" w:cs="Times New Roman"/>
          <w:b/>
          <w:sz w:val="24"/>
          <w:szCs w:val="24"/>
        </w:rPr>
        <w:t>Penzijní spoření</w:t>
      </w:r>
    </w:p>
    <w:p w:rsidR="00753C4D" w:rsidRPr="0035371C" w:rsidRDefault="00847460" w:rsidP="006C7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t xml:space="preserve">Jak už název napovídá, jedná se o spoření na důchod.  Založit jej může osoba nad 18 let ‚lze i založit pro dítě jako zákonný zástupce. Nezávislé na národnosti či občanství. </w:t>
      </w:r>
    </w:p>
    <w:p w:rsidR="00F0208F" w:rsidRPr="0035371C" w:rsidRDefault="00F0208F" w:rsidP="006C7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t xml:space="preserve">Min. vklad bývá 100,-. Se vkladem od 300 Kč přispívá stát (90 Kč). Maximální příspěvek však činí 230 Kč. Nárok na příspěvek má kdokoliv s trvalým pobytem v ČR či EU, nebo platí zdravotní či důchodové pojištění. </w:t>
      </w:r>
    </w:p>
    <w:p w:rsidR="00F0208F" w:rsidRPr="0035371C" w:rsidRDefault="00F0208F" w:rsidP="006C7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t xml:space="preserve">Přehled výše státního příspěvku: </w:t>
      </w:r>
    </w:p>
    <w:p w:rsidR="00F0208F" w:rsidRPr="0035371C" w:rsidRDefault="00F0208F" w:rsidP="006C7A38">
      <w:pPr>
        <w:numPr>
          <w:ilvl w:val="0"/>
          <w:numId w:val="10"/>
        </w:numPr>
        <w:spacing w:after="0" w:line="360" w:lineRule="auto"/>
        <w:ind w:left="2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537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400 Kč – 110 Kč měsíčně</w:t>
      </w:r>
    </w:p>
    <w:p w:rsidR="00F0208F" w:rsidRPr="0035371C" w:rsidRDefault="00F0208F" w:rsidP="006C7A38">
      <w:pPr>
        <w:numPr>
          <w:ilvl w:val="0"/>
          <w:numId w:val="10"/>
        </w:numPr>
        <w:spacing w:after="0" w:line="360" w:lineRule="auto"/>
        <w:ind w:left="2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537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500 Kč – 130 Kč měsíčně</w:t>
      </w:r>
    </w:p>
    <w:p w:rsidR="00F0208F" w:rsidRPr="0035371C" w:rsidRDefault="00F0208F" w:rsidP="006C7A38">
      <w:pPr>
        <w:numPr>
          <w:ilvl w:val="0"/>
          <w:numId w:val="10"/>
        </w:numPr>
        <w:spacing w:after="0" w:line="360" w:lineRule="auto"/>
        <w:ind w:left="2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537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600 Kč – 150 Kč měsíčně</w:t>
      </w:r>
    </w:p>
    <w:p w:rsidR="00F0208F" w:rsidRPr="0035371C" w:rsidRDefault="00F0208F" w:rsidP="006C7A38">
      <w:pPr>
        <w:numPr>
          <w:ilvl w:val="0"/>
          <w:numId w:val="10"/>
        </w:numPr>
        <w:spacing w:after="0" w:line="360" w:lineRule="auto"/>
        <w:ind w:left="2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537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700 Kč – 170 Kč měsíčně</w:t>
      </w:r>
    </w:p>
    <w:p w:rsidR="00F0208F" w:rsidRPr="0035371C" w:rsidRDefault="00F0208F" w:rsidP="006C7A38">
      <w:pPr>
        <w:numPr>
          <w:ilvl w:val="0"/>
          <w:numId w:val="10"/>
        </w:numPr>
        <w:spacing w:after="0" w:line="360" w:lineRule="auto"/>
        <w:ind w:left="2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537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800 Kč – 190 Kč měsíčně</w:t>
      </w:r>
    </w:p>
    <w:p w:rsidR="00F0208F" w:rsidRPr="0035371C" w:rsidRDefault="00F0208F" w:rsidP="006C7A38">
      <w:pPr>
        <w:numPr>
          <w:ilvl w:val="0"/>
          <w:numId w:val="10"/>
        </w:numPr>
        <w:spacing w:after="0" w:line="360" w:lineRule="auto"/>
        <w:ind w:left="2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537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900 Kč – 210 Kč měsíčně</w:t>
      </w:r>
    </w:p>
    <w:p w:rsidR="00F0208F" w:rsidRPr="0035371C" w:rsidRDefault="00F0208F" w:rsidP="006C7A38">
      <w:pPr>
        <w:numPr>
          <w:ilvl w:val="0"/>
          <w:numId w:val="10"/>
        </w:numPr>
        <w:spacing w:after="0" w:line="360" w:lineRule="auto"/>
        <w:ind w:left="23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1 000 Kč – 230 Kč </w:t>
      </w:r>
    </w:p>
    <w:p w:rsidR="00847460" w:rsidRPr="0035371C" w:rsidRDefault="00F0208F" w:rsidP="006C7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t xml:space="preserve">Nárok na příspěvek může zaniknout, pokud klient vypoví smlouvu dříve (6 let). </w:t>
      </w:r>
    </w:p>
    <w:p w:rsidR="00F0208F" w:rsidRPr="0035371C" w:rsidRDefault="00F0208F" w:rsidP="006C7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t>Jsou zde i možné daňové úlevy. Lze si odečíst roční úhrn vlastních příspěvků nad 24 000 Kč. Pokud spoří měsíčně 3 000Kč a více, získává maximální daňové zvýhodnění – lze ušetřit až 3600 Kč</w:t>
      </w:r>
    </w:p>
    <w:p w:rsidR="00F0208F" w:rsidRPr="0035371C" w:rsidRDefault="00F0208F" w:rsidP="006C7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t xml:space="preserve">Další možný příspěvek je od zaměstnavatele. Výše tohoto příspěvku je však závislá na rozhodnutí firmy. </w:t>
      </w:r>
    </w:p>
    <w:p w:rsidR="0059248D" w:rsidRDefault="00F0208F" w:rsidP="006C7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t>Možnost vysokých úroků. Nevýhodou však může být, že nejsou pevně dané a jisté. Lze na tom tedy jak vydělit, tak i ztratit. Klient si vša</w:t>
      </w:r>
      <w:r w:rsidR="0035371C" w:rsidRPr="0035371C">
        <w:rPr>
          <w:rFonts w:ascii="Times New Roman" w:hAnsi="Times New Roman" w:cs="Times New Roman"/>
          <w:sz w:val="24"/>
          <w:szCs w:val="24"/>
        </w:rPr>
        <w:t xml:space="preserve">k sám volí fond, do kterého bude vkládat danou výši vkladu. Tedy jakou investiční strategii zvolí. </w:t>
      </w:r>
    </w:p>
    <w:p w:rsidR="0035371C" w:rsidRPr="0035371C" w:rsidRDefault="0035371C" w:rsidP="006C7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71C">
        <w:rPr>
          <w:rFonts w:ascii="Times New Roman" w:hAnsi="Times New Roman" w:cs="Times New Roman"/>
          <w:sz w:val="24"/>
          <w:szCs w:val="24"/>
        </w:rPr>
        <w:t xml:space="preserve">Peníze je třeba vybírat postupně v důchodu, </w:t>
      </w:r>
      <w:r w:rsidR="006C7A38">
        <w:rPr>
          <w:rFonts w:ascii="Times New Roman" w:hAnsi="Times New Roman" w:cs="Times New Roman"/>
          <w:sz w:val="24"/>
          <w:szCs w:val="24"/>
        </w:rPr>
        <w:t>jinak se sráží 15%daň z výnosů [6</w:t>
      </w:r>
      <w:r w:rsidR="006C7A38" w:rsidRPr="0035371C">
        <w:rPr>
          <w:rFonts w:ascii="Times New Roman" w:hAnsi="Times New Roman" w:cs="Times New Roman"/>
          <w:sz w:val="24"/>
          <w:szCs w:val="24"/>
        </w:rPr>
        <w:t>].</w:t>
      </w:r>
    </w:p>
    <w:p w:rsidR="007C44ED" w:rsidRPr="009F2C65" w:rsidRDefault="007C44ED" w:rsidP="006C7A38">
      <w:pPr>
        <w:spacing w:before="100" w:beforeAutospacing="1" w:after="100" w:afterAutospacing="1" w:line="240" w:lineRule="auto"/>
        <w:jc w:val="both"/>
        <w:rPr>
          <w:rFonts w:cstheme="minorHAnsi"/>
        </w:rPr>
      </w:pPr>
    </w:p>
    <w:p w:rsidR="0035371C" w:rsidRDefault="0035371C" w:rsidP="006C7A38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br w:type="page"/>
      </w:r>
    </w:p>
    <w:p w:rsidR="009F2C65" w:rsidRDefault="009F2C65" w:rsidP="006C7A3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35371C">
        <w:rPr>
          <w:rFonts w:eastAsia="Times New Roman" w:cstheme="minorHAnsi"/>
          <w:b/>
          <w:lang w:eastAsia="cs-CZ"/>
        </w:rPr>
        <w:lastRenderedPageBreak/>
        <w:t>Zdroje</w:t>
      </w:r>
      <w:r>
        <w:rPr>
          <w:rFonts w:eastAsia="Times New Roman" w:cstheme="minorHAnsi"/>
          <w:lang w:eastAsia="cs-CZ"/>
        </w:rPr>
        <w:t>:</w:t>
      </w:r>
    </w:p>
    <w:p w:rsidR="008B766D" w:rsidRPr="009F2C65" w:rsidRDefault="0060735E" w:rsidP="006C7A3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9F2C65">
        <w:rPr>
          <w:rFonts w:eastAsia="Times New Roman" w:cstheme="minorHAnsi"/>
          <w:lang w:eastAsia="cs-CZ"/>
        </w:rPr>
        <w:t>1)</w:t>
      </w:r>
      <w:r w:rsidR="009F2C65" w:rsidRPr="009F2C65">
        <w:rPr>
          <w:rFonts w:eastAsia="Times New Roman" w:cstheme="minorHAnsi"/>
          <w:lang w:eastAsia="cs-CZ"/>
        </w:rPr>
        <w:t xml:space="preserve"> </w:t>
      </w:r>
      <w:r w:rsidR="009F2C65" w:rsidRPr="0035371C">
        <w:rPr>
          <w:rFonts w:cstheme="minorHAnsi"/>
          <w:b/>
        </w:rPr>
        <w:t>DVOŘÁK, Petr</w:t>
      </w:r>
      <w:r w:rsidR="009F2C65" w:rsidRPr="009F2C65">
        <w:rPr>
          <w:rFonts w:cstheme="minorHAnsi"/>
        </w:rPr>
        <w:t xml:space="preserve">. </w:t>
      </w:r>
      <w:r w:rsidR="009F2C65" w:rsidRPr="009F2C65">
        <w:rPr>
          <w:rFonts w:cstheme="minorHAnsi"/>
          <w:i/>
          <w:iCs/>
        </w:rPr>
        <w:t>Bankovnictví pro bankéře a klienty</w:t>
      </w:r>
      <w:r w:rsidR="009F2C65" w:rsidRPr="009F2C65">
        <w:rPr>
          <w:rFonts w:cstheme="minorHAnsi"/>
        </w:rPr>
        <w:t xml:space="preserve">. 3. </w:t>
      </w:r>
      <w:proofErr w:type="spellStart"/>
      <w:r w:rsidR="009F2C65" w:rsidRPr="009F2C65">
        <w:rPr>
          <w:rFonts w:cstheme="minorHAnsi"/>
        </w:rPr>
        <w:t>přeprac</w:t>
      </w:r>
      <w:proofErr w:type="spellEnd"/>
      <w:r w:rsidR="009F2C65" w:rsidRPr="009F2C65">
        <w:rPr>
          <w:rFonts w:cstheme="minorHAnsi"/>
        </w:rPr>
        <w:t xml:space="preserve">. a </w:t>
      </w:r>
      <w:proofErr w:type="spellStart"/>
      <w:r w:rsidR="009F2C65" w:rsidRPr="009F2C65">
        <w:rPr>
          <w:rFonts w:cstheme="minorHAnsi"/>
        </w:rPr>
        <w:t>rozš</w:t>
      </w:r>
      <w:proofErr w:type="spellEnd"/>
      <w:r w:rsidR="009F2C65" w:rsidRPr="009F2C65">
        <w:rPr>
          <w:rFonts w:cstheme="minorHAnsi"/>
        </w:rPr>
        <w:t>. vyd. Praha: Linde, 2005. Vysokoškolská učebnice. ISBN 80-7201-515-X.</w:t>
      </w:r>
    </w:p>
    <w:p w:rsidR="007C44ED" w:rsidRPr="009F2C65" w:rsidRDefault="009F2C65" w:rsidP="006C7A3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9F2C65">
        <w:rPr>
          <w:rStyle w:val="CittHTML"/>
          <w:rFonts w:cstheme="minorHAnsi"/>
          <w:i w:val="0"/>
          <w:iCs w:val="0"/>
        </w:rPr>
        <w:t>2)</w:t>
      </w:r>
      <w:r w:rsidR="0060735E" w:rsidRPr="009F2C65">
        <w:rPr>
          <w:rFonts w:eastAsia="Times New Roman" w:cstheme="minorHAnsi"/>
          <w:lang w:eastAsia="cs-CZ"/>
        </w:rPr>
        <w:t xml:space="preserve"> </w:t>
      </w:r>
      <w:r w:rsidR="007C44ED" w:rsidRPr="0035371C">
        <w:rPr>
          <w:rFonts w:eastAsia="Times New Roman" w:cstheme="minorHAnsi"/>
          <w:b/>
          <w:lang w:eastAsia="cs-CZ"/>
        </w:rPr>
        <w:t>BRABEC, Jiří</w:t>
      </w:r>
      <w:r w:rsidR="007C44ED" w:rsidRPr="009F2C65">
        <w:rPr>
          <w:rFonts w:eastAsia="Times New Roman" w:cstheme="minorHAnsi"/>
          <w:lang w:eastAsia="cs-CZ"/>
        </w:rPr>
        <w:t xml:space="preserve">. </w:t>
      </w:r>
      <w:r w:rsidR="007C44ED" w:rsidRPr="009F2C65">
        <w:rPr>
          <w:rFonts w:eastAsia="Times New Roman" w:cstheme="minorHAnsi"/>
          <w:i/>
          <w:iCs/>
          <w:lang w:eastAsia="cs-CZ"/>
        </w:rPr>
        <w:t>Finanční gramotnost: srozumitelně a bez překážek</w:t>
      </w:r>
      <w:r w:rsidR="007C44ED" w:rsidRPr="009F2C65">
        <w:rPr>
          <w:rFonts w:eastAsia="Times New Roman" w:cstheme="minorHAnsi"/>
          <w:lang w:eastAsia="cs-CZ"/>
        </w:rPr>
        <w:t>. Plzeň: ABC Finančního vzdělávání, 2011. ISBN 978-80-905057-0-4.</w:t>
      </w:r>
    </w:p>
    <w:p w:rsidR="0060735E" w:rsidRPr="009F2C65" w:rsidRDefault="009F2C65" w:rsidP="006C7A38">
      <w:pPr>
        <w:spacing w:before="100" w:beforeAutospacing="1" w:after="100" w:afterAutospacing="1" w:line="240" w:lineRule="auto"/>
        <w:jc w:val="both"/>
        <w:rPr>
          <w:rStyle w:val="CittHTML"/>
          <w:rFonts w:cstheme="minorHAnsi"/>
          <w:i w:val="0"/>
          <w:iCs w:val="0"/>
        </w:rPr>
      </w:pPr>
      <w:r w:rsidRPr="009F2C65">
        <w:rPr>
          <w:rStyle w:val="CittHTML"/>
          <w:rFonts w:cstheme="minorHAnsi"/>
          <w:i w:val="0"/>
          <w:iCs w:val="0"/>
        </w:rPr>
        <w:t xml:space="preserve">3) </w:t>
      </w:r>
      <w:r w:rsidR="0060735E" w:rsidRPr="0035371C">
        <w:rPr>
          <w:rStyle w:val="CittHTML"/>
          <w:rFonts w:cstheme="minorHAnsi"/>
          <w:b/>
          <w:i w:val="0"/>
          <w:iCs w:val="0"/>
        </w:rPr>
        <w:t>FREIWALDOVÁ, Pavla</w:t>
      </w:r>
      <w:r w:rsidR="0060735E" w:rsidRPr="009F2C65">
        <w:rPr>
          <w:rStyle w:val="CittHTML"/>
          <w:rFonts w:cstheme="minorHAnsi"/>
          <w:i w:val="0"/>
          <w:iCs w:val="0"/>
        </w:rPr>
        <w:t xml:space="preserve">. Odeslal 30 tisíc na chybný účet. Už dva roky čeká na vrácení. </w:t>
      </w:r>
      <w:r w:rsidR="0060735E" w:rsidRPr="009F2C65">
        <w:rPr>
          <w:rStyle w:val="CittHTML"/>
          <w:rFonts w:cstheme="minorHAnsi"/>
        </w:rPr>
        <w:t>idnes.cz</w:t>
      </w:r>
      <w:r w:rsidR="0060735E" w:rsidRPr="009F2C65">
        <w:rPr>
          <w:rStyle w:val="CittHTML"/>
          <w:rFonts w:cstheme="minorHAnsi"/>
          <w:i w:val="0"/>
          <w:iCs w:val="0"/>
        </w:rPr>
        <w:t xml:space="preserve"> [online]. 18. 3. 2019</w:t>
      </w:r>
    </w:p>
    <w:p w:rsidR="0035371C" w:rsidRDefault="00753C4D" w:rsidP="006C7A3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4) </w:t>
      </w:r>
      <w:proofErr w:type="spellStart"/>
      <w:proofErr w:type="gramStart"/>
      <w:r w:rsidR="00695FB6" w:rsidRPr="00695FB6">
        <w:rPr>
          <w:rFonts w:eastAsia="Times New Roman" w:cstheme="minorHAnsi"/>
          <w:b/>
          <w:lang w:eastAsia="cs-CZ"/>
        </w:rPr>
        <w:t>MĚŠEC.CZ</w:t>
      </w:r>
      <w:proofErr w:type="gramEnd"/>
      <w:r w:rsidR="00695FB6" w:rsidRPr="00695FB6">
        <w:rPr>
          <w:rFonts w:eastAsia="Times New Roman" w:cstheme="minorHAnsi"/>
          <w:lang w:eastAsia="cs-CZ"/>
        </w:rPr>
        <w:t>.</w:t>
      </w:r>
      <w:r w:rsidR="00695FB6" w:rsidRPr="00695FB6">
        <w:rPr>
          <w:rFonts w:eastAsia="Times New Roman" w:cstheme="minorHAnsi"/>
          <w:i/>
          <w:lang w:eastAsia="cs-CZ"/>
        </w:rPr>
        <w:t>Fáze</w:t>
      </w:r>
      <w:proofErr w:type="spellEnd"/>
      <w:r w:rsidR="00695FB6" w:rsidRPr="00695FB6">
        <w:rPr>
          <w:rFonts w:eastAsia="Times New Roman" w:cstheme="minorHAnsi"/>
          <w:i/>
          <w:lang w:eastAsia="cs-CZ"/>
        </w:rPr>
        <w:t xml:space="preserve"> úvěru</w:t>
      </w:r>
      <w:r w:rsidR="00695FB6">
        <w:rPr>
          <w:rFonts w:eastAsia="Times New Roman" w:cstheme="minorHAnsi"/>
          <w:lang w:eastAsia="cs-CZ"/>
        </w:rPr>
        <w:t>[online]</w:t>
      </w:r>
      <w:r w:rsidR="006C7A38">
        <w:rPr>
          <w:rFonts w:eastAsia="Times New Roman" w:cstheme="minorHAnsi"/>
          <w:lang w:eastAsia="cs-CZ"/>
        </w:rPr>
        <w:t xml:space="preserve">. [cit. </w:t>
      </w:r>
      <w:proofErr w:type="gramStart"/>
      <w:r w:rsidR="006C7A38">
        <w:rPr>
          <w:rFonts w:eastAsia="Times New Roman" w:cstheme="minorHAnsi"/>
          <w:lang w:eastAsia="cs-CZ"/>
        </w:rPr>
        <w:t>10.3.2019</w:t>
      </w:r>
      <w:proofErr w:type="gramEnd"/>
      <w:r w:rsidR="006C7A38">
        <w:rPr>
          <w:rFonts w:eastAsia="Times New Roman" w:cstheme="minorHAnsi"/>
          <w:lang w:eastAsia="cs-CZ"/>
        </w:rPr>
        <w:t xml:space="preserve">]. Dostupný </w:t>
      </w:r>
      <w:proofErr w:type="gramStart"/>
      <w:r w:rsidR="006C7A38">
        <w:rPr>
          <w:rFonts w:eastAsia="Times New Roman" w:cstheme="minorHAnsi"/>
          <w:lang w:eastAsia="cs-CZ"/>
        </w:rPr>
        <w:t>na</w:t>
      </w:r>
      <w:proofErr w:type="gramEnd"/>
      <w:r w:rsidR="006C7A38">
        <w:rPr>
          <w:rFonts w:eastAsia="Times New Roman" w:cstheme="minorHAnsi"/>
          <w:lang w:eastAsia="cs-CZ"/>
        </w:rPr>
        <w:t xml:space="preserve">: </w:t>
      </w:r>
      <w:r w:rsidR="00695FB6" w:rsidRPr="00695FB6">
        <w:rPr>
          <w:rFonts w:eastAsia="Times New Roman" w:cstheme="minorHAnsi"/>
          <w:lang w:eastAsia="cs-CZ"/>
        </w:rPr>
        <w:t>http://www.mesec.cz/bydleni/stavebni-sporeni/pruvodce/faze-uveru</w:t>
      </w:r>
      <w:r w:rsidR="0035371C">
        <w:rPr>
          <w:rFonts w:eastAsia="Times New Roman" w:cstheme="minorHAnsi"/>
          <w:lang w:eastAsia="cs-CZ"/>
        </w:rPr>
        <w:t xml:space="preserve"> </w:t>
      </w:r>
    </w:p>
    <w:p w:rsidR="0035371C" w:rsidRDefault="0035371C" w:rsidP="006C7A3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35371C" w:rsidRDefault="0035371C" w:rsidP="006C7A38">
      <w:pPr>
        <w:shd w:val="clear" w:color="auto" w:fill="FFFFFF"/>
        <w:spacing w:after="0" w:line="240" w:lineRule="auto"/>
        <w:jc w:val="both"/>
        <w:rPr>
          <w:noProof/>
        </w:rPr>
      </w:pPr>
      <w:r>
        <w:rPr>
          <w:rFonts w:eastAsia="Times New Roman" w:cstheme="minorHAnsi"/>
          <w:lang w:eastAsia="cs-CZ"/>
        </w:rPr>
        <w:t>5)</w:t>
      </w:r>
      <w:r w:rsidRPr="0035371C">
        <w:rPr>
          <w:b/>
          <w:bCs/>
          <w:noProof/>
        </w:rPr>
        <w:t xml:space="preserve"> </w:t>
      </w:r>
      <w:r>
        <w:rPr>
          <w:b/>
          <w:bCs/>
          <w:noProof/>
        </w:rPr>
        <w:t>INDROVÁ, Charlotte.</w:t>
      </w:r>
      <w:r>
        <w:rPr>
          <w:noProof/>
        </w:rPr>
        <w:t xml:space="preserve"> Analýza trhu stavebního spoření. </w:t>
      </w:r>
      <w:r>
        <w:rPr>
          <w:i/>
          <w:iCs/>
          <w:noProof/>
        </w:rPr>
        <w:t xml:space="preserve">DocPlayer. </w:t>
      </w:r>
      <w:r>
        <w:rPr>
          <w:noProof/>
        </w:rPr>
        <w:t xml:space="preserve">[Online] [Citace: 05. 03 2019.] </w:t>
      </w:r>
      <w:hyperlink r:id="rId17" w:history="1">
        <w:r w:rsidRPr="00C12672">
          <w:rPr>
            <w:rStyle w:val="Hypertextovodkaz"/>
            <w:noProof/>
          </w:rPr>
          <w:t>https://docplayer.cz/7033715-Analyza-trhu-stavebniho-sporeni.html</w:t>
        </w:r>
      </w:hyperlink>
      <w:r>
        <w:rPr>
          <w:noProof/>
        </w:rPr>
        <w:t>.</w:t>
      </w:r>
    </w:p>
    <w:p w:rsidR="0035371C" w:rsidRDefault="0035371C" w:rsidP="006C7A38">
      <w:pPr>
        <w:shd w:val="clear" w:color="auto" w:fill="FFFFFF"/>
        <w:spacing w:after="0" w:line="240" w:lineRule="auto"/>
        <w:jc w:val="both"/>
        <w:rPr>
          <w:noProof/>
        </w:rPr>
      </w:pPr>
    </w:p>
    <w:p w:rsidR="0035371C" w:rsidRPr="0035371C" w:rsidRDefault="0035371C" w:rsidP="006C7A3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noProof/>
        </w:rPr>
        <w:t xml:space="preserve">6) </w:t>
      </w:r>
      <w:r w:rsidRPr="0035371C">
        <w:rPr>
          <w:b/>
          <w:noProof/>
        </w:rPr>
        <w:t>Penzijní spoření</w:t>
      </w:r>
      <w:r>
        <w:rPr>
          <w:noProof/>
        </w:rPr>
        <w:t xml:space="preserve"> . </w:t>
      </w:r>
      <w:r>
        <w:rPr>
          <w:i/>
          <w:iCs/>
          <w:noProof/>
        </w:rPr>
        <w:t xml:space="preserve">Finexpert. </w:t>
      </w:r>
      <w:r>
        <w:rPr>
          <w:noProof/>
        </w:rPr>
        <w:t xml:space="preserve">[Online] CZECH NEWS CENTER a.s. [Citace: 10. 03 2019.] </w:t>
      </w:r>
      <w:hyperlink r:id="rId18" w:anchor="part=2" w:history="1">
        <w:r w:rsidRPr="00C12672">
          <w:rPr>
            <w:rStyle w:val="Hypertextovodkaz"/>
            <w:noProof/>
          </w:rPr>
          <w:t>https://finexpert.e15.cz/penzijni-sporeni-vse-co-potrebujete-vedet#part=2</w:t>
        </w:r>
      </w:hyperlink>
      <w:r>
        <w:rPr>
          <w:noProof/>
        </w:rPr>
        <w:t xml:space="preserve"> </w:t>
      </w:r>
    </w:p>
    <w:p w:rsidR="007C44ED" w:rsidRPr="0035371C" w:rsidRDefault="007C44ED" w:rsidP="006C7A38">
      <w:pPr>
        <w:pStyle w:val="Nadpis1"/>
        <w:jc w:val="both"/>
      </w:pPr>
      <w:bookmarkStart w:id="0" w:name="_GoBack"/>
      <w:bookmarkEnd w:id="0"/>
    </w:p>
    <w:sectPr w:rsidR="007C44ED" w:rsidRPr="0035371C" w:rsidSect="00695FB6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7C9"/>
    <w:multiLevelType w:val="multilevel"/>
    <w:tmpl w:val="299A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E3E52"/>
    <w:multiLevelType w:val="multilevel"/>
    <w:tmpl w:val="3384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B4D00"/>
    <w:multiLevelType w:val="multilevel"/>
    <w:tmpl w:val="9256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C473D"/>
    <w:multiLevelType w:val="multilevel"/>
    <w:tmpl w:val="710C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06D74"/>
    <w:multiLevelType w:val="hybridMultilevel"/>
    <w:tmpl w:val="A24E3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232DC"/>
    <w:multiLevelType w:val="multilevel"/>
    <w:tmpl w:val="B8AA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975AFD"/>
    <w:multiLevelType w:val="multilevel"/>
    <w:tmpl w:val="B0D0A0A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CC66BD"/>
    <w:multiLevelType w:val="hybridMultilevel"/>
    <w:tmpl w:val="D8E67A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35C2E"/>
    <w:multiLevelType w:val="multilevel"/>
    <w:tmpl w:val="28B4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7D3B03"/>
    <w:multiLevelType w:val="multilevel"/>
    <w:tmpl w:val="49F6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59"/>
    <w:rsid w:val="00096CA8"/>
    <w:rsid w:val="000E3C16"/>
    <w:rsid w:val="00334857"/>
    <w:rsid w:val="0035371C"/>
    <w:rsid w:val="003E1BBC"/>
    <w:rsid w:val="00433E59"/>
    <w:rsid w:val="00507D76"/>
    <w:rsid w:val="0059248D"/>
    <w:rsid w:val="0060735E"/>
    <w:rsid w:val="00621D0C"/>
    <w:rsid w:val="00695FB6"/>
    <w:rsid w:val="006A0229"/>
    <w:rsid w:val="006C7A38"/>
    <w:rsid w:val="006E4526"/>
    <w:rsid w:val="00753C4D"/>
    <w:rsid w:val="007C44ED"/>
    <w:rsid w:val="00847460"/>
    <w:rsid w:val="008B766D"/>
    <w:rsid w:val="009F2C65"/>
    <w:rsid w:val="00A03EA9"/>
    <w:rsid w:val="00A22446"/>
    <w:rsid w:val="00AB3675"/>
    <w:rsid w:val="00B17445"/>
    <w:rsid w:val="00BA6E3E"/>
    <w:rsid w:val="00C71218"/>
    <w:rsid w:val="00CE70E6"/>
    <w:rsid w:val="00D13756"/>
    <w:rsid w:val="00D30867"/>
    <w:rsid w:val="00D8183F"/>
    <w:rsid w:val="00DB7D47"/>
    <w:rsid w:val="00E0269D"/>
    <w:rsid w:val="00F0208F"/>
    <w:rsid w:val="00FA740C"/>
    <w:rsid w:val="00FB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37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433E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3E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3E5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433E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433E59"/>
  </w:style>
  <w:style w:type="character" w:customStyle="1" w:styleId="Nadpis3Char">
    <w:name w:val="Nadpis 3 Char"/>
    <w:basedOn w:val="Standardnpsmoodstavce"/>
    <w:link w:val="Nadpis3"/>
    <w:uiPriority w:val="9"/>
    <w:semiHidden/>
    <w:rsid w:val="00433E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43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433E59"/>
    <w:rPr>
      <w:i/>
      <w:iCs/>
    </w:rPr>
  </w:style>
  <w:style w:type="paragraph" w:styleId="Odstavecseseznamem">
    <w:name w:val="List Paragraph"/>
    <w:basedOn w:val="Normln"/>
    <w:uiPriority w:val="34"/>
    <w:qFormat/>
    <w:rsid w:val="00A03EA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A0229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22446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71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53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ibliografie">
    <w:name w:val="Bibliography"/>
    <w:basedOn w:val="Normln"/>
    <w:next w:val="Normln"/>
    <w:uiPriority w:val="37"/>
    <w:unhideWhenUsed/>
    <w:rsid w:val="00353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37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433E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3E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3E5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433E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433E59"/>
  </w:style>
  <w:style w:type="character" w:customStyle="1" w:styleId="Nadpis3Char">
    <w:name w:val="Nadpis 3 Char"/>
    <w:basedOn w:val="Standardnpsmoodstavce"/>
    <w:link w:val="Nadpis3"/>
    <w:uiPriority w:val="9"/>
    <w:semiHidden/>
    <w:rsid w:val="00433E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43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433E59"/>
    <w:rPr>
      <w:i/>
      <w:iCs/>
    </w:rPr>
  </w:style>
  <w:style w:type="paragraph" w:styleId="Odstavecseseznamem">
    <w:name w:val="List Paragraph"/>
    <w:basedOn w:val="Normln"/>
    <w:uiPriority w:val="34"/>
    <w:qFormat/>
    <w:rsid w:val="00A03EA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A0229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22446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71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53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ibliografie">
    <w:name w:val="Bibliography"/>
    <w:basedOn w:val="Normln"/>
    <w:next w:val="Normln"/>
    <w:uiPriority w:val="37"/>
    <w:unhideWhenUsed/>
    <w:rsid w:val="00353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Banka" TargetMode="External"/><Relationship Id="rId13" Type="http://schemas.openxmlformats.org/officeDocument/2006/relationships/hyperlink" Target="https://cs.wikipedia.org/wiki/%C3%9Arok" TargetMode="External"/><Relationship Id="rId18" Type="http://schemas.openxmlformats.org/officeDocument/2006/relationships/hyperlink" Target="https://finexpert.e15.cz/penzijni-sporeni-vse-co-potrebujete-vedet" TargetMode="External"/><Relationship Id="rId3" Type="http://schemas.openxmlformats.org/officeDocument/2006/relationships/styles" Target="styles.xml"/><Relationship Id="rId7" Type="http://schemas.openxmlformats.org/officeDocument/2006/relationships/hyperlink" Target="https://cs.wikipedia.org/wiki/%C3%9A%C4%8Det" TargetMode="External"/><Relationship Id="rId12" Type="http://schemas.openxmlformats.org/officeDocument/2006/relationships/hyperlink" Target="https://cs.wikipedia.org/wiki/Term%C3%ADnovan%C3%BD_vklad" TargetMode="External"/><Relationship Id="rId17" Type="http://schemas.openxmlformats.org/officeDocument/2006/relationships/hyperlink" Target="https://docplayer.cz/7033715-Analyza-trhu-stavebniho-sporen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css.cz/cz/stavebni-sporeni/jak-funguj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.wikipedia.org/wiki/%C3%9Aro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s.wikipedia.org/wiki/Not%C3%A1%C5%99sk%C3%A1_%C3%BAschova" TargetMode="External"/><Relationship Id="rId10" Type="http://schemas.openxmlformats.org/officeDocument/2006/relationships/hyperlink" Target="https://cs.wikipedia.org/wiki/Spo%C5%99ic%C3%AD_%C3%BA%C4%8De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s.wikipedia.org/wiki/B%C4%9B%C5%BEn%C3%BD_%C3%BA%C4%8Det" TargetMode="External"/><Relationship Id="rId14" Type="http://schemas.openxmlformats.org/officeDocument/2006/relationships/hyperlink" Target="https://cs.wikipedia.org/wiki/%C3%9Av%C4%9Br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Cha19</b:Tag>
    <b:SourceType>DocumentFromInternetSite</b:SourceType>
    <b:Guid>{FE15A765-5E68-4EF3-8EB4-CC25C9BD15AB}</b:Guid>
    <b:Author>
      <b:Author>
        <b:NameList>
          <b:Person>
            <b:Last>Indrová</b:Last>
            <b:First>Charlotte</b:First>
          </b:Person>
        </b:NameList>
      </b:Author>
    </b:Author>
    <b:Title>Analýza trhu stavebního spoření</b:Title>
    <b:InternetSiteTitle>DocPlayer</b:InternetSiteTitle>
    <b:YearAccessed>2019</b:YearAccessed>
    <b:MonthAccessed>03</b:MonthAccessed>
    <b:DayAccessed>05</b:DayAccessed>
    <b:URL>https://docplayer.cz/7033715-Analyza-trhu-stavebniho-sporeni.html</b:URL>
    <b:RefOrder>2</b:RefOrder>
  </b:Source>
  <b:Source>
    <b:Tag>Pen191</b:Tag>
    <b:SourceType>InternetSite</b:SourceType>
    <b:Guid>{F0667F61-8FF8-41F0-8841-2AFE44CCE026}</b:Guid>
    <b:Title>Penzijní spoření </b:Title>
    <b:InternetSiteTitle>Finexpert</b:InternetSiteTitle>
    <b:ProductionCompany>CZECH NEWS CENTER a.s.</b:ProductionCompany>
    <b:YearAccessed>2019</b:YearAccessed>
    <b:MonthAccessed>03</b:MonthAccessed>
    <b:DayAccessed>10</b:DayAccessed>
    <b:URL>https://finexpert.e15.cz/penzijni-sporeni-vse-co-potrebujete-vedet#part=2</b:URL>
    <b:RefOrder>1</b:RefOrder>
  </b:Source>
</b:Sources>
</file>

<file path=customXml/itemProps1.xml><?xml version="1.0" encoding="utf-8"?>
<ds:datastoreItem xmlns:ds="http://schemas.openxmlformats.org/officeDocument/2006/customXml" ds:itemID="{105623CC-534F-40B5-B8CC-3E2BC6D3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1874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Peťa</dc:creator>
  <cp:lastModifiedBy>Peťa</cp:lastModifiedBy>
  <cp:revision>2</cp:revision>
  <dcterms:created xsi:type="dcterms:W3CDTF">2019-03-24T12:50:00Z</dcterms:created>
  <dcterms:modified xsi:type="dcterms:W3CDTF">2019-03-24T12:50:00Z</dcterms:modified>
</cp:coreProperties>
</file>