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60" w:rsidRPr="0088333F" w:rsidRDefault="00645A60" w:rsidP="00645A60">
      <w:pPr>
        <w:pStyle w:val="Normlnweb"/>
        <w:spacing w:before="200" w:beforeAutospacing="0" w:after="0" w:afterAutospacing="0" w:line="216" w:lineRule="auto"/>
        <w:jc w:val="center"/>
        <w:rPr>
          <w:sz w:val="36"/>
          <w:szCs w:val="36"/>
        </w:rPr>
      </w:pPr>
      <w:proofErr w:type="gramStart"/>
      <w:r w:rsidRPr="0088333F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1.část</w:t>
      </w:r>
      <w:proofErr w:type="gramEnd"/>
    </w:p>
    <w:p w:rsidR="0088333F" w:rsidRDefault="00645A60" w:rsidP="00645A60">
      <w:pPr>
        <w:pStyle w:val="Normlnweb"/>
        <w:spacing w:before="200" w:beforeAutospacing="0" w:after="0" w:afterAutospacing="0" w:line="216" w:lineRule="auto"/>
        <w:jc w:val="center"/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</w:pPr>
      <w:r w:rsidRPr="0088333F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Český jazyk a literatura v kontextu kurikula.</w:t>
      </w:r>
    </w:p>
    <w:p w:rsidR="00645A60" w:rsidRPr="0088333F" w:rsidRDefault="00645A60" w:rsidP="00645A60">
      <w:pPr>
        <w:pStyle w:val="Normlnweb"/>
        <w:spacing w:before="200" w:beforeAutospacing="0" w:after="0" w:afterAutospacing="0" w:line="216" w:lineRule="auto"/>
        <w:jc w:val="center"/>
        <w:rPr>
          <w:sz w:val="36"/>
          <w:szCs w:val="36"/>
        </w:rPr>
      </w:pPr>
      <w:r w:rsidRPr="0088333F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 xml:space="preserve"> </w:t>
      </w:r>
    </w:p>
    <w:p w:rsidR="00645A60" w:rsidRPr="00645A60" w:rsidRDefault="00645A60" w:rsidP="00645A60">
      <w:pPr>
        <w:rPr>
          <w:rFonts w:ascii="Arial" w:hAnsi="Arial" w:cs="Arial"/>
          <w:sz w:val="24"/>
          <w:szCs w:val="24"/>
        </w:rPr>
      </w:pPr>
      <w:r w:rsidRPr="00645A60">
        <w:rPr>
          <w:rFonts w:ascii="Arial" w:hAnsi="Arial" w:cs="Arial"/>
          <w:sz w:val="24"/>
          <w:szCs w:val="24"/>
        </w:rPr>
        <w:t>Rámcový vzdělávací program pro základní vzdělávání.  Vzdělávací obory předmětu český jazyk a jeho postavení v edukaci žáků.</w:t>
      </w:r>
    </w:p>
    <w:p w:rsidR="00645A60" w:rsidRPr="00645A60" w:rsidRDefault="00645A60" w:rsidP="00645A60">
      <w:pPr>
        <w:rPr>
          <w:rFonts w:ascii="Arial" w:hAnsi="Arial" w:cs="Arial"/>
          <w:b/>
          <w:sz w:val="24"/>
          <w:szCs w:val="24"/>
        </w:rPr>
      </w:pPr>
      <w:r w:rsidRPr="0088333F">
        <w:rPr>
          <w:rFonts w:ascii="Arial" w:hAnsi="Arial" w:cs="Arial"/>
          <w:b/>
          <w:sz w:val="24"/>
          <w:szCs w:val="24"/>
        </w:rPr>
        <w:t>Osnova:</w:t>
      </w:r>
    </w:p>
    <w:p w:rsidR="00645A60" w:rsidRPr="00645A60" w:rsidRDefault="00645A60" w:rsidP="00645A60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645A60">
        <w:rPr>
          <w:rFonts w:ascii="Arial" w:hAnsi="Arial" w:cs="Arial"/>
          <w:sz w:val="24"/>
          <w:szCs w:val="24"/>
        </w:rPr>
        <w:t>orientace v termínech z</w:t>
      </w:r>
      <w:r w:rsidRPr="00645A60">
        <w:rPr>
          <w:rFonts w:ascii="Arial" w:hAnsi="Arial" w:cs="Arial"/>
          <w:sz w:val="24"/>
          <w:szCs w:val="24"/>
        </w:rPr>
        <w:t> </w:t>
      </w:r>
      <w:r w:rsidRPr="00645A60">
        <w:rPr>
          <w:rFonts w:ascii="Arial" w:hAnsi="Arial" w:cs="Arial"/>
          <w:sz w:val="24"/>
          <w:szCs w:val="24"/>
        </w:rPr>
        <w:t>RVP</w:t>
      </w:r>
      <w:r w:rsidRPr="00645A60">
        <w:rPr>
          <w:rFonts w:ascii="Arial" w:hAnsi="Arial" w:cs="Arial"/>
          <w:sz w:val="24"/>
          <w:szCs w:val="24"/>
        </w:rPr>
        <w:t xml:space="preserve"> ZV</w:t>
      </w:r>
    </w:p>
    <w:p w:rsidR="00645A60" w:rsidRPr="00645A60" w:rsidRDefault="00645A60" w:rsidP="00645A60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645A60">
        <w:rPr>
          <w:rFonts w:ascii="Arial" w:hAnsi="Arial" w:cs="Arial"/>
          <w:sz w:val="24"/>
          <w:szCs w:val="24"/>
        </w:rPr>
        <w:t xml:space="preserve">RVP ZV se zaměřením na oblast – český jazyk, </w:t>
      </w:r>
      <w:r w:rsidRPr="00645A60">
        <w:rPr>
          <w:rFonts w:ascii="Arial" w:hAnsi="Arial" w:cs="Arial"/>
          <w:sz w:val="24"/>
          <w:szCs w:val="24"/>
        </w:rPr>
        <w:t xml:space="preserve">minimální </w:t>
      </w:r>
      <w:r>
        <w:rPr>
          <w:rFonts w:ascii="Arial" w:hAnsi="Arial" w:cs="Arial"/>
          <w:sz w:val="24"/>
          <w:szCs w:val="24"/>
        </w:rPr>
        <w:t>doporučená úroveň pro úpravy očekávaných výstupů v rámci podpůrných opatření</w:t>
      </w:r>
    </w:p>
    <w:p w:rsidR="00645A60" w:rsidRPr="00645A60" w:rsidRDefault="00645A60" w:rsidP="00BF52DA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645A60">
        <w:rPr>
          <w:rFonts w:ascii="Arial" w:hAnsi="Arial" w:cs="Arial"/>
          <w:sz w:val="24"/>
          <w:szCs w:val="24"/>
        </w:rPr>
        <w:t xml:space="preserve">ŠVP </w:t>
      </w:r>
    </w:p>
    <w:p w:rsidR="00645A60" w:rsidRDefault="00645A60" w:rsidP="00645A60">
      <w:pPr>
        <w:rPr>
          <w:rFonts w:ascii="Arial" w:hAnsi="Arial" w:cs="Arial"/>
          <w:sz w:val="24"/>
          <w:szCs w:val="24"/>
        </w:rPr>
      </w:pPr>
    </w:p>
    <w:p w:rsidR="00645A60" w:rsidRPr="00645A60" w:rsidRDefault="00645A60" w:rsidP="00645A60">
      <w:pPr>
        <w:rPr>
          <w:rFonts w:ascii="Arial" w:hAnsi="Arial" w:cs="Arial"/>
          <w:sz w:val="24"/>
          <w:szCs w:val="24"/>
        </w:rPr>
      </w:pPr>
      <w:r w:rsidRPr="00645A60">
        <w:rPr>
          <w:rFonts w:ascii="Arial" w:hAnsi="Arial" w:cs="Arial"/>
          <w:b/>
          <w:sz w:val="24"/>
          <w:szCs w:val="24"/>
        </w:rPr>
        <w:t>Pomůcky</w:t>
      </w:r>
      <w:r w:rsidRPr="00645A6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645A60">
        <w:rPr>
          <w:rFonts w:ascii="Arial" w:hAnsi="Arial" w:cs="Arial"/>
          <w:sz w:val="24"/>
          <w:szCs w:val="24"/>
        </w:rPr>
        <w:t>RVP ZV</w:t>
      </w:r>
    </w:p>
    <w:p w:rsidR="00645A60" w:rsidRPr="0088333F" w:rsidRDefault="00645A60" w:rsidP="00645A60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88333F">
        <w:rPr>
          <w:rFonts w:ascii="Arial" w:eastAsiaTheme="minorEastAsia" w:hAnsi="Arial" w:cs="Arial"/>
          <w:bCs/>
          <w:kern w:val="24"/>
        </w:rPr>
        <w:t>Zákon č. 561/2004 Sb. o předškolním, základním, středním a vyšším odborném vzdělávání, ve znění pozdějších předpisů (školský zákon)</w:t>
      </w:r>
    </w:p>
    <w:p w:rsidR="00645A60" w:rsidRPr="0088333F" w:rsidRDefault="00645A60" w:rsidP="00645A60">
      <w:pPr>
        <w:pStyle w:val="Normlnweb"/>
        <w:spacing w:before="200" w:beforeAutospacing="0" w:after="0" w:afterAutospacing="0" w:line="216" w:lineRule="auto"/>
        <w:ind w:left="360" w:hanging="360"/>
        <w:rPr>
          <w:rFonts w:ascii="Arial" w:hAnsi="Arial" w:cs="Arial"/>
        </w:rPr>
      </w:pPr>
      <w:r w:rsidRPr="0088333F">
        <w:rPr>
          <w:rFonts w:ascii="Arial" w:eastAsiaTheme="minorEastAsia" w:hAnsi="Arial" w:cs="Arial"/>
          <w:bCs/>
          <w:kern w:val="24"/>
        </w:rPr>
        <w:t>Rámcový vzdělávací program pro základní vzdělávání</w:t>
      </w:r>
    </w:p>
    <w:p w:rsidR="00645A60" w:rsidRDefault="00645A60" w:rsidP="00645A60">
      <w:pPr>
        <w:rPr>
          <w:rFonts w:ascii="Arial" w:hAnsi="Arial" w:cs="Arial"/>
          <w:sz w:val="24"/>
          <w:szCs w:val="24"/>
        </w:rPr>
      </w:pPr>
    </w:p>
    <w:p w:rsidR="00645A60" w:rsidRPr="00645A60" w:rsidRDefault="00645A60" w:rsidP="00645A60">
      <w:pPr>
        <w:rPr>
          <w:rFonts w:ascii="Arial" w:hAnsi="Arial" w:cs="Arial"/>
          <w:sz w:val="24"/>
          <w:szCs w:val="24"/>
          <w:u w:val="single"/>
        </w:rPr>
      </w:pPr>
      <w:hyperlink r:id="rId5" w:history="1">
        <w:r w:rsidRPr="00645A60">
          <w:rPr>
            <w:rFonts w:ascii="Arial" w:hAnsi="Arial" w:cs="Arial"/>
            <w:sz w:val="24"/>
            <w:szCs w:val="24"/>
            <w:u w:val="single"/>
          </w:rPr>
          <w:t>https://digifolio.rvp.cz/view/view.php?id=6433</w:t>
        </w:r>
      </w:hyperlink>
    </w:p>
    <w:p w:rsidR="00645A60" w:rsidRPr="00645A60" w:rsidRDefault="00645A60" w:rsidP="00645A60">
      <w:pPr>
        <w:rPr>
          <w:rFonts w:ascii="Arial" w:hAnsi="Arial" w:cs="Arial"/>
          <w:sz w:val="24"/>
          <w:szCs w:val="24"/>
          <w:u w:val="single"/>
        </w:rPr>
      </w:pPr>
      <w:hyperlink r:id="rId6" w:history="1">
        <w:r w:rsidRPr="00645A60">
          <w:rPr>
            <w:rFonts w:ascii="Arial" w:hAnsi="Arial" w:cs="Arial"/>
            <w:sz w:val="24"/>
            <w:szCs w:val="24"/>
            <w:u w:val="single"/>
          </w:rPr>
          <w:t>http://www.nuv.cz/t/rvp</w:t>
        </w:r>
      </w:hyperlink>
    </w:p>
    <w:p w:rsidR="00645A60" w:rsidRPr="00645A60" w:rsidRDefault="00645A60" w:rsidP="00645A60">
      <w:pPr>
        <w:rPr>
          <w:rFonts w:ascii="Arial" w:hAnsi="Arial" w:cs="Arial"/>
          <w:sz w:val="24"/>
          <w:szCs w:val="24"/>
          <w:u w:val="single"/>
        </w:rPr>
      </w:pPr>
      <w:hyperlink r:id="rId7" w:history="1">
        <w:r w:rsidRPr="00645A60">
          <w:rPr>
            <w:rFonts w:ascii="Arial" w:hAnsi="Arial" w:cs="Arial"/>
            <w:sz w:val="24"/>
            <w:szCs w:val="24"/>
            <w:u w:val="single"/>
          </w:rPr>
          <w:t>https://rvp.cz/</w:t>
        </w:r>
      </w:hyperlink>
    </w:p>
    <w:p w:rsidR="00645A60" w:rsidRPr="00645A60" w:rsidRDefault="00645A60" w:rsidP="00645A60">
      <w:pPr>
        <w:rPr>
          <w:rFonts w:ascii="Arial" w:hAnsi="Arial" w:cs="Arial"/>
          <w:sz w:val="24"/>
          <w:szCs w:val="24"/>
        </w:rPr>
      </w:pPr>
    </w:p>
    <w:p w:rsidR="0088333F" w:rsidRPr="0088333F" w:rsidRDefault="0088333F" w:rsidP="0088333F">
      <w:pPr>
        <w:rPr>
          <w:rFonts w:ascii="Arial" w:hAnsi="Arial" w:cs="Arial"/>
          <w:b/>
          <w:sz w:val="24"/>
          <w:szCs w:val="24"/>
        </w:rPr>
      </w:pPr>
      <w:r w:rsidRPr="0088333F">
        <w:rPr>
          <w:rFonts w:ascii="Arial" w:hAnsi="Arial" w:cs="Arial"/>
          <w:b/>
          <w:sz w:val="24"/>
          <w:szCs w:val="24"/>
        </w:rPr>
        <w:t>Úkol:</w:t>
      </w:r>
    </w:p>
    <w:p w:rsidR="0088333F" w:rsidRPr="0088333F" w:rsidRDefault="0088333F" w:rsidP="0088333F">
      <w:pPr>
        <w:spacing w:before="200" w:after="0" w:line="216" w:lineRule="auto"/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u w:val="single"/>
          <w:lang w:eastAsia="cs-CZ"/>
        </w:rPr>
      </w:pP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u w:val="single"/>
          <w:lang w:eastAsia="cs-CZ"/>
        </w:rPr>
        <w:t>Vyberte si jeden výstup prvního období a rozdělte do školních výstupů, navrhněte učivo:</w:t>
      </w:r>
    </w:p>
    <w:p w:rsidR="0088333F" w:rsidRPr="0088333F" w:rsidRDefault="0088333F" w:rsidP="0088333F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B7B41" w:rsidRPr="0088333F" w:rsidRDefault="003F4ED4" w:rsidP="0088333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>ČJL-3-1-01</w:t>
      </w: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ab/>
        <w:t xml:space="preserve">plynule čte s porozuměním texty přiměřeného rozsahu </w:t>
      </w: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>a náročnosti</w:t>
      </w:r>
    </w:p>
    <w:p w:rsidR="003B7B41" w:rsidRPr="0088333F" w:rsidRDefault="003F4ED4" w:rsidP="0088333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 xml:space="preserve">ČJL-3-1-02 </w:t>
      </w: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ab/>
        <w:t>porozumí písemným nebo mluveným pokynům přiměřené složitosti</w:t>
      </w:r>
    </w:p>
    <w:p w:rsidR="003B7B41" w:rsidRPr="0088333F" w:rsidRDefault="003F4ED4" w:rsidP="0088333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 xml:space="preserve">ČJL-3-1-03 </w:t>
      </w: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ab/>
        <w:t>respektuje zák</w:t>
      </w: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 xml:space="preserve">ladní komunikační pravidla v rozhovoru </w:t>
      </w:r>
    </w:p>
    <w:p w:rsidR="003B7B41" w:rsidRPr="0088333F" w:rsidRDefault="003F4ED4" w:rsidP="0088333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 xml:space="preserve">ČJL-3-1-04 </w:t>
      </w: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ab/>
        <w:t>pečlivě vyslovuje, opravuje svou nesprávnou nebo nedbalou výslovnost</w:t>
      </w:r>
    </w:p>
    <w:p w:rsidR="003B7B41" w:rsidRPr="0088333F" w:rsidRDefault="003F4ED4" w:rsidP="0088333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 xml:space="preserve">ČJL-3-1-05 </w:t>
      </w: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ab/>
        <w:t>v krátkých mluvených projevech správně dýchá a volí vhodné tempo řeči</w:t>
      </w:r>
    </w:p>
    <w:p w:rsidR="003B7B41" w:rsidRPr="0088333F" w:rsidRDefault="003F4ED4" w:rsidP="0088333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 xml:space="preserve">ČJL-3-1-06 </w:t>
      </w: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ab/>
        <w:t>volí vhodné verbální i nonverbální prostředky řeči v běžných školních i </w:t>
      </w: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>mimoškolních situacích</w:t>
      </w:r>
    </w:p>
    <w:p w:rsidR="003B7B41" w:rsidRPr="0088333F" w:rsidRDefault="003F4ED4" w:rsidP="0088333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 xml:space="preserve">ČJL-3-1-07 </w:t>
      </w: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ab/>
        <w:t>na základě vlastních zážitků tvoří krátký mluvený projev</w:t>
      </w:r>
    </w:p>
    <w:p w:rsidR="003B7B41" w:rsidRPr="0088333F" w:rsidRDefault="003F4ED4" w:rsidP="0088333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 xml:space="preserve">ČJL-3-1-08 </w:t>
      </w: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ab/>
      </w: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>zvládá základní hygienické návyky spojené se psaním</w:t>
      </w:r>
    </w:p>
    <w:p w:rsidR="003B7B41" w:rsidRPr="0088333F" w:rsidRDefault="003F4ED4" w:rsidP="0088333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 xml:space="preserve">ČJL-3-1-09 </w:t>
      </w: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ab/>
        <w:t>píše správné tvary písmen a číslic, správně spojuje písmena i slabiky; kontroluje vlastní písemný projev</w:t>
      </w:r>
    </w:p>
    <w:p w:rsidR="003B7B41" w:rsidRPr="0088333F" w:rsidRDefault="003F4ED4" w:rsidP="0088333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>ČJL-3-1-10</w:t>
      </w: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ab/>
        <w:t>píše věcně i formálně správně jednoduchá sdělení</w:t>
      </w:r>
    </w:p>
    <w:p w:rsidR="003B7B41" w:rsidRPr="0088333F" w:rsidRDefault="003F4ED4" w:rsidP="0088333F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>ČJL-3-1-11</w:t>
      </w: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ab/>
        <w:t>seřadí ilustrace podle dějové posloupnosti a vypráví pod</w:t>
      </w:r>
      <w:r w:rsidRPr="0088333F">
        <w:rPr>
          <w:rFonts w:ascii="Arial" w:eastAsiaTheme="minorEastAsia" w:hAnsi="Arial" w:cs="Arial"/>
          <w:bCs/>
          <w:iCs/>
          <w:color w:val="000000" w:themeColor="text1"/>
          <w:kern w:val="24"/>
          <w:sz w:val="24"/>
          <w:szCs w:val="24"/>
          <w:lang w:eastAsia="cs-CZ"/>
        </w:rPr>
        <w:t>le nich jednoduchý příběh</w:t>
      </w:r>
    </w:p>
    <w:p w:rsidR="00645A60" w:rsidRDefault="00645A60">
      <w:pPr>
        <w:rPr>
          <w:sz w:val="24"/>
          <w:szCs w:val="24"/>
        </w:rPr>
      </w:pPr>
    </w:p>
    <w:p w:rsidR="003F4ED4" w:rsidRPr="003F4ED4" w:rsidRDefault="003F4ED4" w:rsidP="003F4ED4">
      <w:pPr>
        <w:spacing w:after="0" w:line="216" w:lineRule="auto"/>
        <w:contextualSpacing/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</w:pPr>
      <w:r w:rsidRPr="003F4ED4"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  <w:lastRenderedPageBreak/>
        <w:t>Studijní materiál</w:t>
      </w:r>
    </w:p>
    <w:p w:rsidR="003F4ED4" w:rsidRDefault="003F4ED4" w:rsidP="003F4ED4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</w:p>
    <w:p w:rsidR="003F4ED4" w:rsidRDefault="003F4ED4" w:rsidP="003F4ED4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</w:p>
    <w:p w:rsidR="003F4ED4" w:rsidRPr="003F4ED4" w:rsidRDefault="003F4ED4" w:rsidP="003F4ED4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4ED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  <w:t xml:space="preserve">Učivo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- </w:t>
      </w:r>
      <w:r w:rsidRPr="003F4ED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Systém poznatků a činností, které si mají žáci osvojit při výuce ve škole při procesu učení.</w:t>
      </w:r>
    </w:p>
    <w:p w:rsidR="003F4ED4" w:rsidRDefault="003F4ED4" w:rsidP="003F4ED4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</w:p>
    <w:p w:rsidR="003F4ED4" w:rsidRDefault="003F4ED4" w:rsidP="003F4ED4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 w:rsidRPr="003F4ED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  <w:t>Očekávaný výstup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- </w:t>
      </w:r>
      <w:r w:rsidRPr="003F4ED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Požadavky na žáka v RVP ZV v 5. a 9. ročníku, jak má zvládat probrané učivo.</w:t>
      </w:r>
      <w:r w:rsidRPr="003F4ED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br/>
      </w:r>
    </w:p>
    <w:p w:rsidR="003F4ED4" w:rsidRPr="003F4ED4" w:rsidRDefault="003F4ED4" w:rsidP="003F4ED4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4ED4" w:rsidRPr="003F4ED4" w:rsidRDefault="003F4ED4" w:rsidP="003F4ED4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  <w:t>Š</w:t>
      </w:r>
      <w:r w:rsidRPr="003F4ED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  <w:t>kolní výstup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- </w:t>
      </w:r>
      <w:r w:rsidRPr="003F4ED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Požadavky na žáka z RVP ZV jak má zvládat probrané učivo zapracované do školního vzdělávacího programu.</w:t>
      </w:r>
      <w:r w:rsidRPr="003F4ED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br/>
      </w:r>
    </w:p>
    <w:p w:rsidR="003F4ED4" w:rsidRDefault="003F4ED4" w:rsidP="003F4ED4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</w:p>
    <w:p w:rsidR="003F4ED4" w:rsidRPr="003F4ED4" w:rsidRDefault="003F4ED4" w:rsidP="003F4ED4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4ED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  <w:t>Minimální doporučená úroveň pro úpravy očekávaných výstupů v rámci podpůrných opatření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-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u</w:t>
      </w:r>
      <w:r w:rsidRPr="003F4ED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pravené očekávané výstupy (v RVP ZV od roku 2016) určené pro žáky s mentálním postižením; jsou obvykle na nižší úrovni než odpovídající očekávané výstupy daného vzděláv</w:t>
      </w:r>
      <w:bookmarkStart w:id="0" w:name="_GoBack"/>
      <w:bookmarkEnd w:id="0"/>
      <w:r w:rsidRPr="003F4ED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acího oboru.</w:t>
      </w:r>
      <w:r w:rsidRPr="003F4ED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br/>
      </w:r>
    </w:p>
    <w:p w:rsidR="003F4ED4" w:rsidRPr="003F4ED4" w:rsidRDefault="003F4ED4" w:rsidP="003F4ED4">
      <w:pPr>
        <w:pStyle w:val="Normlnweb"/>
        <w:spacing w:before="200" w:beforeAutospacing="0" w:after="0" w:afterAutospacing="0" w:line="216" w:lineRule="auto"/>
        <w:rPr>
          <w:u w:val="single"/>
        </w:rPr>
      </w:pPr>
      <w:r w:rsidRPr="003F4ED4">
        <w:rPr>
          <w:rFonts w:ascii="Arial" w:eastAsiaTheme="minorEastAsia" w:hAnsi="Arial" w:cs="Arial"/>
          <w:color w:val="000000" w:themeColor="text1"/>
          <w:kern w:val="24"/>
          <w:u w:val="single"/>
        </w:rPr>
        <w:t>Obsah vzdělávací oblasti Jazyk a jazyková komunikace se realizuje ve vzdělávacích oborech</w:t>
      </w:r>
      <w:r>
        <w:rPr>
          <w:rFonts w:ascii="Arial" w:eastAsiaTheme="minorEastAsia" w:hAnsi="Arial" w:cs="Arial"/>
          <w:color w:val="000000" w:themeColor="text1"/>
          <w:kern w:val="24"/>
          <w:u w:val="single"/>
        </w:rPr>
        <w:t>:</w:t>
      </w:r>
      <w:r w:rsidRPr="003F4ED4">
        <w:rPr>
          <w:rFonts w:ascii="Arial" w:eastAsiaTheme="minorEastAsia" w:hAnsi="Arial" w:cs="Arial"/>
          <w:color w:val="000000" w:themeColor="text1"/>
          <w:kern w:val="24"/>
          <w:u w:val="single"/>
        </w:rPr>
        <w:t xml:space="preserve"> </w:t>
      </w:r>
    </w:p>
    <w:p w:rsidR="003F4ED4" w:rsidRPr="003F4ED4" w:rsidRDefault="003F4ED4" w:rsidP="003F4ED4">
      <w:pPr>
        <w:pStyle w:val="Normlnweb"/>
        <w:spacing w:before="200" w:beforeAutospacing="0" w:after="0" w:afterAutospacing="0" w:line="216" w:lineRule="auto"/>
      </w:pPr>
      <w:r w:rsidRPr="003F4ED4">
        <w:rPr>
          <w:rFonts w:ascii="Arial" w:eastAsiaTheme="minorEastAsia" w:hAnsi="Arial" w:cs="Arial"/>
          <w:bCs/>
          <w:color w:val="000000" w:themeColor="text1"/>
          <w:kern w:val="24"/>
        </w:rPr>
        <w:t xml:space="preserve">Český jazyk a literatura </w:t>
      </w:r>
    </w:p>
    <w:p w:rsidR="003F4ED4" w:rsidRPr="003F4ED4" w:rsidRDefault="003F4ED4" w:rsidP="003F4ED4">
      <w:pPr>
        <w:pStyle w:val="Normlnweb"/>
        <w:spacing w:before="200" w:beforeAutospacing="0" w:after="0" w:afterAutospacing="0" w:line="216" w:lineRule="auto"/>
      </w:pPr>
      <w:r w:rsidRPr="003F4ED4">
        <w:rPr>
          <w:rFonts w:ascii="Arial" w:eastAsiaTheme="minorEastAsia" w:hAnsi="Arial" w:cs="Arial"/>
          <w:bCs/>
          <w:color w:val="000000" w:themeColor="text1"/>
          <w:kern w:val="24"/>
        </w:rPr>
        <w:t xml:space="preserve">Cizí jazyk  </w:t>
      </w:r>
    </w:p>
    <w:p w:rsidR="003F4ED4" w:rsidRPr="003F4ED4" w:rsidRDefault="003F4ED4" w:rsidP="003F4ED4">
      <w:pPr>
        <w:pStyle w:val="Normlnweb"/>
        <w:spacing w:before="200" w:beforeAutospacing="0" w:after="0" w:afterAutospacing="0" w:line="216" w:lineRule="auto"/>
      </w:pPr>
      <w:r w:rsidRPr="003F4ED4">
        <w:rPr>
          <w:rFonts w:ascii="Arial" w:eastAsiaTheme="minorEastAsia" w:hAnsi="Arial" w:cs="Arial"/>
          <w:bCs/>
          <w:color w:val="000000" w:themeColor="text1"/>
          <w:kern w:val="24"/>
        </w:rPr>
        <w:t>Další cizí jazyk</w:t>
      </w:r>
      <w:r w:rsidRPr="003F4ED4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3F4ED4">
        <w:rPr>
          <w:rFonts w:ascii="Arial" w:eastAsiaTheme="minorEastAsia" w:hAnsi="Arial" w:cs="Arial"/>
          <w:color w:val="000000" w:themeColor="text1"/>
          <w:kern w:val="24"/>
        </w:rPr>
        <w:tab/>
      </w:r>
    </w:p>
    <w:p w:rsidR="003F4ED4" w:rsidRPr="003F4ED4" w:rsidRDefault="003F4ED4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</w:p>
    <w:p w:rsidR="003F4ED4" w:rsidRPr="003F4ED4" w:rsidRDefault="003F4ED4">
      <w:pPr>
        <w:rPr>
          <w:sz w:val="24"/>
          <w:szCs w:val="24"/>
        </w:rPr>
      </w:pPr>
      <w:r w:rsidRPr="003F4ED4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br/>
      </w:r>
    </w:p>
    <w:p w:rsidR="003F4ED4" w:rsidRPr="003F4ED4" w:rsidRDefault="003F4ED4">
      <w:pPr>
        <w:rPr>
          <w:sz w:val="24"/>
          <w:szCs w:val="24"/>
        </w:rPr>
      </w:pPr>
    </w:p>
    <w:sectPr w:rsidR="003F4ED4" w:rsidRPr="003F4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03350"/>
    <w:multiLevelType w:val="hybridMultilevel"/>
    <w:tmpl w:val="FCEEBE44"/>
    <w:lvl w:ilvl="0" w:tplc="B37042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B1FE3"/>
    <w:multiLevelType w:val="hybridMultilevel"/>
    <w:tmpl w:val="F12A762E"/>
    <w:lvl w:ilvl="0" w:tplc="29202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06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07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4C6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D08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BE1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0A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00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B6F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794176E"/>
    <w:multiLevelType w:val="hybridMultilevel"/>
    <w:tmpl w:val="F2EE39E8"/>
    <w:lvl w:ilvl="0" w:tplc="C52A9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41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709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4D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125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AF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A26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CE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68E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B533E77"/>
    <w:multiLevelType w:val="hybridMultilevel"/>
    <w:tmpl w:val="D6E8FC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60"/>
    <w:rsid w:val="003F4ED4"/>
    <w:rsid w:val="00645A60"/>
    <w:rsid w:val="006A13C4"/>
    <w:rsid w:val="0088333F"/>
    <w:rsid w:val="00D9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076F7-447A-4B08-998A-64B5A7D6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4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2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5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0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5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vp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v.cz/t/rvp" TargetMode="External"/><Relationship Id="rId5" Type="http://schemas.openxmlformats.org/officeDocument/2006/relationships/hyperlink" Target="https://digifolio.rvp.cz/view/view.php?id=64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Markéta Olbertová</cp:lastModifiedBy>
  <cp:revision>3</cp:revision>
  <dcterms:created xsi:type="dcterms:W3CDTF">2018-08-26T17:59:00Z</dcterms:created>
  <dcterms:modified xsi:type="dcterms:W3CDTF">2018-08-26T18:57:00Z</dcterms:modified>
</cp:coreProperties>
</file>