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8F" w:rsidRDefault="005E2D61">
      <w:pPr>
        <w:rPr>
          <w:rFonts w:ascii="Arial" w:hAnsi="Arial" w:cs="Arial"/>
          <w:sz w:val="24"/>
          <w:szCs w:val="24"/>
        </w:rPr>
      </w:pPr>
      <w:proofErr w:type="gramStart"/>
      <w:r w:rsidRPr="005E2D61">
        <w:rPr>
          <w:rFonts w:ascii="Arial" w:hAnsi="Arial" w:cs="Arial"/>
          <w:sz w:val="24"/>
          <w:szCs w:val="24"/>
        </w:rPr>
        <w:t>2.část</w:t>
      </w:r>
      <w:proofErr w:type="gramEnd"/>
    </w:p>
    <w:p w:rsidR="006D428F" w:rsidRDefault="006D428F">
      <w:pPr>
        <w:rPr>
          <w:rFonts w:ascii="Arial" w:hAnsi="Arial" w:cs="Arial"/>
          <w:b/>
          <w:sz w:val="24"/>
          <w:szCs w:val="24"/>
        </w:rPr>
      </w:pPr>
      <w:r w:rsidRPr="006D428F">
        <w:rPr>
          <w:rFonts w:ascii="Arial" w:hAnsi="Arial" w:cs="Arial"/>
          <w:b/>
          <w:sz w:val="24"/>
          <w:szCs w:val="24"/>
        </w:rPr>
        <w:t>Varovné signály SPU na počátku školní docházky</w:t>
      </w:r>
      <w:r w:rsidR="00D06B70">
        <w:rPr>
          <w:rFonts w:ascii="Arial" w:hAnsi="Arial" w:cs="Arial"/>
          <w:b/>
          <w:sz w:val="24"/>
          <w:szCs w:val="24"/>
        </w:rPr>
        <w:t xml:space="preserve"> (příklady)</w:t>
      </w:r>
    </w:p>
    <w:p w:rsidR="00D06B70" w:rsidRPr="00D06B70" w:rsidRDefault="00D06B70">
      <w:pPr>
        <w:rPr>
          <w:rFonts w:ascii="Arial" w:hAnsi="Arial" w:cs="Arial"/>
          <w:sz w:val="24"/>
          <w:szCs w:val="24"/>
        </w:rPr>
      </w:pPr>
      <w:r w:rsidRPr="00D06B70">
        <w:rPr>
          <w:rFonts w:ascii="Arial" w:hAnsi="Arial" w:cs="Arial"/>
          <w:sz w:val="24"/>
          <w:szCs w:val="24"/>
        </w:rPr>
        <w:t xml:space="preserve">(Specifické poruchy učení Krejčová, </w:t>
      </w:r>
      <w:proofErr w:type="spellStart"/>
      <w:r w:rsidRPr="00D06B70">
        <w:rPr>
          <w:rFonts w:ascii="Arial" w:hAnsi="Arial" w:cs="Arial"/>
          <w:sz w:val="24"/>
          <w:szCs w:val="24"/>
        </w:rPr>
        <w:t>Bodnárová</w:t>
      </w:r>
      <w:proofErr w:type="spellEnd"/>
      <w:r w:rsidRPr="00D06B70">
        <w:rPr>
          <w:rFonts w:ascii="Arial" w:hAnsi="Arial" w:cs="Arial"/>
          <w:sz w:val="24"/>
          <w:szCs w:val="24"/>
        </w:rPr>
        <w:t>, 2018)</w:t>
      </w:r>
    </w:p>
    <w:p w:rsidR="006D428F" w:rsidRDefault="006D4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Čtení:</w:t>
      </w:r>
    </w:p>
    <w:p w:rsidR="006D428F" w:rsidRPr="006D428F" w:rsidRDefault="006D428F" w:rsidP="006D428F">
      <w:pPr>
        <w:pStyle w:val="Normlnweb"/>
        <w:numPr>
          <w:ilvl w:val="0"/>
          <w:numId w:val="2"/>
        </w:numPr>
        <w:spacing w:before="200" w:beforeAutospacing="0" w:after="0" w:afterAutospacing="0" w:line="288" w:lineRule="auto"/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zaměňuje písmena</w:t>
      </w:r>
      <w:bookmarkStart w:id="0" w:name="_GoBack"/>
      <w:bookmarkEnd w:id="0"/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nerozlišuje délky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vkládá do slov další samohlásky (vlk – vlak)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přehazuje písmena (hrad – drah), slabiky, komolí slova, vynechává hlásky (plotny – ploty), domýšlí koncovky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čte velmi pomalu nebo překotně rychle, ale textu nerozumí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 xml:space="preserve">špatně se orientuje v textu </w:t>
      </w:r>
    </w:p>
    <w:p w:rsidR="006D428F" w:rsidRPr="006D428F" w:rsidRDefault="006D428F" w:rsidP="006D428F">
      <w:pPr>
        <w:pStyle w:val="Odstavecseseznamem"/>
        <w:numPr>
          <w:ilvl w:val="0"/>
          <w:numId w:val="2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</w:rPr>
        <w:t>nepamatuje si, co četl</w:t>
      </w:r>
    </w:p>
    <w:p w:rsidR="006D428F" w:rsidRDefault="006D4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Psaní: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drží špatně tužku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píše pomalu, přesto je písmo nečitelné, písmena se nevejdou na řádek, nedotahuje písmena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nelogicky kombinuje psaní velkých a malých písmen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nevybavuje si psací tvary tiskacího písma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zaměňuje podobná písmena nebo číslice (6 a 9, psací r – z)</w:t>
      </w:r>
    </w:p>
    <w:p w:rsidR="006D428F" w:rsidRPr="006D428F" w:rsidRDefault="006D428F" w:rsidP="006D428F">
      <w:pPr>
        <w:pStyle w:val="Odstavecseseznamem"/>
        <w:numPr>
          <w:ilvl w:val="0"/>
          <w:numId w:val="3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písmo roztřesené, velké, každé písmeno jinak nakloněné…</w:t>
      </w:r>
    </w:p>
    <w:p w:rsidR="006D428F" w:rsidRDefault="006D4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Pravopis:</w:t>
      </w:r>
    </w:p>
    <w:p w:rsidR="006D428F" w:rsidRPr="006D428F" w:rsidRDefault="006D428F" w:rsidP="006D428F">
      <w:pPr>
        <w:pStyle w:val="Odstavecseseznamem"/>
        <w:numPr>
          <w:ilvl w:val="0"/>
          <w:numId w:val="4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vynechává písmena, slabiky, slova</w:t>
      </w:r>
    </w:p>
    <w:p w:rsidR="006D428F" w:rsidRPr="006D428F" w:rsidRDefault="006D428F" w:rsidP="006D428F">
      <w:pPr>
        <w:pStyle w:val="Odstavecseseznamem"/>
        <w:numPr>
          <w:ilvl w:val="0"/>
          <w:numId w:val="4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zapomíná psát háčky, čárky (nebo je umisťuje jinam)</w:t>
      </w:r>
    </w:p>
    <w:p w:rsidR="006D428F" w:rsidRPr="006D428F" w:rsidRDefault="006D428F" w:rsidP="006D428F">
      <w:pPr>
        <w:pStyle w:val="Odstavecseseznamem"/>
        <w:numPr>
          <w:ilvl w:val="0"/>
          <w:numId w:val="4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nerozlišuje hranice slov v textu</w:t>
      </w:r>
    </w:p>
    <w:p w:rsidR="006D428F" w:rsidRPr="006D428F" w:rsidRDefault="006D428F" w:rsidP="006D428F">
      <w:pPr>
        <w:pStyle w:val="Odstavecseseznamem"/>
        <w:numPr>
          <w:ilvl w:val="0"/>
          <w:numId w:val="4"/>
        </w:numPr>
        <w:spacing w:line="288" w:lineRule="auto"/>
        <w:rPr>
          <w:color w:val="000000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 xml:space="preserve">chybuje při psaní di - </w:t>
      </w:r>
      <w:proofErr w:type="spellStart"/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dy</w:t>
      </w:r>
      <w:proofErr w:type="spellEnd"/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 xml:space="preserve">, ti – ty, ni - </w:t>
      </w:r>
      <w:proofErr w:type="spellStart"/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ny</w:t>
      </w:r>
      <w:proofErr w:type="spellEnd"/>
    </w:p>
    <w:p w:rsidR="006D428F" w:rsidRDefault="006D4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Matematika: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má problémy vyjmenovat řadu čísel dopředu i pozpátku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neumí správně čísla přečíst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zaměňuje při počítání sčítání – odčítání, později násobení – dělení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nechápe přechod přes desítku nebo stovku, neorientuje se na číselné ose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selhává ve slovních úlohách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rýsování je velmi nepřesné (chybná orientace na ploše)</w:t>
      </w:r>
    </w:p>
    <w:p w:rsidR="006D428F" w:rsidRPr="006D428F" w:rsidRDefault="006D428F" w:rsidP="006D428F">
      <w:pPr>
        <w:numPr>
          <w:ilvl w:val="0"/>
          <w:numId w:val="5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eastAsia="cs-CZ"/>
        </w:rPr>
        <w:t>problémy s manipulací s pravítkem</w:t>
      </w:r>
    </w:p>
    <w:p w:rsidR="006D428F" w:rsidRPr="006D428F" w:rsidRDefault="006D42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Ostatní:</w:t>
      </w:r>
    </w:p>
    <w:p w:rsidR="006D428F" w:rsidRPr="006D428F" w:rsidRDefault="006D428F" w:rsidP="006D428F">
      <w:pPr>
        <w:numPr>
          <w:ilvl w:val="0"/>
          <w:numId w:val="6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  <w:sz w:val="24"/>
          <w:szCs w:val="24"/>
          <w:lang w:eastAsia="cs-CZ"/>
        </w:rPr>
        <w:t>dítě má problém soustředit se na práci</w:t>
      </w:r>
    </w:p>
    <w:p w:rsidR="006D428F" w:rsidRPr="006D428F" w:rsidRDefault="006D428F" w:rsidP="006D428F">
      <w:pPr>
        <w:numPr>
          <w:ilvl w:val="0"/>
          <w:numId w:val="6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  <w:sz w:val="24"/>
          <w:szCs w:val="24"/>
          <w:lang w:eastAsia="cs-CZ"/>
        </w:rPr>
        <w:t>nestíhá práci s textem</w:t>
      </w:r>
    </w:p>
    <w:p w:rsidR="006D428F" w:rsidRPr="006D428F" w:rsidRDefault="006D428F" w:rsidP="006D428F">
      <w:pPr>
        <w:numPr>
          <w:ilvl w:val="0"/>
          <w:numId w:val="6"/>
        </w:numPr>
        <w:spacing w:after="0" w:line="288" w:lineRule="auto"/>
        <w:ind w:left="10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  <w:sz w:val="24"/>
          <w:szCs w:val="24"/>
          <w:lang w:eastAsia="cs-CZ"/>
        </w:rPr>
        <w:t>potřebuje na práci delší čas</w:t>
      </w:r>
    </w:p>
    <w:p w:rsidR="006D428F" w:rsidRDefault="006D428F">
      <w:pPr>
        <w:rPr>
          <w:rFonts w:ascii="Arial" w:hAnsi="Arial" w:cs="Arial"/>
          <w:sz w:val="24"/>
          <w:szCs w:val="24"/>
        </w:rPr>
      </w:pPr>
    </w:p>
    <w:p w:rsidR="006D428F" w:rsidRDefault="006D428F" w:rsidP="006D428F">
      <w:pPr>
        <w:pStyle w:val="Normlnweb"/>
        <w:spacing w:before="200" w:beforeAutospacing="0" w:after="0" w:afterAutospacing="0" w:line="288" w:lineRule="auto"/>
        <w:rPr>
          <w:rFonts w:ascii="Arial" w:hAnsi="Arial" w:cs="Arial"/>
        </w:rPr>
      </w:pPr>
    </w:p>
    <w:p w:rsidR="006D428F" w:rsidRDefault="005E2D61" w:rsidP="006D428F">
      <w:pPr>
        <w:pStyle w:val="Normlnweb"/>
        <w:spacing w:before="200" w:beforeAutospacing="0" w:after="0" w:afterAutospacing="0" w:line="288" w:lineRule="auto"/>
        <w:rPr>
          <w:rFonts w:ascii="Arial" w:hAnsi="Arial" w:cs="Arial"/>
        </w:rPr>
      </w:pPr>
      <w:r w:rsidRPr="005E2D61">
        <w:rPr>
          <w:rFonts w:ascii="Arial" w:hAnsi="Arial" w:cs="Arial"/>
        </w:rPr>
        <w:t xml:space="preserve">Reedukace </w:t>
      </w:r>
    </w:p>
    <w:p w:rsidR="006D428F" w:rsidRPr="006D428F" w:rsidRDefault="005E2D61" w:rsidP="006D428F">
      <w:pPr>
        <w:pStyle w:val="Normlnweb"/>
        <w:spacing w:before="200" w:beforeAutospacing="0" w:after="0" w:afterAutospacing="0" w:line="288" w:lineRule="auto"/>
      </w:pPr>
      <w:r w:rsidRPr="005E2D61">
        <w:rPr>
          <w:rFonts w:ascii="Arial" w:hAnsi="Arial" w:cs="Arial"/>
        </w:rPr>
        <w:t xml:space="preserve">= </w:t>
      </w:r>
      <w:r w:rsidR="006D428F"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převýchova, znovuobnovená výchova</w:t>
      </w:r>
    </w:p>
    <w:p w:rsidR="006D428F" w:rsidRPr="006D428F" w:rsidRDefault="006D428F" w:rsidP="006D428F">
      <w:pPr>
        <w:pStyle w:val="Normlnweb"/>
        <w:spacing w:before="200" w:beforeAutospacing="0" w:after="0" w:afterAutospacing="0" w:line="288" w:lineRule="auto"/>
      </w:pPr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 xml:space="preserve">= soubor </w:t>
      </w:r>
      <w:proofErr w:type="spellStart"/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speciálněpedagogických</w:t>
      </w:r>
      <w:proofErr w:type="spellEnd"/>
      <w:r w:rsidRP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 xml:space="preserve"> postupů (metod) zaměřených na rozvoj porušených nebo nevyvinutých funkcí.</w:t>
      </w:r>
    </w:p>
    <w:p w:rsidR="005E2D61" w:rsidRPr="005E2D61" w:rsidRDefault="005E2D61">
      <w:pPr>
        <w:rPr>
          <w:rFonts w:ascii="Arial" w:hAnsi="Arial" w:cs="Arial"/>
          <w:sz w:val="24"/>
          <w:szCs w:val="24"/>
        </w:rPr>
      </w:pPr>
    </w:p>
    <w:p w:rsidR="005E2D61" w:rsidRPr="005E2D61" w:rsidRDefault="005E2D61">
      <w:p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Kvalitní a komplexní diagnostika</w:t>
      </w:r>
    </w:p>
    <w:p w:rsidR="005E2D61" w:rsidRPr="005E2D61" w:rsidRDefault="005E2D61">
      <w:pPr>
        <w:rPr>
          <w:rFonts w:ascii="Arial" w:hAnsi="Arial" w:cs="Arial"/>
          <w:sz w:val="24"/>
          <w:szCs w:val="24"/>
        </w:rPr>
      </w:pPr>
    </w:p>
    <w:p w:rsidR="005E2D61" w:rsidRDefault="005E2D61"/>
    <w:p w:rsidR="005E2D61" w:rsidRDefault="005E2D61"/>
    <w:p w:rsidR="006D428F" w:rsidRPr="006D428F" w:rsidRDefault="006D428F">
      <w:pPr>
        <w:rPr>
          <w:rFonts w:ascii="Arial" w:hAnsi="Arial" w:cs="Arial"/>
          <w:sz w:val="24"/>
          <w:szCs w:val="24"/>
        </w:rPr>
      </w:pPr>
      <w:r w:rsidRPr="006D428F">
        <w:rPr>
          <w:rFonts w:ascii="Arial" w:hAnsi="Arial" w:cs="Arial"/>
          <w:sz w:val="24"/>
          <w:szCs w:val="24"/>
        </w:rPr>
        <w:t>Možnosti podpůrných opatření pro žáky se SPU</w:t>
      </w:r>
    </w:p>
    <w:p w:rsidR="006D428F" w:rsidRDefault="006D428F"/>
    <w:p w:rsidR="005E2D61" w:rsidRDefault="005E2D61"/>
    <w:p w:rsidR="006D428F" w:rsidRDefault="006D428F">
      <w:pPr>
        <w:rPr>
          <w:rFonts w:ascii="Arial" w:hAnsi="Arial" w:cs="Arial"/>
          <w:sz w:val="24"/>
          <w:szCs w:val="24"/>
        </w:rPr>
      </w:pPr>
    </w:p>
    <w:p w:rsidR="005E2D61" w:rsidRPr="005E2D61" w:rsidRDefault="005E2D61">
      <w:p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Zásady nápravy SPU</w:t>
      </w:r>
      <w:r>
        <w:rPr>
          <w:rFonts w:ascii="Arial" w:hAnsi="Arial" w:cs="Arial"/>
          <w:sz w:val="24"/>
          <w:szCs w:val="24"/>
        </w:rPr>
        <w:t xml:space="preserve"> (Pokorná, 1997)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Zaměření na specifiku jednotlivého případu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Psychologická analýza celkové situace dítěte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Co nejpřesnější diagnostika obtíží dítěte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Stanovení obtížnosti jednotlivých úkolů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Dítě má zažít úspěch již při první nápravné hodině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Dítě má zažít úspěch již při první nápravné hodině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Postupujeme po malých krůčcích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Pravidelná, nejlépe každodenní práce</w:t>
      </w:r>
    </w:p>
    <w:p w:rsidR="005E2D61" w:rsidRPr="005E2D61" w:rsidRDefault="005E2D61" w:rsidP="005E2D61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Dítě má cvičení provádět s porozuměním</w:t>
      </w:r>
    </w:p>
    <w:p w:rsidR="005E2D61" w:rsidRPr="005E2D61" w:rsidRDefault="005E2D61" w:rsidP="005E2D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Dítě se musí soustředit</w:t>
      </w:r>
    </w:p>
    <w:p w:rsidR="005E2D61" w:rsidRPr="005E2D61" w:rsidRDefault="005E2D61" w:rsidP="005E2D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Dlouhodobý nácvik</w:t>
      </w:r>
    </w:p>
    <w:p w:rsidR="005E2D61" w:rsidRPr="005E2D61" w:rsidRDefault="005E2D61" w:rsidP="005E2D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Rozvíjenou schopnost je nutné zautomatizovat</w:t>
      </w:r>
    </w:p>
    <w:p w:rsidR="005E2D61" w:rsidRPr="005E2D61" w:rsidRDefault="005E2D61" w:rsidP="005E2D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Využití přirozených technik a metod</w:t>
      </w:r>
    </w:p>
    <w:p w:rsidR="005E2D61" w:rsidRPr="005E2D61" w:rsidRDefault="005E2D61" w:rsidP="005E2D61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E2D61">
        <w:rPr>
          <w:rFonts w:ascii="Arial" w:hAnsi="Arial" w:cs="Arial"/>
          <w:sz w:val="24"/>
          <w:szCs w:val="24"/>
        </w:rPr>
        <w:t>Vše co má dítě pochopit, má mít strukturu</w:t>
      </w:r>
    </w:p>
    <w:p w:rsidR="005E2D61" w:rsidRDefault="005E2D61"/>
    <w:p w:rsidR="006D428F" w:rsidRDefault="005E2D61" w:rsidP="006D428F">
      <w:pPr>
        <w:pStyle w:val="Normlnweb"/>
        <w:spacing w:before="200" w:beforeAutospacing="0" w:after="0" w:afterAutospacing="0" w:line="288" w:lineRule="auto"/>
        <w:rPr>
          <w:rFonts w:ascii="Arial" w:eastAsiaTheme="minorEastAsia" w:hAnsi="Arial" w:cs="Arial"/>
          <w:color w:val="000000" w:themeColor="text1"/>
          <w:kern w:val="24"/>
          <w:position w:val="1"/>
        </w:rPr>
      </w:pPr>
      <w:r w:rsidRPr="005E2D61">
        <w:rPr>
          <w:rFonts w:ascii="Arial" w:eastAsiaTheme="minorEastAsia" w:hAnsi="Arial" w:cs="Arial"/>
          <w:color w:val="000000" w:themeColor="text1"/>
          <w:kern w:val="24"/>
          <w:position w:val="1"/>
        </w:rPr>
        <w:lastRenderedPageBreak/>
        <w:t>SPU zasahují do života dítěte nejen v oblasti učení, ale ovlivňují jeho vlastní sebepojetí, sebevědomí, promítají se i do vztahů k</w:t>
      </w:r>
      <w:r w:rsidR="006D428F">
        <w:rPr>
          <w:rFonts w:ascii="Arial" w:eastAsiaTheme="minorEastAsia" w:hAnsi="Arial" w:cs="Arial"/>
          <w:color w:val="000000" w:themeColor="text1"/>
          <w:kern w:val="24"/>
          <w:position w:val="1"/>
        </w:rPr>
        <w:t> </w:t>
      </w:r>
      <w:r w:rsidRPr="005E2D61">
        <w:rPr>
          <w:rFonts w:ascii="Arial" w:eastAsiaTheme="minorEastAsia" w:hAnsi="Arial" w:cs="Arial"/>
          <w:color w:val="000000" w:themeColor="text1"/>
          <w:kern w:val="24"/>
          <w:position w:val="1"/>
        </w:rPr>
        <w:t>okolí</w:t>
      </w:r>
    </w:p>
    <w:p w:rsidR="005E2D61" w:rsidRPr="006D428F" w:rsidRDefault="005E2D61" w:rsidP="006D428F">
      <w:pPr>
        <w:pStyle w:val="Normlnweb"/>
        <w:spacing w:before="200" w:beforeAutospacing="0" w:after="0" w:afterAutospacing="0" w:line="288" w:lineRule="auto"/>
        <w:rPr>
          <w:rFonts w:ascii="Arial" w:hAnsi="Arial" w:cs="Arial"/>
        </w:rPr>
      </w:pPr>
      <w:r w:rsidRPr="006D428F">
        <w:rPr>
          <w:rFonts w:ascii="Arial" w:hAnsi="Arial" w:cs="Arial"/>
        </w:rPr>
        <w:t>Chyby při reedukaci</w:t>
      </w:r>
    </w:p>
    <w:p w:rsidR="005E2D61" w:rsidRPr="005E2D61" w:rsidRDefault="005E2D61">
      <w:pPr>
        <w:rPr>
          <w:sz w:val="24"/>
          <w:szCs w:val="24"/>
        </w:rPr>
      </w:pPr>
    </w:p>
    <w:p w:rsidR="005E2D61" w:rsidRPr="005E2D61" w:rsidRDefault="005E2D61">
      <w:pPr>
        <w:rPr>
          <w:sz w:val="24"/>
          <w:szCs w:val="24"/>
        </w:rPr>
      </w:pPr>
    </w:p>
    <w:sectPr w:rsidR="005E2D61" w:rsidRPr="005E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6490"/>
    <w:multiLevelType w:val="hybridMultilevel"/>
    <w:tmpl w:val="61C68882"/>
    <w:lvl w:ilvl="0" w:tplc="6EEA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80E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0E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2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8F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CD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E8E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389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6B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AD05B42"/>
    <w:multiLevelType w:val="hybridMultilevel"/>
    <w:tmpl w:val="71BA5506"/>
    <w:lvl w:ilvl="0" w:tplc="17683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4B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E7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25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E3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CED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AA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C5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A5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FCE6492"/>
    <w:multiLevelType w:val="hybridMultilevel"/>
    <w:tmpl w:val="068CAB6C"/>
    <w:lvl w:ilvl="0" w:tplc="FB545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C97B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5CA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4836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E66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8EE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2E5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6A9E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0F3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790339"/>
    <w:multiLevelType w:val="hybridMultilevel"/>
    <w:tmpl w:val="A62ECA30"/>
    <w:lvl w:ilvl="0" w:tplc="224E7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03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432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A4B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A1F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263D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E02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DE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4ED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73D49"/>
    <w:multiLevelType w:val="hybridMultilevel"/>
    <w:tmpl w:val="C704850A"/>
    <w:lvl w:ilvl="0" w:tplc="2F9A7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D02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7E8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0C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38D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01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704D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5EC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42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E757E6"/>
    <w:multiLevelType w:val="hybridMultilevel"/>
    <w:tmpl w:val="B6DE0636"/>
    <w:lvl w:ilvl="0" w:tplc="9A482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27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6B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447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2C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86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E8A6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6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C7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61"/>
    <w:rsid w:val="005E2D61"/>
    <w:rsid w:val="006D428F"/>
    <w:rsid w:val="00D06B70"/>
    <w:rsid w:val="00E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50209-C050-43D5-9ED9-D17BB4BB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2D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5E2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1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390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6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1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5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29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0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4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6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40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8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1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7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4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1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2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4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Olbertová</dc:creator>
  <cp:keywords/>
  <dc:description/>
  <cp:lastModifiedBy>Markéta Olbertová</cp:lastModifiedBy>
  <cp:revision>3</cp:revision>
  <dcterms:created xsi:type="dcterms:W3CDTF">2019-02-16T19:21:00Z</dcterms:created>
  <dcterms:modified xsi:type="dcterms:W3CDTF">2019-02-16T19:21:00Z</dcterms:modified>
</cp:coreProperties>
</file>