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2AE" w:rsidRPr="00A9543D" w:rsidRDefault="004C62AE" w:rsidP="004C62AE">
      <w:pPr>
        <w:pStyle w:val="Nadpis1"/>
      </w:pPr>
      <w:bookmarkStart w:id="0" w:name="_GoBack"/>
      <w:bookmarkEnd w:id="0"/>
      <w:r w:rsidRPr="00A9543D">
        <w:t>Reedukace dyslexie</w:t>
      </w:r>
    </w:p>
    <w:p w:rsidR="004C62AE" w:rsidRPr="00A9543D" w:rsidRDefault="004C62AE" w:rsidP="004C62AE">
      <w:pPr>
        <w:pStyle w:val="Nadpis2"/>
      </w:pPr>
      <w:r w:rsidRPr="00A9543D">
        <w:t>Vyšetření čtení.</w:t>
      </w:r>
    </w:p>
    <w:p w:rsidR="004C62AE" w:rsidRPr="00A9543D" w:rsidRDefault="004C62AE" w:rsidP="004C62AE">
      <w:pPr>
        <w:pStyle w:val="Nadpis2"/>
      </w:pPr>
      <w:r w:rsidRPr="00A9543D">
        <w:t>Kroky pro osvojování čtení.</w:t>
      </w:r>
    </w:p>
    <w:p w:rsidR="004C62AE" w:rsidRPr="00A9543D" w:rsidRDefault="004C62AE" w:rsidP="004C62AE">
      <w:pPr>
        <w:pStyle w:val="Odstavecseseznamem"/>
        <w:numPr>
          <w:ilvl w:val="0"/>
          <w:numId w:val="11"/>
        </w:numPr>
        <w:spacing w:after="200" w:line="276" w:lineRule="auto"/>
      </w:pPr>
      <w:r w:rsidRPr="00A9543D">
        <w:t>Zrakové rozlišení tvaru.</w:t>
      </w:r>
    </w:p>
    <w:p w:rsidR="004C62AE" w:rsidRPr="00A9543D" w:rsidRDefault="004C62AE" w:rsidP="004C62AE">
      <w:pPr>
        <w:pStyle w:val="Odstavecseseznamem"/>
        <w:numPr>
          <w:ilvl w:val="0"/>
          <w:numId w:val="11"/>
        </w:numPr>
        <w:spacing w:after="200" w:line="276" w:lineRule="auto"/>
      </w:pPr>
      <w:r w:rsidRPr="00A9543D">
        <w:t>Poznání hlásky sluchem.</w:t>
      </w:r>
    </w:p>
    <w:p w:rsidR="004C62AE" w:rsidRPr="00A9543D" w:rsidRDefault="004C62AE" w:rsidP="004C62AE">
      <w:pPr>
        <w:pStyle w:val="Odstavecseseznamem"/>
        <w:numPr>
          <w:ilvl w:val="0"/>
          <w:numId w:val="11"/>
        </w:numPr>
        <w:spacing w:after="200" w:line="276" w:lineRule="auto"/>
      </w:pPr>
      <w:r w:rsidRPr="00A9543D">
        <w:t>Spojení hláska – písmeno.</w:t>
      </w:r>
    </w:p>
    <w:p w:rsidR="004C62AE" w:rsidRPr="00A9543D" w:rsidRDefault="004C62AE" w:rsidP="004C62AE">
      <w:pPr>
        <w:pStyle w:val="Odstavecseseznamem"/>
        <w:numPr>
          <w:ilvl w:val="0"/>
          <w:numId w:val="11"/>
        </w:numPr>
        <w:spacing w:after="200" w:line="276" w:lineRule="auto"/>
      </w:pPr>
      <w:r w:rsidRPr="00A9543D">
        <w:t>Sluchová analýza a syntéza slabiky.</w:t>
      </w:r>
    </w:p>
    <w:p w:rsidR="004C62AE" w:rsidRPr="00A9543D" w:rsidRDefault="004C62AE" w:rsidP="004C62AE">
      <w:pPr>
        <w:pStyle w:val="Odstavecseseznamem"/>
        <w:numPr>
          <w:ilvl w:val="0"/>
          <w:numId w:val="11"/>
        </w:numPr>
        <w:spacing w:after="200" w:line="276" w:lineRule="auto"/>
      </w:pPr>
      <w:r w:rsidRPr="00A9543D">
        <w:t>Čtení slabiky.</w:t>
      </w:r>
    </w:p>
    <w:p w:rsidR="004C62AE" w:rsidRPr="00A9543D" w:rsidRDefault="004C62AE" w:rsidP="004C62AE">
      <w:pPr>
        <w:pStyle w:val="Odstavecseseznamem"/>
        <w:numPr>
          <w:ilvl w:val="0"/>
          <w:numId w:val="11"/>
        </w:numPr>
        <w:spacing w:after="200" w:line="276" w:lineRule="auto"/>
      </w:pPr>
      <w:r w:rsidRPr="00A9543D">
        <w:t>Čtení nového písmena ve slově.</w:t>
      </w:r>
    </w:p>
    <w:p w:rsidR="004C62AE" w:rsidRPr="00A9543D" w:rsidRDefault="004C62AE" w:rsidP="004C62AE">
      <w:pPr>
        <w:pStyle w:val="Odstavecseseznamem"/>
        <w:numPr>
          <w:ilvl w:val="0"/>
          <w:numId w:val="11"/>
        </w:numPr>
        <w:spacing w:after="200" w:line="276" w:lineRule="auto"/>
      </w:pPr>
      <w:r w:rsidRPr="00A9543D">
        <w:t>Automatizace čtení slov s porozuměním.</w:t>
      </w:r>
    </w:p>
    <w:p w:rsidR="004C62AE" w:rsidRPr="00A9543D" w:rsidRDefault="004C62AE" w:rsidP="004C62AE">
      <w:pPr>
        <w:pStyle w:val="Nadpis2"/>
      </w:pPr>
      <w:r w:rsidRPr="00A9543D">
        <w:t>Zásady pro výuku čtení a jeho reedukaci</w:t>
      </w:r>
    </w:p>
    <w:p w:rsidR="004C62AE" w:rsidRPr="00A9543D" w:rsidRDefault="004C62AE" w:rsidP="004C62AE">
      <w:pPr>
        <w:pStyle w:val="Odstavecseseznamem"/>
        <w:numPr>
          <w:ilvl w:val="0"/>
          <w:numId w:val="12"/>
        </w:numPr>
        <w:spacing w:after="200" w:line="276" w:lineRule="auto"/>
      </w:pPr>
      <w:r w:rsidRPr="00A9543D">
        <w:t>Udržet rozvahu, klid, pohodu, víru v nápravu;</w:t>
      </w:r>
    </w:p>
    <w:p w:rsidR="004C62AE" w:rsidRPr="00A9543D" w:rsidRDefault="004C62AE" w:rsidP="004C62AE">
      <w:pPr>
        <w:pStyle w:val="Odstavecseseznamem"/>
        <w:numPr>
          <w:ilvl w:val="0"/>
          <w:numId w:val="12"/>
        </w:numPr>
        <w:spacing w:after="200" w:line="276" w:lineRule="auto"/>
      </w:pPr>
      <w:r w:rsidRPr="00A9543D">
        <w:t>umět pochválit i drobný pokrok dítěte;</w:t>
      </w:r>
    </w:p>
    <w:p w:rsidR="004C62AE" w:rsidRPr="00A9543D" w:rsidRDefault="004C62AE" w:rsidP="004C62AE">
      <w:pPr>
        <w:pStyle w:val="Odstavecseseznamem"/>
        <w:numPr>
          <w:ilvl w:val="0"/>
          <w:numId w:val="12"/>
        </w:numPr>
        <w:spacing w:after="200" w:line="276" w:lineRule="auto"/>
      </w:pPr>
      <w:r w:rsidRPr="00A9543D">
        <w:t>začít  vždy ve fázi, kterou žák dobře ovládá;</w:t>
      </w:r>
    </w:p>
    <w:p w:rsidR="004C62AE" w:rsidRPr="00A9543D" w:rsidRDefault="004C62AE" w:rsidP="004C62AE">
      <w:pPr>
        <w:pStyle w:val="Odstavecseseznamem"/>
        <w:numPr>
          <w:ilvl w:val="0"/>
          <w:numId w:val="12"/>
        </w:numPr>
        <w:spacing w:after="200" w:line="276" w:lineRule="auto"/>
      </w:pPr>
      <w:r w:rsidRPr="00A9543D">
        <w:t>pokračujeme úrovní, kterou je třeba procvičit, zdokonalit;</w:t>
      </w:r>
    </w:p>
    <w:p w:rsidR="004C62AE" w:rsidRPr="00A9543D" w:rsidRDefault="004C62AE" w:rsidP="004C62AE">
      <w:pPr>
        <w:pStyle w:val="Odstavecseseznamem"/>
        <w:numPr>
          <w:ilvl w:val="0"/>
          <w:numId w:val="12"/>
        </w:numPr>
        <w:spacing w:after="200" w:line="276" w:lineRule="auto"/>
      </w:pPr>
      <w:r w:rsidRPr="00A9543D">
        <w:t>cíl práce → čtení s porozuměním a bez chyb;</w:t>
      </w:r>
    </w:p>
    <w:p w:rsidR="004C62AE" w:rsidRPr="00A9543D" w:rsidRDefault="004C62AE" w:rsidP="004C62AE">
      <w:pPr>
        <w:pStyle w:val="Odstavecseseznamem"/>
        <w:numPr>
          <w:ilvl w:val="0"/>
          <w:numId w:val="12"/>
        </w:numPr>
        <w:spacing w:after="200" w:line="276" w:lineRule="auto"/>
      </w:pPr>
      <w:r w:rsidRPr="00A9543D">
        <w:t>texty odpovídající žákovi obsahem, obtížností, velikostí písma a délkou;</w:t>
      </w:r>
    </w:p>
    <w:p w:rsidR="004C62AE" w:rsidRPr="00A9543D" w:rsidRDefault="004C62AE" w:rsidP="004C62AE">
      <w:pPr>
        <w:pStyle w:val="Odstavecseseznamem"/>
        <w:numPr>
          <w:ilvl w:val="0"/>
          <w:numId w:val="12"/>
        </w:numPr>
        <w:spacing w:after="200" w:line="276" w:lineRule="auto"/>
      </w:pPr>
      <w:r w:rsidRPr="00A9543D">
        <w:t>časté opakování téhož textu je neefektivní – naučení zpaměti;</w:t>
      </w:r>
    </w:p>
    <w:p w:rsidR="004C62AE" w:rsidRPr="00A9543D" w:rsidRDefault="004C62AE" w:rsidP="004C62AE">
      <w:pPr>
        <w:pStyle w:val="Odstavecseseznamem"/>
        <w:numPr>
          <w:ilvl w:val="0"/>
          <w:numId w:val="12"/>
        </w:numPr>
        <w:spacing w:after="200" w:line="276" w:lineRule="auto"/>
      </w:pPr>
      <w:r w:rsidRPr="00A9543D">
        <w:t>namáhavá aktivita → není nutné číst text vcelku, přiměřená doba čtení;</w:t>
      </w:r>
    </w:p>
    <w:p w:rsidR="004C62AE" w:rsidRPr="00A9543D" w:rsidRDefault="004C62AE" w:rsidP="004C62AE">
      <w:pPr>
        <w:pStyle w:val="Odstavecseseznamem"/>
        <w:numPr>
          <w:ilvl w:val="0"/>
          <w:numId w:val="12"/>
        </w:numPr>
        <w:spacing w:after="200" w:line="276" w:lineRule="auto"/>
      </w:pPr>
      <w:r w:rsidRPr="00A9543D">
        <w:t>ke čtení vedeme dítě přes záliby (např. koníčky…);</w:t>
      </w:r>
    </w:p>
    <w:p w:rsidR="004C62AE" w:rsidRPr="00A9543D" w:rsidRDefault="004C62AE" w:rsidP="004C62AE">
      <w:pPr>
        <w:pStyle w:val="Odstavecseseznamem"/>
        <w:numPr>
          <w:ilvl w:val="0"/>
          <w:numId w:val="12"/>
        </w:numPr>
        <w:spacing w:after="200" w:line="276" w:lineRule="auto"/>
      </w:pPr>
      <w:r w:rsidRPr="00A9543D">
        <w:t>náprava je efektivní, pokud spolupracuje žák, rodič, učitel a někdy i poradenský pracovník.</w:t>
      </w:r>
    </w:p>
    <w:p w:rsidR="004C62AE" w:rsidRPr="00A9543D" w:rsidRDefault="004C62AE" w:rsidP="004C62AE">
      <w:pPr>
        <w:pStyle w:val="Nadpis2"/>
      </w:pPr>
      <w:r w:rsidRPr="00A9543D">
        <w:t>Reedukace dyslexie</w:t>
      </w:r>
    </w:p>
    <w:p w:rsidR="004C62AE" w:rsidRPr="00A9543D" w:rsidRDefault="004C62AE" w:rsidP="004C62AE">
      <w:r>
        <w:rPr>
          <w:b/>
          <w:bCs/>
        </w:rPr>
        <w:t xml:space="preserve">I. </w:t>
      </w:r>
      <w:r w:rsidRPr="00A9543D">
        <w:rPr>
          <w:b/>
          <w:bCs/>
        </w:rPr>
        <w:t>Technika čtení, dekódování</w:t>
      </w:r>
    </w:p>
    <w:p w:rsidR="004C62AE" w:rsidRPr="00A9543D" w:rsidRDefault="004C62AE" w:rsidP="004C62AE">
      <w:pPr>
        <w:pStyle w:val="Odstavecseseznamem"/>
        <w:numPr>
          <w:ilvl w:val="0"/>
          <w:numId w:val="13"/>
        </w:numPr>
        <w:spacing w:after="200" w:line="276" w:lineRule="auto"/>
      </w:pPr>
      <w:proofErr w:type="spellStart"/>
      <w:r w:rsidRPr="00A9543D">
        <w:t>zrakoprostorová</w:t>
      </w:r>
      <w:proofErr w:type="spellEnd"/>
      <w:r w:rsidRPr="00A9543D">
        <w:t xml:space="preserve"> identifikace písmen</w:t>
      </w:r>
    </w:p>
    <w:p w:rsidR="004C62AE" w:rsidRPr="00A9543D" w:rsidRDefault="004C62AE" w:rsidP="004C62AE">
      <w:pPr>
        <w:pStyle w:val="Odstavecseseznamem"/>
        <w:numPr>
          <w:ilvl w:val="0"/>
          <w:numId w:val="13"/>
        </w:numPr>
        <w:spacing w:after="200" w:line="276" w:lineRule="auto"/>
      </w:pPr>
      <w:r w:rsidRPr="00A9543D">
        <w:t>spojení hláska – písmeno</w:t>
      </w:r>
    </w:p>
    <w:p w:rsidR="004C62AE" w:rsidRPr="00A9543D" w:rsidRDefault="004C62AE" w:rsidP="004C62AE">
      <w:pPr>
        <w:pStyle w:val="Odstavecseseznamem"/>
        <w:numPr>
          <w:ilvl w:val="0"/>
          <w:numId w:val="14"/>
        </w:numPr>
        <w:spacing w:after="200" w:line="276" w:lineRule="auto"/>
      </w:pPr>
      <w:r w:rsidRPr="00A9543D">
        <w:rPr>
          <w:i/>
          <w:iCs/>
        </w:rPr>
        <w:t>záměny písmen tvarově podobných</w:t>
      </w:r>
    </w:p>
    <w:p w:rsidR="004C62AE" w:rsidRPr="00A9543D" w:rsidRDefault="004C62AE" w:rsidP="004C62AE">
      <w:pPr>
        <w:pStyle w:val="Odstavecseseznamem"/>
        <w:numPr>
          <w:ilvl w:val="0"/>
          <w:numId w:val="14"/>
        </w:numPr>
        <w:spacing w:after="200" w:line="276" w:lineRule="auto"/>
      </w:pPr>
      <w:r w:rsidRPr="00A9543D">
        <w:rPr>
          <w:i/>
          <w:iCs/>
        </w:rPr>
        <w:t xml:space="preserve">rozlišování b – d – p </w:t>
      </w:r>
    </w:p>
    <w:p w:rsidR="004C62AE" w:rsidRPr="00A9543D" w:rsidRDefault="004C62AE" w:rsidP="004C62AE">
      <w:pPr>
        <w:pStyle w:val="Odstavecseseznamem"/>
        <w:numPr>
          <w:ilvl w:val="0"/>
          <w:numId w:val="14"/>
        </w:numPr>
        <w:spacing w:after="200" w:line="276" w:lineRule="auto"/>
      </w:pPr>
      <w:r w:rsidRPr="00A9543D">
        <w:rPr>
          <w:i/>
          <w:iCs/>
        </w:rPr>
        <w:t>záměny písmen zvukově podobných</w:t>
      </w:r>
    </w:p>
    <w:p w:rsidR="004C62AE" w:rsidRPr="00A9543D" w:rsidRDefault="004C62AE" w:rsidP="004C62AE">
      <w:pPr>
        <w:pStyle w:val="Odstavecseseznamem"/>
        <w:numPr>
          <w:ilvl w:val="0"/>
          <w:numId w:val="13"/>
        </w:numPr>
        <w:spacing w:after="200" w:line="276" w:lineRule="auto"/>
      </w:pPr>
      <w:r w:rsidRPr="00A9543D">
        <w:t>spojování písmen do slabik</w:t>
      </w:r>
    </w:p>
    <w:p w:rsidR="004C62AE" w:rsidRPr="00A9543D" w:rsidRDefault="004C62AE" w:rsidP="004C62AE">
      <w:pPr>
        <w:pStyle w:val="Odstavecseseznamem"/>
        <w:numPr>
          <w:ilvl w:val="0"/>
          <w:numId w:val="15"/>
        </w:numPr>
        <w:spacing w:after="200" w:line="276" w:lineRule="auto"/>
      </w:pPr>
      <w:r w:rsidRPr="00A9543D">
        <w:rPr>
          <w:i/>
          <w:iCs/>
        </w:rPr>
        <w:t>tzv. dvojí čtení</w:t>
      </w:r>
    </w:p>
    <w:p w:rsidR="004C62AE" w:rsidRPr="00A9543D" w:rsidRDefault="004C62AE" w:rsidP="004C62AE">
      <w:pPr>
        <w:pStyle w:val="Odstavecseseznamem"/>
        <w:numPr>
          <w:ilvl w:val="0"/>
          <w:numId w:val="13"/>
        </w:numPr>
        <w:spacing w:after="200" w:line="276" w:lineRule="auto"/>
      </w:pPr>
      <w:r w:rsidRPr="00A9543D">
        <w:t>čtení slov se zvyšující se náročností hláskové stavby</w:t>
      </w:r>
    </w:p>
    <w:p w:rsidR="004C62AE" w:rsidRPr="00A9543D" w:rsidRDefault="004C62AE" w:rsidP="004C62AE">
      <w:pPr>
        <w:pStyle w:val="Odstavecseseznamem"/>
        <w:numPr>
          <w:ilvl w:val="0"/>
          <w:numId w:val="13"/>
        </w:numPr>
        <w:spacing w:after="200" w:line="276" w:lineRule="auto"/>
      </w:pPr>
      <w:r w:rsidRPr="00A9543D">
        <w:t>čtení vět, souvislého textu</w:t>
      </w:r>
    </w:p>
    <w:p w:rsidR="004C62AE" w:rsidRPr="00A9543D" w:rsidRDefault="004C62AE" w:rsidP="004C62AE">
      <w:r>
        <w:rPr>
          <w:b/>
          <w:bCs/>
        </w:rPr>
        <w:t xml:space="preserve">II. </w:t>
      </w:r>
      <w:r w:rsidRPr="00A9543D">
        <w:rPr>
          <w:b/>
          <w:bCs/>
        </w:rPr>
        <w:t>Porozumění čtenému textu</w:t>
      </w:r>
    </w:p>
    <w:p w:rsidR="004C62AE" w:rsidRDefault="004C62AE" w:rsidP="004C62AE">
      <w:pPr>
        <w:rPr>
          <w:rFonts w:ascii="Arial" w:eastAsiaTheme="majorEastAsia" w:hAnsi="Arial" w:cstheme="majorBidi"/>
          <w:b/>
          <w:color w:val="2E74B5" w:themeColor="accent1" w:themeShade="BF"/>
          <w:sz w:val="24"/>
          <w:szCs w:val="26"/>
        </w:rPr>
      </w:pPr>
      <w:r>
        <w:br w:type="page"/>
      </w:r>
    </w:p>
    <w:p w:rsidR="004C62AE" w:rsidRPr="00A9543D" w:rsidRDefault="004C62AE" w:rsidP="004C62AE">
      <w:pPr>
        <w:pStyle w:val="Nadpis2"/>
      </w:pPr>
      <w:r w:rsidRPr="00A9543D">
        <w:lastRenderedPageBreak/>
        <w:t>Neuropsychologický přístup k dyslexii a její nápravě</w:t>
      </w:r>
    </w:p>
    <w:p w:rsidR="004C62AE" w:rsidRPr="00A9543D" w:rsidRDefault="004C62AE" w:rsidP="004C62AE">
      <w:r w:rsidRPr="00A9543D">
        <w:rPr>
          <w:u w:val="single"/>
        </w:rPr>
        <w:t>Pravá hemisféra</w:t>
      </w:r>
      <w:r w:rsidRPr="00A9543D">
        <w:t xml:space="preserve"> zachycuje percepčně-prostorové charakteristiky textu.</w:t>
      </w:r>
    </w:p>
    <w:p w:rsidR="004C62AE" w:rsidRPr="00A9543D" w:rsidRDefault="004C62AE" w:rsidP="004C62AE">
      <w:r w:rsidRPr="00A9543D">
        <w:rPr>
          <w:u w:val="single"/>
        </w:rPr>
        <w:t>Levá hemisféra</w:t>
      </w:r>
      <w:r w:rsidRPr="00A9543D">
        <w:t xml:space="preserve"> zpracovává obsahovou, řečovou stránku čtení.</w:t>
      </w:r>
    </w:p>
    <w:p w:rsidR="004C62AE" w:rsidRPr="00A9543D" w:rsidRDefault="004C62AE" w:rsidP="004C62AE">
      <w:r w:rsidRPr="00A9543D">
        <w:t>→ v počáteční fázi čtení se zapojuje více pravá hemisféra, postupně však převládá aktivace levé hemisféry.</w:t>
      </w:r>
    </w:p>
    <w:p w:rsidR="004C62AE" w:rsidRDefault="004C62AE" w:rsidP="004C62AE">
      <w:pPr>
        <w:pStyle w:val="Odstavecseseznamem"/>
        <w:numPr>
          <w:ilvl w:val="1"/>
          <w:numId w:val="29"/>
        </w:numPr>
        <w:spacing w:after="200" w:line="276" w:lineRule="auto"/>
        <w:ind w:left="426" w:hanging="426"/>
      </w:pPr>
      <w:r w:rsidRPr="00C065F6">
        <w:rPr>
          <w:iCs/>
        </w:rPr>
        <w:t>typ</w:t>
      </w:r>
      <w:r w:rsidRPr="00A9543D">
        <w:t>: “</w:t>
      </w:r>
      <w:proofErr w:type="spellStart"/>
      <w:r w:rsidRPr="00C065F6">
        <w:rPr>
          <w:b/>
          <w:bCs/>
        </w:rPr>
        <w:t>pravohemisférová</w:t>
      </w:r>
      <w:proofErr w:type="spellEnd"/>
      <w:r w:rsidRPr="00C065F6">
        <w:rPr>
          <w:b/>
          <w:bCs/>
        </w:rPr>
        <w:t xml:space="preserve"> dyslexie</w:t>
      </w:r>
      <w:r w:rsidRPr="00A9543D">
        <w:t xml:space="preserve">“ </w:t>
      </w:r>
    </w:p>
    <w:p w:rsidR="004C62AE" w:rsidRPr="00A9543D" w:rsidRDefault="004C62AE" w:rsidP="004C62AE">
      <w:pPr>
        <w:pStyle w:val="Odstavecseseznamem"/>
        <w:numPr>
          <w:ilvl w:val="1"/>
          <w:numId w:val="29"/>
        </w:numPr>
        <w:spacing w:after="200" w:line="276" w:lineRule="auto"/>
        <w:ind w:left="426" w:hanging="426"/>
      </w:pPr>
      <w:r w:rsidRPr="00C065F6">
        <w:rPr>
          <w:iCs/>
        </w:rPr>
        <w:t>typ</w:t>
      </w:r>
      <w:r w:rsidRPr="00A9543D">
        <w:t>:  „</w:t>
      </w:r>
      <w:proofErr w:type="spellStart"/>
      <w:r w:rsidRPr="00C065F6">
        <w:rPr>
          <w:b/>
          <w:bCs/>
        </w:rPr>
        <w:t>levohemisférová</w:t>
      </w:r>
      <w:proofErr w:type="spellEnd"/>
      <w:r w:rsidRPr="00C065F6">
        <w:rPr>
          <w:b/>
          <w:bCs/>
        </w:rPr>
        <w:t xml:space="preserve"> dyslexie</w:t>
      </w:r>
      <w:r w:rsidRPr="00A9543D">
        <w:t xml:space="preserve">“ </w:t>
      </w:r>
    </w:p>
    <w:p w:rsidR="004C62AE" w:rsidRPr="00A9543D" w:rsidRDefault="004C62AE" w:rsidP="004C62AE">
      <w:pPr>
        <w:pStyle w:val="Odstavecseseznamem"/>
        <w:numPr>
          <w:ilvl w:val="1"/>
          <w:numId w:val="29"/>
        </w:numPr>
        <w:spacing w:after="200" w:line="276" w:lineRule="auto"/>
        <w:ind w:left="426" w:hanging="426"/>
      </w:pPr>
      <w:r w:rsidRPr="00C065F6">
        <w:rPr>
          <w:iCs/>
        </w:rPr>
        <w:t>typ</w:t>
      </w:r>
      <w:r w:rsidRPr="00A9543D">
        <w:t>: „</w:t>
      </w:r>
      <w:r w:rsidRPr="00C065F6">
        <w:rPr>
          <w:b/>
          <w:bCs/>
        </w:rPr>
        <w:t>počáteční dyslexie</w:t>
      </w:r>
      <w:r w:rsidRPr="00A9543D">
        <w:t xml:space="preserve">“ </w:t>
      </w:r>
    </w:p>
    <w:p w:rsidR="004C62AE" w:rsidRDefault="004C62AE" w:rsidP="004C62AE">
      <w:pPr>
        <w:rPr>
          <w:b/>
          <w:bCs/>
        </w:rPr>
      </w:pPr>
    </w:p>
    <w:p w:rsidR="004C62AE" w:rsidRDefault="004C62AE" w:rsidP="004C62AE">
      <w:pPr>
        <w:pStyle w:val="Nadpis2"/>
      </w:pPr>
      <w:r>
        <w:t xml:space="preserve">Metody a techniky používané při reedukaci dyslexie </w:t>
      </w:r>
    </w:p>
    <w:p w:rsidR="004C62AE" w:rsidRPr="00C065F6" w:rsidRDefault="004C62AE" w:rsidP="004C62AE">
      <w:pPr>
        <w:rPr>
          <w:rStyle w:val="Siln"/>
        </w:rPr>
      </w:pPr>
      <w:r w:rsidRPr="00C065F6">
        <w:rPr>
          <w:rStyle w:val="Siln"/>
        </w:rPr>
        <w:t>Metoda obtahování</w:t>
      </w:r>
    </w:p>
    <w:p w:rsidR="004C62AE" w:rsidRPr="00A9543D" w:rsidRDefault="004C62AE" w:rsidP="004C62AE">
      <w:pPr>
        <w:pStyle w:val="Odstavecseseznamem"/>
        <w:numPr>
          <w:ilvl w:val="0"/>
          <w:numId w:val="15"/>
        </w:numPr>
        <w:spacing w:after="200" w:line="276" w:lineRule="auto"/>
      </w:pPr>
      <w:r w:rsidRPr="00A9543D">
        <w:t>počáteční stádia reedukace u těžkých případů dyslexie a dysgrafie, cizí jazyk (angličtina)</w:t>
      </w:r>
    </w:p>
    <w:p w:rsidR="004C62AE" w:rsidRPr="00A9543D" w:rsidRDefault="004C62AE" w:rsidP="004C62AE">
      <w:pPr>
        <w:pStyle w:val="Odstavecseseznamem"/>
        <w:numPr>
          <w:ilvl w:val="0"/>
          <w:numId w:val="15"/>
        </w:numPr>
        <w:spacing w:after="200" w:line="276" w:lineRule="auto"/>
      </w:pPr>
      <w:r w:rsidRPr="00A9543D">
        <w:t xml:space="preserve">zapojuje hmat a pohyb, psychoterapeutický efekt </w:t>
      </w:r>
    </w:p>
    <w:p w:rsidR="004C62AE" w:rsidRPr="00C065F6" w:rsidRDefault="004C62AE" w:rsidP="004C62AE">
      <w:pPr>
        <w:rPr>
          <w:rStyle w:val="Siln"/>
        </w:rPr>
      </w:pPr>
      <w:r w:rsidRPr="00C065F6">
        <w:rPr>
          <w:rStyle w:val="Siln"/>
        </w:rPr>
        <w:t>Metoda barevných kostek</w:t>
      </w:r>
    </w:p>
    <w:p w:rsidR="004C62AE" w:rsidRPr="00A9543D" w:rsidRDefault="004C62AE" w:rsidP="004C62AE">
      <w:pPr>
        <w:pStyle w:val="Odstavecseseznamem"/>
        <w:numPr>
          <w:ilvl w:val="0"/>
          <w:numId w:val="16"/>
        </w:numPr>
        <w:spacing w:after="200" w:line="276" w:lineRule="auto"/>
      </w:pPr>
      <w:r w:rsidRPr="00A9543D">
        <w:t>představy hmatové, pohybové, zrakové</w:t>
      </w:r>
    </w:p>
    <w:p w:rsidR="004C62AE" w:rsidRPr="00A9543D" w:rsidRDefault="004C62AE" w:rsidP="004C62AE">
      <w:pPr>
        <w:pStyle w:val="Odstavecseseznamem"/>
        <w:numPr>
          <w:ilvl w:val="0"/>
          <w:numId w:val="16"/>
        </w:numPr>
        <w:spacing w:after="200" w:line="276" w:lineRule="auto"/>
      </w:pPr>
      <w:r w:rsidRPr="00A9543D">
        <w:t>písmena nalepená na kostkách, dítě je řadí k sobě a čte (později i píše) vzniklé slabiky, slova</w:t>
      </w:r>
    </w:p>
    <w:p w:rsidR="004C62AE" w:rsidRPr="00C065F6" w:rsidRDefault="004C62AE" w:rsidP="004C62AE">
      <w:pPr>
        <w:rPr>
          <w:rStyle w:val="Siln"/>
        </w:rPr>
      </w:pPr>
      <w:r w:rsidRPr="00C065F6">
        <w:rPr>
          <w:rStyle w:val="Siln"/>
        </w:rPr>
        <w:t xml:space="preserve">Metoda </w:t>
      </w:r>
      <w:proofErr w:type="spellStart"/>
      <w:r w:rsidRPr="00C065F6">
        <w:rPr>
          <w:rStyle w:val="Siln"/>
        </w:rPr>
        <w:t>Fernaldové</w:t>
      </w:r>
      <w:proofErr w:type="spellEnd"/>
    </w:p>
    <w:p w:rsidR="004C62AE" w:rsidRPr="00A9543D" w:rsidRDefault="004C62AE" w:rsidP="004C62AE">
      <w:pPr>
        <w:pStyle w:val="Odstavecseseznamem"/>
        <w:numPr>
          <w:ilvl w:val="0"/>
          <w:numId w:val="17"/>
        </w:numPr>
        <w:spacing w:after="200" w:line="276" w:lineRule="auto"/>
      </w:pPr>
      <w:r w:rsidRPr="00A9543D">
        <w:t>náprava čtení u pomalých čtenářů (mají dobrou strategii)</w:t>
      </w:r>
    </w:p>
    <w:p w:rsidR="004C62AE" w:rsidRPr="00A9543D" w:rsidRDefault="004C62AE" w:rsidP="004C62AE">
      <w:pPr>
        <w:pStyle w:val="Odstavecseseznamem"/>
        <w:numPr>
          <w:ilvl w:val="0"/>
          <w:numId w:val="17"/>
        </w:numPr>
        <w:spacing w:after="200" w:line="276" w:lineRule="auto"/>
      </w:pPr>
      <w:r w:rsidRPr="00A9543D">
        <w:t>podtrhávání „nesnadných slov“ v textu</w:t>
      </w:r>
    </w:p>
    <w:p w:rsidR="004C62AE" w:rsidRPr="00C065F6" w:rsidRDefault="004C62AE" w:rsidP="004C62AE">
      <w:pPr>
        <w:rPr>
          <w:b/>
        </w:rPr>
      </w:pPr>
      <w:r w:rsidRPr="00C065F6">
        <w:rPr>
          <w:b/>
        </w:rPr>
        <w:t xml:space="preserve">Čtení s okénkem (záložkou) </w:t>
      </w:r>
    </w:p>
    <w:p w:rsidR="004C62AE" w:rsidRPr="00A9543D" w:rsidRDefault="004C62AE" w:rsidP="004C62AE">
      <w:pPr>
        <w:pStyle w:val="Odstavecseseznamem"/>
        <w:numPr>
          <w:ilvl w:val="0"/>
          <w:numId w:val="18"/>
        </w:numPr>
        <w:spacing w:after="200" w:line="276" w:lineRule="auto"/>
      </w:pPr>
      <w:r w:rsidRPr="00A9543D">
        <w:t xml:space="preserve">cvičí správné pohyby oka po řádku, odstraňuje tzv. dvojí čtení </w:t>
      </w:r>
    </w:p>
    <w:p w:rsidR="004C62AE" w:rsidRPr="00A9543D" w:rsidRDefault="004C62AE" w:rsidP="004C62AE">
      <w:pPr>
        <w:pStyle w:val="Odstavecseseznamem"/>
        <w:numPr>
          <w:ilvl w:val="0"/>
          <w:numId w:val="18"/>
        </w:numPr>
        <w:spacing w:after="200" w:line="276" w:lineRule="auto"/>
      </w:pPr>
      <w:r w:rsidRPr="00A9543D">
        <w:t xml:space="preserve">text </w:t>
      </w:r>
      <w:proofErr w:type="gramStart"/>
      <w:r w:rsidRPr="00A9543D">
        <w:t xml:space="preserve">postupně </w:t>
      </w:r>
      <w:r>
        <w:t>__________________</w:t>
      </w:r>
      <w:r w:rsidRPr="00A9543D">
        <w:t>(zabraňujeme</w:t>
      </w:r>
      <w:proofErr w:type="gramEnd"/>
      <w:r w:rsidRPr="00A9543D">
        <w:t xml:space="preserve"> „hádání“)</w:t>
      </w:r>
    </w:p>
    <w:p w:rsidR="004C62AE" w:rsidRPr="00A9543D" w:rsidRDefault="004C62AE" w:rsidP="004C62AE">
      <w:pPr>
        <w:pStyle w:val="Odstavecseseznamem"/>
        <w:numPr>
          <w:ilvl w:val="0"/>
          <w:numId w:val="18"/>
        </w:numPr>
        <w:spacing w:after="200" w:line="276" w:lineRule="auto"/>
      </w:pPr>
      <w:r w:rsidRPr="00A9543D">
        <w:t xml:space="preserve">text </w:t>
      </w:r>
      <w:proofErr w:type="gramStart"/>
      <w:r w:rsidRPr="00A9543D">
        <w:t xml:space="preserve">postupně </w:t>
      </w:r>
      <w:r>
        <w:t>__________________</w:t>
      </w:r>
      <w:r w:rsidRPr="00A9543D">
        <w:t>(zvýšení</w:t>
      </w:r>
      <w:proofErr w:type="gramEnd"/>
      <w:r w:rsidRPr="00A9543D">
        <w:t xml:space="preserve"> plynulosti a rychlosti)</w:t>
      </w:r>
    </w:p>
    <w:p w:rsidR="004C62AE" w:rsidRPr="00C065F6" w:rsidRDefault="004C62AE" w:rsidP="004C62AE">
      <w:pPr>
        <w:rPr>
          <w:u w:val="single"/>
        </w:rPr>
      </w:pPr>
      <w:r w:rsidRPr="00C065F6">
        <w:rPr>
          <w:u w:val="single"/>
        </w:rPr>
        <w:t>Zásady práce s okénkem:</w:t>
      </w:r>
    </w:p>
    <w:p w:rsidR="004C62AE" w:rsidRPr="00A9543D" w:rsidRDefault="004C62AE" w:rsidP="004C62AE">
      <w:pPr>
        <w:pStyle w:val="Odstavecseseznamem"/>
        <w:numPr>
          <w:ilvl w:val="0"/>
          <w:numId w:val="19"/>
        </w:numPr>
        <w:spacing w:after="200" w:line="276" w:lineRule="auto"/>
      </w:pPr>
      <w:r w:rsidRPr="00A9543D">
        <w:t>velikost okénka musí odpovídat textu;</w:t>
      </w:r>
      <w:r w:rsidRPr="00A9543D">
        <w:tab/>
      </w:r>
    </w:p>
    <w:p w:rsidR="004C62AE" w:rsidRPr="00A9543D" w:rsidRDefault="004C62AE" w:rsidP="004C62AE">
      <w:pPr>
        <w:pStyle w:val="Odstavecseseznamem"/>
        <w:numPr>
          <w:ilvl w:val="0"/>
          <w:numId w:val="19"/>
        </w:numPr>
        <w:spacing w:after="200" w:line="276" w:lineRule="auto"/>
      </w:pPr>
      <w:r w:rsidRPr="00A9543D">
        <w:t>okénkem posunuje terapeut, rodič;</w:t>
      </w:r>
    </w:p>
    <w:p w:rsidR="004C62AE" w:rsidRPr="00A9543D" w:rsidRDefault="004C62AE" w:rsidP="004C62AE">
      <w:pPr>
        <w:pStyle w:val="Odstavecseseznamem"/>
        <w:numPr>
          <w:ilvl w:val="0"/>
          <w:numId w:val="19"/>
        </w:numPr>
        <w:spacing w:after="200" w:line="276" w:lineRule="auto"/>
      </w:pPr>
      <w:r w:rsidRPr="00A9543D">
        <w:t>přizpůsobíme se dítěti – pomalé, ale plynulé čtení;</w:t>
      </w:r>
    </w:p>
    <w:p w:rsidR="004C62AE" w:rsidRPr="00A9543D" w:rsidRDefault="004C62AE" w:rsidP="004C62AE">
      <w:pPr>
        <w:pStyle w:val="Odstavecseseznamem"/>
        <w:numPr>
          <w:ilvl w:val="0"/>
          <w:numId w:val="19"/>
        </w:numPr>
        <w:spacing w:after="200" w:line="276" w:lineRule="auto"/>
      </w:pPr>
      <w:r w:rsidRPr="00A9543D">
        <w:t>nevyžadujeme čtení s přednesem;</w:t>
      </w:r>
    </w:p>
    <w:p w:rsidR="004C62AE" w:rsidRPr="00A9543D" w:rsidRDefault="004C62AE" w:rsidP="004C62AE">
      <w:pPr>
        <w:pStyle w:val="Odstavecseseznamem"/>
        <w:numPr>
          <w:ilvl w:val="0"/>
          <w:numId w:val="19"/>
        </w:numPr>
        <w:spacing w:after="200" w:line="276" w:lineRule="auto"/>
      </w:pPr>
      <w:r w:rsidRPr="00A9543D">
        <w:t>nepřipouštíme dvojí čtení, „vyrážení“ slabik;</w:t>
      </w:r>
    </w:p>
    <w:p w:rsidR="004C62AE" w:rsidRPr="00A9543D" w:rsidRDefault="004C62AE" w:rsidP="004C62AE">
      <w:pPr>
        <w:pStyle w:val="Odstavecseseznamem"/>
        <w:numPr>
          <w:ilvl w:val="0"/>
          <w:numId w:val="19"/>
        </w:numPr>
        <w:spacing w:after="200" w:line="276" w:lineRule="auto"/>
      </w:pPr>
      <w:r w:rsidRPr="00A9543D">
        <w:t>okénko posuneme těsně před tím, než dítě slabiku vysloví (strategie čtení);</w:t>
      </w:r>
    </w:p>
    <w:p w:rsidR="004C62AE" w:rsidRPr="00A9543D" w:rsidRDefault="004C62AE" w:rsidP="004C62AE">
      <w:pPr>
        <w:pStyle w:val="Odstavecseseznamem"/>
        <w:numPr>
          <w:ilvl w:val="0"/>
          <w:numId w:val="19"/>
        </w:numPr>
        <w:spacing w:after="200" w:line="276" w:lineRule="auto"/>
      </w:pPr>
      <w:r w:rsidRPr="00A9543D">
        <w:t>nutný odpočinek!!!!</w:t>
      </w:r>
    </w:p>
    <w:p w:rsidR="004C62AE" w:rsidRPr="00C065F6" w:rsidRDefault="004C62AE" w:rsidP="004C62AE">
      <w:pPr>
        <w:rPr>
          <w:b/>
        </w:rPr>
      </w:pPr>
      <w:r w:rsidRPr="00C065F6">
        <w:rPr>
          <w:b/>
        </w:rPr>
        <w:t>Metoda postřehování</w:t>
      </w:r>
    </w:p>
    <w:p w:rsidR="004C62AE" w:rsidRPr="00A9543D" w:rsidRDefault="004C62AE" w:rsidP="004C62AE">
      <w:pPr>
        <w:pStyle w:val="Odstavecseseznamem"/>
        <w:numPr>
          <w:ilvl w:val="0"/>
          <w:numId w:val="20"/>
        </w:numPr>
        <w:spacing w:after="200" w:line="276" w:lineRule="auto"/>
      </w:pPr>
      <w:r w:rsidRPr="00A9543D">
        <w:t>při potížích ve spojení písmeno – slabika – slovo, při výskytu inverzí</w:t>
      </w:r>
    </w:p>
    <w:p w:rsidR="004C62AE" w:rsidRPr="00A9543D" w:rsidRDefault="004C62AE" w:rsidP="004C62AE">
      <w:pPr>
        <w:pStyle w:val="Odstavecseseznamem"/>
        <w:numPr>
          <w:ilvl w:val="0"/>
          <w:numId w:val="20"/>
        </w:numPr>
        <w:spacing w:after="200" w:line="276" w:lineRule="auto"/>
      </w:pPr>
      <w:r w:rsidRPr="00A9543D">
        <w:t>čtenářské okénko</w:t>
      </w:r>
    </w:p>
    <w:p w:rsidR="004C62AE" w:rsidRPr="00A9543D" w:rsidRDefault="004C62AE" w:rsidP="004C62AE">
      <w:pPr>
        <w:pStyle w:val="Odstavecseseznamem"/>
        <w:numPr>
          <w:ilvl w:val="0"/>
          <w:numId w:val="20"/>
        </w:numPr>
        <w:spacing w:after="200" w:line="276" w:lineRule="auto"/>
      </w:pPr>
      <w:r w:rsidRPr="00A9543D">
        <w:t>otevřené slabiky</w:t>
      </w:r>
      <w:r>
        <w:t xml:space="preserve"> </w:t>
      </w:r>
      <w:r w:rsidRPr="00A9543D">
        <w:t>→</w:t>
      </w:r>
      <w:r>
        <w:t xml:space="preserve"> </w:t>
      </w:r>
      <w:r w:rsidRPr="00A9543D">
        <w:t>zavírání otevřené slabiky</w:t>
      </w:r>
      <w:r>
        <w:t xml:space="preserve"> </w:t>
      </w:r>
      <w:r w:rsidRPr="00A9543D">
        <w:t>→ slabiky o třech písmenech</w:t>
      </w:r>
      <w:r>
        <w:t xml:space="preserve"> </w:t>
      </w:r>
      <w:r w:rsidRPr="00A9543D">
        <w:t>→</w:t>
      </w:r>
      <w:r>
        <w:t xml:space="preserve"> </w:t>
      </w:r>
      <w:r w:rsidRPr="00A9543D">
        <w:t>celá slova</w:t>
      </w:r>
    </w:p>
    <w:p w:rsidR="004C62AE" w:rsidRPr="00C065F6" w:rsidRDefault="004C62AE" w:rsidP="004C62AE">
      <w:pPr>
        <w:rPr>
          <w:b/>
        </w:rPr>
      </w:pPr>
      <w:r w:rsidRPr="00C065F6">
        <w:rPr>
          <w:b/>
        </w:rPr>
        <w:lastRenderedPageBreak/>
        <w:t>Metoda globálního čtení</w:t>
      </w:r>
    </w:p>
    <w:p w:rsidR="004C62AE" w:rsidRPr="00A9543D" w:rsidRDefault="004C62AE" w:rsidP="004C62AE">
      <w:pPr>
        <w:pStyle w:val="Odstavecseseznamem"/>
        <w:numPr>
          <w:ilvl w:val="0"/>
          <w:numId w:val="21"/>
        </w:numPr>
        <w:spacing w:after="200" w:line="276" w:lineRule="auto"/>
      </w:pPr>
      <w:r w:rsidRPr="00A9543D">
        <w:t>u dětí, které setrvávají na sledování jednotlivých písmen a nejsou schopny postřehovat jejich shluky (pomalé čtení)</w:t>
      </w:r>
    </w:p>
    <w:p w:rsidR="004C62AE" w:rsidRPr="00A9543D" w:rsidRDefault="004C62AE" w:rsidP="004C62AE">
      <w:pPr>
        <w:pStyle w:val="Odstavecseseznamem"/>
        <w:numPr>
          <w:ilvl w:val="0"/>
          <w:numId w:val="21"/>
        </w:numPr>
        <w:spacing w:after="200" w:line="276" w:lineRule="auto"/>
      </w:pPr>
      <w:r w:rsidRPr="00A9543D">
        <w:t>čtení celého textu</w:t>
      </w:r>
      <w:r>
        <w:t xml:space="preserve"> </w:t>
      </w:r>
      <w:r w:rsidRPr="00A9543D">
        <w:t>→</w:t>
      </w:r>
      <w:r>
        <w:t xml:space="preserve"> </w:t>
      </w:r>
      <w:r w:rsidRPr="00A9543D">
        <w:t>text s vynechanými písmeny</w:t>
      </w:r>
      <w:r>
        <w:t xml:space="preserve"> </w:t>
      </w:r>
      <w:r w:rsidRPr="00A9543D">
        <w:t xml:space="preserve">→ text s vynechanými slovy </w:t>
      </w:r>
    </w:p>
    <w:p w:rsidR="004C62AE" w:rsidRPr="00C065F6" w:rsidRDefault="004C62AE" w:rsidP="004C62AE">
      <w:pPr>
        <w:rPr>
          <w:b/>
        </w:rPr>
      </w:pPr>
      <w:r w:rsidRPr="00C065F6">
        <w:rPr>
          <w:b/>
        </w:rPr>
        <w:t>Čtení v duetu</w:t>
      </w:r>
    </w:p>
    <w:p w:rsidR="004C62AE" w:rsidRPr="00A9543D" w:rsidRDefault="004C62AE" w:rsidP="004C62AE">
      <w:pPr>
        <w:pStyle w:val="Odstavecseseznamem"/>
        <w:numPr>
          <w:ilvl w:val="0"/>
          <w:numId w:val="22"/>
        </w:numPr>
        <w:spacing w:after="200" w:line="276" w:lineRule="auto"/>
      </w:pPr>
      <w:r w:rsidRPr="00A9543D">
        <w:t>Společné čtení s dítětem.</w:t>
      </w:r>
    </w:p>
    <w:p w:rsidR="004C62AE" w:rsidRPr="00C065F6" w:rsidRDefault="004C62AE" w:rsidP="004C62AE">
      <w:pPr>
        <w:rPr>
          <w:b/>
        </w:rPr>
      </w:pPr>
      <w:r w:rsidRPr="00C065F6">
        <w:rPr>
          <w:b/>
        </w:rPr>
        <w:t>Metoda dublovaného čtení</w:t>
      </w:r>
    </w:p>
    <w:p w:rsidR="004C62AE" w:rsidRPr="00A9543D" w:rsidRDefault="004C62AE" w:rsidP="004C62AE">
      <w:pPr>
        <w:pStyle w:val="Odstavecseseznamem"/>
        <w:numPr>
          <w:ilvl w:val="0"/>
          <w:numId w:val="22"/>
        </w:numPr>
        <w:spacing w:after="200" w:line="276" w:lineRule="auto"/>
      </w:pPr>
      <w:r w:rsidRPr="00A9543D">
        <w:t>u žáků, kteří čtou nepřesně, domýšlejí koncovky, často chybují</w:t>
      </w:r>
    </w:p>
    <w:p w:rsidR="004C62AE" w:rsidRPr="00A9543D" w:rsidRDefault="004C62AE" w:rsidP="004C62AE">
      <w:pPr>
        <w:pStyle w:val="Odstavecseseznamem"/>
        <w:numPr>
          <w:ilvl w:val="0"/>
          <w:numId w:val="22"/>
        </w:numPr>
        <w:spacing w:after="200" w:line="276" w:lineRule="auto"/>
      </w:pPr>
      <w:r w:rsidRPr="00A9543D">
        <w:t xml:space="preserve">žák čte daný text o slovo zpět za hlasitým čtením pedagoga (rodiče) </w:t>
      </w:r>
    </w:p>
    <w:p w:rsidR="004C62AE" w:rsidRPr="00C065F6" w:rsidRDefault="004C62AE" w:rsidP="004C62AE">
      <w:pPr>
        <w:rPr>
          <w:b/>
        </w:rPr>
      </w:pPr>
      <w:r w:rsidRPr="00C065F6">
        <w:rPr>
          <w:b/>
        </w:rPr>
        <w:t>Přípravné čtení</w:t>
      </w:r>
    </w:p>
    <w:p w:rsidR="004C62AE" w:rsidRPr="00A9543D" w:rsidRDefault="004C62AE" w:rsidP="004C62AE">
      <w:pPr>
        <w:pStyle w:val="Odstavecseseznamem"/>
        <w:numPr>
          <w:ilvl w:val="0"/>
          <w:numId w:val="23"/>
        </w:numPr>
        <w:spacing w:after="200" w:line="276" w:lineRule="auto"/>
      </w:pPr>
      <w:r w:rsidRPr="00A9543D">
        <w:t>vychází z nutnosti motivovat dítě před vlastní samostatnou hlasitou četbou textu</w:t>
      </w:r>
    </w:p>
    <w:p w:rsidR="004C62AE" w:rsidRPr="00A9543D" w:rsidRDefault="004C62AE" w:rsidP="004C62AE">
      <w:pPr>
        <w:pStyle w:val="Odstavecseseznamem"/>
        <w:numPr>
          <w:ilvl w:val="0"/>
          <w:numId w:val="23"/>
        </w:numPr>
        <w:spacing w:after="200" w:line="276" w:lineRule="auto"/>
      </w:pPr>
      <w:r w:rsidRPr="00A9543D">
        <w:t>nácvičná slova z textu // rozhovor o textu // čtení textu terapeutem // dítě čte samo</w:t>
      </w:r>
    </w:p>
    <w:p w:rsidR="004C62AE" w:rsidRPr="00C065F6" w:rsidRDefault="004C62AE" w:rsidP="004C62AE">
      <w:pPr>
        <w:rPr>
          <w:b/>
        </w:rPr>
      </w:pPr>
      <w:r w:rsidRPr="00C065F6">
        <w:rPr>
          <w:b/>
        </w:rPr>
        <w:t>Poslouchání textu předčítaného dítětem</w:t>
      </w:r>
    </w:p>
    <w:p w:rsidR="004C62AE" w:rsidRPr="00A9543D" w:rsidRDefault="004C62AE" w:rsidP="004C62AE">
      <w:pPr>
        <w:pStyle w:val="Odstavecseseznamem"/>
        <w:numPr>
          <w:ilvl w:val="0"/>
          <w:numId w:val="24"/>
        </w:numPr>
        <w:spacing w:after="200" w:line="276" w:lineRule="auto"/>
      </w:pPr>
      <w:r w:rsidRPr="00A9543D">
        <w:t>dítě čte nahlas předem domluvený úsek textu</w:t>
      </w:r>
    </w:p>
    <w:p w:rsidR="004C62AE" w:rsidRPr="00A9543D" w:rsidRDefault="004C62AE" w:rsidP="004C62AE">
      <w:pPr>
        <w:pStyle w:val="Odstavecseseznamem"/>
        <w:numPr>
          <w:ilvl w:val="0"/>
          <w:numId w:val="24"/>
        </w:numPr>
        <w:spacing w:after="200" w:line="276" w:lineRule="auto"/>
      </w:pPr>
      <w:r w:rsidRPr="00A9543D">
        <w:t>rodič u něj sedí, aktivně poslouchá a opravuje společně s dítětem špatně přečtená slova</w:t>
      </w:r>
    </w:p>
    <w:p w:rsidR="004C62AE" w:rsidRPr="00C065F6" w:rsidRDefault="004C62AE" w:rsidP="004C62AE">
      <w:pPr>
        <w:rPr>
          <w:b/>
        </w:rPr>
      </w:pPr>
      <w:r w:rsidRPr="00C065F6">
        <w:rPr>
          <w:b/>
        </w:rPr>
        <w:t>Objasňování neznámých slov</w:t>
      </w:r>
    </w:p>
    <w:p w:rsidR="004C62AE" w:rsidRPr="00A9543D" w:rsidRDefault="004C62AE" w:rsidP="004C62AE">
      <w:pPr>
        <w:pStyle w:val="Odstavecseseznamem"/>
        <w:numPr>
          <w:ilvl w:val="0"/>
          <w:numId w:val="25"/>
        </w:numPr>
        <w:spacing w:after="200" w:line="276" w:lineRule="auto"/>
      </w:pPr>
      <w:r w:rsidRPr="00A9543D">
        <w:t>učitel/ rodič vypíší před vlastním čtením obtížná/ neznámá slova (po prvním čtení to může udělat i žák) → izolované procvičování těchto slov</w:t>
      </w:r>
    </w:p>
    <w:p w:rsidR="004C62AE" w:rsidRPr="00A9543D" w:rsidRDefault="004C62AE" w:rsidP="004C62AE">
      <w:pPr>
        <w:pStyle w:val="Odstavecseseznamem"/>
        <w:numPr>
          <w:ilvl w:val="0"/>
          <w:numId w:val="25"/>
        </w:numPr>
        <w:spacing w:after="200" w:line="276" w:lineRule="auto"/>
      </w:pPr>
      <w:r w:rsidRPr="00A9543D">
        <w:t>založení „kartotéky“ (kartičky k nácviku)</w:t>
      </w:r>
    </w:p>
    <w:p w:rsidR="004C62AE" w:rsidRPr="00C065F6" w:rsidRDefault="004C62AE" w:rsidP="004C62AE">
      <w:pPr>
        <w:rPr>
          <w:b/>
        </w:rPr>
      </w:pPr>
      <w:r w:rsidRPr="00C065F6">
        <w:rPr>
          <w:b/>
        </w:rPr>
        <w:t>Čtení s kontrolou diktafonu</w:t>
      </w:r>
    </w:p>
    <w:p w:rsidR="004C62AE" w:rsidRPr="00A9543D" w:rsidRDefault="004C62AE" w:rsidP="004C62AE">
      <w:pPr>
        <w:pStyle w:val="Odstavecseseznamem"/>
        <w:numPr>
          <w:ilvl w:val="0"/>
          <w:numId w:val="26"/>
        </w:numPr>
        <w:spacing w:after="200" w:line="276" w:lineRule="auto"/>
      </w:pPr>
      <w:r w:rsidRPr="00A9543D">
        <w:t>dítě čte nahlas, následně slyší totéž z přehrávače</w:t>
      </w:r>
    </w:p>
    <w:p w:rsidR="004C62AE" w:rsidRPr="00A9543D" w:rsidRDefault="004C62AE" w:rsidP="004C62AE">
      <w:pPr>
        <w:pStyle w:val="Odstavecseseznamem"/>
        <w:numPr>
          <w:ilvl w:val="0"/>
          <w:numId w:val="26"/>
        </w:numPr>
        <w:spacing w:after="200" w:line="276" w:lineRule="auto"/>
      </w:pPr>
      <w:r w:rsidRPr="00A9543D">
        <w:t xml:space="preserve">kontrola čtení i porozumění (nutný zácvik) </w:t>
      </w:r>
    </w:p>
    <w:p w:rsidR="004C62AE" w:rsidRPr="00C065F6" w:rsidRDefault="004C62AE" w:rsidP="004C62AE">
      <w:pPr>
        <w:rPr>
          <w:b/>
        </w:rPr>
      </w:pPr>
      <w:r w:rsidRPr="00C065F6">
        <w:rPr>
          <w:b/>
        </w:rPr>
        <w:t>Motorické čtení</w:t>
      </w:r>
    </w:p>
    <w:p w:rsidR="004C62AE" w:rsidRPr="00A9543D" w:rsidRDefault="004C62AE" w:rsidP="004C62AE">
      <w:pPr>
        <w:pStyle w:val="Odstavecseseznamem"/>
        <w:numPr>
          <w:ilvl w:val="0"/>
          <w:numId w:val="27"/>
        </w:numPr>
        <w:spacing w:after="200" w:line="276" w:lineRule="auto"/>
      </w:pPr>
      <w:r w:rsidRPr="00A9543D">
        <w:t>metoda v počátku čtení, při zahájení reedukace</w:t>
      </w:r>
    </w:p>
    <w:p w:rsidR="004C62AE" w:rsidRPr="00A9543D" w:rsidRDefault="004C62AE" w:rsidP="004C62AE">
      <w:pPr>
        <w:pStyle w:val="Odstavecseseznamem"/>
        <w:numPr>
          <w:ilvl w:val="0"/>
          <w:numId w:val="27"/>
        </w:numPr>
        <w:spacing w:after="200" w:line="276" w:lineRule="auto"/>
      </w:pPr>
      <w:r w:rsidRPr="00A9543D">
        <w:t xml:space="preserve">cvičení spolupráce L a P hemisféry, plynulost očních pohybů, druhotně </w:t>
      </w:r>
      <w:proofErr w:type="spellStart"/>
      <w:r w:rsidRPr="00A9543D">
        <w:t>intermodalita</w:t>
      </w:r>
      <w:proofErr w:type="spellEnd"/>
      <w:r w:rsidRPr="00A9543D">
        <w:t xml:space="preserve"> a </w:t>
      </w:r>
      <w:proofErr w:type="spellStart"/>
      <w:r w:rsidRPr="00A9543D">
        <w:t>serialita</w:t>
      </w:r>
      <w:proofErr w:type="spellEnd"/>
    </w:p>
    <w:p w:rsidR="004C62AE" w:rsidRDefault="004C62AE" w:rsidP="004C62AE">
      <w:pPr>
        <w:rPr>
          <w:rFonts w:ascii="Arial" w:eastAsiaTheme="majorEastAsia" w:hAnsi="Arial" w:cstheme="majorBidi"/>
          <w:b/>
          <w:color w:val="2E74B5" w:themeColor="accent1" w:themeShade="BF"/>
          <w:sz w:val="24"/>
          <w:szCs w:val="26"/>
        </w:rPr>
      </w:pPr>
      <w:r>
        <w:br w:type="page"/>
      </w:r>
    </w:p>
    <w:p w:rsidR="004C62AE" w:rsidRPr="00A9543D" w:rsidRDefault="004C62AE" w:rsidP="004C62AE">
      <w:pPr>
        <w:pStyle w:val="Nadpis2"/>
      </w:pPr>
      <w:r w:rsidRPr="00A9543D">
        <w:lastRenderedPageBreak/>
        <w:t>Jak mohou pomoci rodiče?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Číst v době, kdy je D i R v dobrém rozpoložení;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výběr knihy konzultovat s učitelem, dbát na vhodnost obsahu, písma, obrázky v knize;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vhodné místo ke čtení – pohodlí, světlo (nejlépe u stolu);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dopředu si o knize popovídat, nemotivovat ke čtení;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využití záložky, ukazovátka;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je dobré se s dítětem ve čtení střídat;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lze využít čtení v duetu;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zpočátku stačí 5 minut, později 10, max. 15 minut četby – každý den!;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chybu neovlivňující smysl textu není nutné opravovat;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oprava chyby: „Počkej, to nedávalo smysl, nebo ano?“ apod.;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při přerušení čtení nechat dítě číst od začátku věty;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nechat dítě číst monotónně, časem se to upraví;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na konci čtení si s dítětem popovídat o přečteném;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zdržet se negativních poznámek, chválit či ocenit úspěch;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je dobré dítěti číst – motivace, radost z literatury;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starším dětem lze číst knihy, které nezvládnou číst samy (kompenzace nedostatku informací);</w:t>
      </w:r>
    </w:p>
    <w:p w:rsidR="004C62AE" w:rsidRPr="00A9543D" w:rsidRDefault="004C62AE" w:rsidP="004C62AE">
      <w:pPr>
        <w:pStyle w:val="Odstavecseseznamem"/>
        <w:numPr>
          <w:ilvl w:val="0"/>
          <w:numId w:val="28"/>
        </w:numPr>
        <w:spacing w:after="200" w:line="276" w:lineRule="auto"/>
      </w:pPr>
      <w:r w:rsidRPr="00A9543D">
        <w:t>hrát různé hry spojené se slovy, slovní zásobou, čtením.</w:t>
      </w:r>
    </w:p>
    <w:p w:rsidR="004C62AE" w:rsidRDefault="004C62AE" w:rsidP="004C62AE"/>
    <w:p w:rsidR="004C62AE" w:rsidRPr="00FA5DCE" w:rsidRDefault="004C62AE">
      <w:pPr>
        <w:rPr>
          <w:rFonts w:ascii="Arial" w:hAnsi="Arial" w:cs="Arial"/>
          <w:b/>
          <w:sz w:val="24"/>
          <w:szCs w:val="24"/>
        </w:rPr>
      </w:pPr>
    </w:p>
    <w:p w:rsidR="00444A0E" w:rsidRDefault="00444A0E"/>
    <w:sectPr w:rsidR="00444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CB5"/>
      </v:shape>
    </w:pict>
  </w:numPicBullet>
  <w:abstractNum w:abstractNumId="0" w15:restartNumberingAfterBreak="0">
    <w:nsid w:val="006A1A91"/>
    <w:multiLevelType w:val="hybridMultilevel"/>
    <w:tmpl w:val="E092C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6A23"/>
    <w:multiLevelType w:val="hybridMultilevel"/>
    <w:tmpl w:val="01DEF87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564E6D8">
      <w:start w:val="1"/>
      <w:numFmt w:val="decimal"/>
      <w:lvlText w:val="%2."/>
      <w:lvlJc w:val="left"/>
      <w:pPr>
        <w:ind w:left="1788" w:hanging="360"/>
      </w:pPr>
      <w:rPr>
        <w:rFonts w:hint="default"/>
        <w:i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A8793E"/>
    <w:multiLevelType w:val="hybridMultilevel"/>
    <w:tmpl w:val="41F2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6AEA"/>
    <w:multiLevelType w:val="hybridMultilevel"/>
    <w:tmpl w:val="9DBCBE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215DD"/>
    <w:multiLevelType w:val="hybridMultilevel"/>
    <w:tmpl w:val="C5E21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571B"/>
    <w:multiLevelType w:val="hybridMultilevel"/>
    <w:tmpl w:val="F8FC6D40"/>
    <w:lvl w:ilvl="0" w:tplc="CEDECA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A22D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D4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16353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69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5E5A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5CA0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780F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E5F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E4446CB"/>
    <w:multiLevelType w:val="hybridMultilevel"/>
    <w:tmpl w:val="177AE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E6F4A"/>
    <w:multiLevelType w:val="hybridMultilevel"/>
    <w:tmpl w:val="85E06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B6597"/>
    <w:multiLevelType w:val="hybridMultilevel"/>
    <w:tmpl w:val="2BA6F87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408D0"/>
    <w:multiLevelType w:val="hybridMultilevel"/>
    <w:tmpl w:val="907C9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F18EA"/>
    <w:multiLevelType w:val="hybridMultilevel"/>
    <w:tmpl w:val="088075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E01FA"/>
    <w:multiLevelType w:val="hybridMultilevel"/>
    <w:tmpl w:val="B49C602C"/>
    <w:lvl w:ilvl="0" w:tplc="9C061C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070E0E"/>
    <w:multiLevelType w:val="hybridMultilevel"/>
    <w:tmpl w:val="A85695E2"/>
    <w:lvl w:ilvl="0" w:tplc="A90E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A86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E4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47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BA95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41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2D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64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801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C255B5"/>
    <w:multiLevelType w:val="hybridMultilevel"/>
    <w:tmpl w:val="8E0E1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F4211"/>
    <w:multiLevelType w:val="hybridMultilevel"/>
    <w:tmpl w:val="D14C11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B5511"/>
    <w:multiLevelType w:val="hybridMultilevel"/>
    <w:tmpl w:val="8DE65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A3944"/>
    <w:multiLevelType w:val="hybridMultilevel"/>
    <w:tmpl w:val="36107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95ECA"/>
    <w:multiLevelType w:val="hybridMultilevel"/>
    <w:tmpl w:val="661CDC8E"/>
    <w:lvl w:ilvl="0" w:tplc="B7BC50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74D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AA6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C3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69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806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05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69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A7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FB0E6B"/>
    <w:multiLevelType w:val="hybridMultilevel"/>
    <w:tmpl w:val="A8FC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0A18D3"/>
    <w:multiLevelType w:val="hybridMultilevel"/>
    <w:tmpl w:val="F738C65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FE0F8B"/>
    <w:multiLevelType w:val="hybridMultilevel"/>
    <w:tmpl w:val="10FCFA58"/>
    <w:lvl w:ilvl="0" w:tplc="9C061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plc="8DB83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C9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E6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AA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6E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4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40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49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C42753"/>
    <w:multiLevelType w:val="hybridMultilevel"/>
    <w:tmpl w:val="6572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8379C"/>
    <w:multiLevelType w:val="hybridMultilevel"/>
    <w:tmpl w:val="4D9849EC"/>
    <w:lvl w:ilvl="0" w:tplc="7B3E7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6A4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C6BD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4059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069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E449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DE9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A845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7A04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AAA4C21"/>
    <w:multiLevelType w:val="hybridMultilevel"/>
    <w:tmpl w:val="93DE3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60E22"/>
    <w:multiLevelType w:val="hybridMultilevel"/>
    <w:tmpl w:val="C26069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D0717"/>
    <w:multiLevelType w:val="hybridMultilevel"/>
    <w:tmpl w:val="45263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72B99"/>
    <w:multiLevelType w:val="hybridMultilevel"/>
    <w:tmpl w:val="732E12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E6745"/>
    <w:multiLevelType w:val="hybridMultilevel"/>
    <w:tmpl w:val="366AD456"/>
    <w:lvl w:ilvl="0" w:tplc="7D209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D84AD0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7A0BE1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7F8D2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C8AA1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F096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E6670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0106E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CCBB3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0B3A1C"/>
    <w:multiLevelType w:val="hybridMultilevel"/>
    <w:tmpl w:val="0CE88E24"/>
    <w:lvl w:ilvl="0" w:tplc="9F74D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B83D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9C9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E6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AA3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A6ED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545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A40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49E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7"/>
  </w:num>
  <w:num w:numId="5">
    <w:abstractNumId w:val="11"/>
  </w:num>
  <w:num w:numId="6">
    <w:abstractNumId w:val="22"/>
  </w:num>
  <w:num w:numId="7">
    <w:abstractNumId w:val="5"/>
  </w:num>
  <w:num w:numId="8">
    <w:abstractNumId w:val="27"/>
  </w:num>
  <w:num w:numId="9">
    <w:abstractNumId w:val="28"/>
  </w:num>
  <w:num w:numId="10">
    <w:abstractNumId w:val="20"/>
  </w:num>
  <w:num w:numId="11">
    <w:abstractNumId w:val="25"/>
  </w:num>
  <w:num w:numId="12">
    <w:abstractNumId w:val="7"/>
  </w:num>
  <w:num w:numId="13">
    <w:abstractNumId w:val="18"/>
  </w:num>
  <w:num w:numId="14">
    <w:abstractNumId w:val="19"/>
  </w:num>
  <w:num w:numId="15">
    <w:abstractNumId w:val="1"/>
  </w:num>
  <w:num w:numId="16">
    <w:abstractNumId w:val="13"/>
  </w:num>
  <w:num w:numId="17">
    <w:abstractNumId w:val="9"/>
  </w:num>
  <w:num w:numId="18">
    <w:abstractNumId w:val="15"/>
  </w:num>
  <w:num w:numId="19">
    <w:abstractNumId w:val="24"/>
  </w:num>
  <w:num w:numId="20">
    <w:abstractNumId w:val="10"/>
  </w:num>
  <w:num w:numId="21">
    <w:abstractNumId w:val="23"/>
  </w:num>
  <w:num w:numId="22">
    <w:abstractNumId w:val="21"/>
  </w:num>
  <w:num w:numId="23">
    <w:abstractNumId w:val="6"/>
  </w:num>
  <w:num w:numId="24">
    <w:abstractNumId w:val="4"/>
  </w:num>
  <w:num w:numId="25">
    <w:abstractNumId w:val="2"/>
  </w:num>
  <w:num w:numId="26">
    <w:abstractNumId w:val="0"/>
  </w:num>
  <w:num w:numId="27">
    <w:abstractNumId w:val="16"/>
  </w:num>
  <w:num w:numId="28">
    <w:abstractNumId w:val="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0E"/>
    <w:rsid w:val="003D1D7C"/>
    <w:rsid w:val="00444A0E"/>
    <w:rsid w:val="004C62AE"/>
    <w:rsid w:val="00FA5DCE"/>
    <w:rsid w:val="00F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3A2B50"/>
  <w15:chartTrackingRefBased/>
  <w15:docId w15:val="{75261B4F-B705-4CFB-A33F-582DD6B6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62AE"/>
    <w:pPr>
      <w:keepNext/>
      <w:keepLines/>
      <w:spacing w:after="240" w:line="276" w:lineRule="auto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62AE"/>
    <w:pPr>
      <w:keepNext/>
      <w:keepLines/>
      <w:spacing w:before="40" w:after="240"/>
      <w:outlineLvl w:val="1"/>
    </w:pPr>
    <w:rPr>
      <w:rFonts w:ascii="Arial" w:eastAsiaTheme="majorEastAsia" w:hAnsi="Arial" w:cstheme="majorBidi"/>
      <w:b/>
      <w:color w:val="2E74B5" w:themeColor="accent1" w:themeShade="BF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A0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A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C62AE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C62AE"/>
    <w:rPr>
      <w:rFonts w:ascii="Arial" w:eastAsiaTheme="majorEastAsia" w:hAnsi="Arial" w:cstheme="majorBidi"/>
      <w:b/>
      <w:color w:val="2E74B5" w:themeColor="accent1" w:themeShade="BF"/>
      <w:sz w:val="24"/>
      <w:szCs w:val="26"/>
    </w:rPr>
  </w:style>
  <w:style w:type="character" w:styleId="Siln">
    <w:name w:val="Strong"/>
    <w:basedOn w:val="Standardnpsmoodstavce"/>
    <w:uiPriority w:val="22"/>
    <w:qFormat/>
    <w:rsid w:val="004C6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7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66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4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5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4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5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1783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594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623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525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206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775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2102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3500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978">
          <w:marLeft w:val="77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8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2</cp:revision>
  <dcterms:created xsi:type="dcterms:W3CDTF">2019-03-10T21:31:00Z</dcterms:created>
  <dcterms:modified xsi:type="dcterms:W3CDTF">2019-03-12T14:48:00Z</dcterms:modified>
</cp:coreProperties>
</file>