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02" w:rsidRDefault="0013085F" w:rsidP="0013085F">
      <w:pPr>
        <w:contextualSpacing/>
        <w:jc w:val="center"/>
      </w:pPr>
      <w:r w:rsidRPr="0013085F">
        <w:rPr>
          <w:b/>
          <w:bCs/>
        </w:rPr>
        <w:t>Vs3BP_AA4</w:t>
      </w:r>
      <w:r w:rsidRPr="0013085F">
        <w:t xml:space="preserve"> </w:t>
      </w:r>
      <w:proofErr w:type="spellStart"/>
      <w:r w:rsidRPr="0013085F">
        <w:t>Arteterapeutický</w:t>
      </w:r>
      <w:proofErr w:type="spellEnd"/>
      <w:r w:rsidRPr="0013085F">
        <w:t xml:space="preserve"> ateliér 4</w:t>
      </w:r>
      <w:r w:rsidRPr="0013085F">
        <w:br/>
      </w:r>
      <w:r w:rsidRPr="0013085F">
        <w:rPr>
          <w:b/>
          <w:bCs/>
        </w:rPr>
        <w:t>VIb013</w:t>
      </w:r>
      <w:r w:rsidRPr="0013085F">
        <w:t xml:space="preserve"> Speciální výtvarná výchova 1</w:t>
      </w:r>
    </w:p>
    <w:p w:rsidR="0013085F" w:rsidRPr="0013085F" w:rsidRDefault="0013085F" w:rsidP="0013085F">
      <w:pPr>
        <w:contextualSpacing/>
        <w:jc w:val="center"/>
      </w:pPr>
      <w:r w:rsidRPr="0013085F">
        <w:t>13. Multikulturní pojetí výtvarné výchovy</w:t>
      </w:r>
    </w:p>
    <w:p w:rsidR="0013085F" w:rsidRPr="0013085F" w:rsidRDefault="0013085F" w:rsidP="0013085F">
      <w:pPr>
        <w:contextualSpacing/>
        <w:jc w:val="right"/>
      </w:pPr>
      <w:r w:rsidRPr="0013085F">
        <w:t>Mgr. et Mgr. Bc. Lucie Hájková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Multikulturalismus/multikulturalita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 xml:space="preserve">= myšlenkový a politický směr (kulturní ideologie), který zastává stanovisko, že v jednom demokratickém státě mohou společně žít nejen jednotlivci, ale i skupiny s různou kulturou, a zdůrazňuje prospěšnost kulturní rozmanitosti pro společnost a stát. Je živý v zemích, jejichž obyvatelé pocházejí z rozdílného kulturního prostředí, a v některých z nich se uplatňuje i jako konkrétní politika státu. Cílem je politicky sjednotit všechny občany bez ohledu na jejich původ, etnicitu či přesvědčení, a to tak, že </w:t>
      </w:r>
      <w:proofErr w:type="gramStart"/>
      <w:r w:rsidRPr="0013085F">
        <w:t>si</w:t>
      </w:r>
      <w:proofErr w:type="gramEnd"/>
      <w:r w:rsidRPr="0013085F">
        <w:t xml:space="preserve"> pokud možno zachovají své kulturní odlišnosti. (Zdroj: Wikipedia)</w:t>
      </w:r>
    </w:p>
    <w:p w:rsidR="0013085F" w:rsidRP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-&gt; v jednom demokratickém státě mohou žít různí jednotlivci i skupiny</w:t>
      </w:r>
    </w:p>
    <w:p w:rsidR="0013085F" w:rsidRPr="0013085F" w:rsidRDefault="0013085F" w:rsidP="0013085F">
      <w:pPr>
        <w:contextualSpacing/>
      </w:pPr>
      <w:r w:rsidRPr="0013085F">
        <w:t>-&gt; kulturní rozmanitost je vnímána jako prospěšná všem</w:t>
      </w:r>
    </w:p>
    <w:p w:rsidR="0013085F" w:rsidRPr="0013085F" w:rsidRDefault="0013085F" w:rsidP="0013085F">
      <w:pPr>
        <w:contextualSpacing/>
      </w:pPr>
      <w:r w:rsidRPr="0013085F">
        <w:t>-&gt; politická rovnost pro všechny</w:t>
      </w:r>
    </w:p>
    <w:p w:rsidR="0013085F" w:rsidRPr="0013085F" w:rsidRDefault="0013085F" w:rsidP="0013085F">
      <w:pPr>
        <w:contextualSpacing/>
      </w:pPr>
      <w:r w:rsidRPr="0013085F">
        <w:t xml:space="preserve">-&gt; zachování kulturní odlišnosti                                             </w:t>
      </w:r>
      <w:proofErr w:type="gramStart"/>
      <w:r w:rsidRPr="0013085F">
        <w:t xml:space="preserve">   (</w:t>
      </w:r>
      <w:proofErr w:type="gramEnd"/>
      <w:r w:rsidRPr="0013085F">
        <w:t>Zdroj: Wikipedia)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1"/>
        </w:numPr>
        <w:contextualSpacing/>
      </w:pPr>
      <w:r w:rsidRPr="0013085F">
        <w:t>pluralistický multikulturalismus – důležitost komunity pro jedince, nutná znalost VŠECH sociokulturních komunit (multikulturní gramotnost), minorit i majority, problém segregace minorit (Francie)</w:t>
      </w:r>
    </w:p>
    <w:p w:rsidR="0013085F" w:rsidRPr="0013085F" w:rsidRDefault="0013085F" w:rsidP="0013085F">
      <w:pPr>
        <w:numPr>
          <w:ilvl w:val="0"/>
          <w:numId w:val="1"/>
        </w:numPr>
        <w:contextualSpacing/>
      </w:pPr>
      <w:r w:rsidRPr="0013085F">
        <w:t>liberální multikulturalismus – rovnost a svoboda v neutrální společnosti, kulturní odlišnosti jako soukromá záležitost, integrační model (Švýcarsko)</w:t>
      </w:r>
    </w:p>
    <w:p w:rsidR="0013085F" w:rsidRPr="0013085F" w:rsidRDefault="0013085F" w:rsidP="0013085F">
      <w:pPr>
        <w:numPr>
          <w:ilvl w:val="0"/>
          <w:numId w:val="1"/>
        </w:numPr>
        <w:contextualSpacing/>
      </w:pPr>
      <w:r w:rsidRPr="0013085F">
        <w:t>kritický multikulturalismus – zaměřen na rovné příležitosti pro všechny (vzdělání, rozdělování zdrojů), zaměřen i na jinou než kulturní odlišnost: sexismus, třídní rozdělení společnosti, původní kultura ale zůstává v popředí (Velká Británie)</w:t>
      </w:r>
    </w:p>
    <w:p w:rsidR="0013085F" w:rsidRDefault="0013085F" w:rsidP="0013085F">
      <w:pPr>
        <w:contextualSpacing/>
      </w:pPr>
      <w:r w:rsidRPr="0013085F">
        <w:t>(Zdroj: Wikipedia)</w:t>
      </w:r>
    </w:p>
    <w:p w:rsidR="0013085F" w:rsidRP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Modely integrace</w:t>
      </w:r>
    </w:p>
    <w:p w:rsidR="0013085F" w:rsidRPr="0013085F" w:rsidRDefault="0013085F" w:rsidP="0013085F">
      <w:pPr>
        <w:numPr>
          <w:ilvl w:val="0"/>
          <w:numId w:val="2"/>
        </w:numPr>
        <w:contextualSpacing/>
      </w:pPr>
      <w:r w:rsidRPr="0013085F">
        <w:t>Asimilace: přizpůsobení se menšiny většině</w:t>
      </w:r>
    </w:p>
    <w:p w:rsidR="0013085F" w:rsidRPr="0013085F" w:rsidRDefault="0013085F" w:rsidP="0013085F">
      <w:pPr>
        <w:numPr>
          <w:ilvl w:val="0"/>
          <w:numId w:val="2"/>
        </w:numPr>
        <w:contextualSpacing/>
      </w:pPr>
      <w:r w:rsidRPr="0013085F">
        <w:t>„</w:t>
      </w:r>
      <w:proofErr w:type="spellStart"/>
      <w:r w:rsidRPr="0013085F">
        <w:t>Melting</w:t>
      </w:r>
      <w:proofErr w:type="spellEnd"/>
      <w:r w:rsidRPr="0013085F">
        <w:t xml:space="preserve"> pot“ (tavící tyglík): menšina splývá s většinou, ale obohatí ji o nové prvky</w:t>
      </w:r>
    </w:p>
    <w:p w:rsidR="0013085F" w:rsidRPr="0013085F" w:rsidRDefault="0013085F" w:rsidP="0013085F">
      <w:pPr>
        <w:numPr>
          <w:ilvl w:val="0"/>
          <w:numId w:val="2"/>
        </w:numPr>
        <w:contextualSpacing/>
      </w:pPr>
      <w:r w:rsidRPr="0013085F">
        <w:t>Kulturní pluralismus: menšina si zachová svou odlišnost a soudružnost, funkčně ale splývá s většinou (ekonomicky, politicky)</w:t>
      </w:r>
    </w:p>
    <w:p w:rsidR="0013085F" w:rsidRPr="0013085F" w:rsidRDefault="0013085F" w:rsidP="0013085F">
      <w:pPr>
        <w:contextualSpacing/>
      </w:pPr>
      <w:r w:rsidRPr="0013085F">
        <w:t>-&gt; multikulturalismus</w:t>
      </w:r>
    </w:p>
    <w:p w:rsidR="0013085F" w:rsidRPr="0013085F" w:rsidRDefault="0013085F" w:rsidP="0013085F">
      <w:pPr>
        <w:contextualSpacing/>
      </w:pPr>
      <w:r w:rsidRPr="0013085F">
        <w:t>-&gt; tolerance, dialog, spolupráce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Kulturní pluralismus (pluralita)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„</w:t>
      </w:r>
      <w:proofErr w:type="gramStart"/>
      <w:r w:rsidRPr="0013085F">
        <w:t>Kulturní  pluralita</w:t>
      </w:r>
      <w:proofErr w:type="gramEnd"/>
      <w:r w:rsidRPr="0013085F">
        <w:t xml:space="preserve">  je  teoretický  princip,  podle  něhož  se  uznává,  že  jednotlivá společenství (národy, etnika, kmeny, rasy, náboženské skupiny) mají své specifické kultury,  které  je  nutno  považovat  za  zcela  rovnocenné.  </w:t>
      </w:r>
      <w:proofErr w:type="gramStart"/>
      <w:r w:rsidRPr="0013085F">
        <w:t>Proto  je</w:t>
      </w:r>
      <w:proofErr w:type="gramEnd"/>
      <w:r w:rsidRPr="0013085F">
        <w:t xml:space="preserve">  třeba  tolerovat způsob  života  cizích  společenství  a  respektovat  existenci  odlišných  hodnot  a  norem.  </w:t>
      </w:r>
      <w:proofErr w:type="gramStart"/>
      <w:r w:rsidRPr="0013085F">
        <w:t>Není  tedy</w:t>
      </w:r>
      <w:proofErr w:type="gramEnd"/>
      <w:r w:rsidRPr="0013085F">
        <w:t xml:space="preserve">  oprávněné  považovat  kulturu  určitého  společenství  za  primitivních či barbarskou jen proto, že neodpovídá např. kultuře ekonomicky vyspělých evropských národů.“ </w:t>
      </w:r>
    </w:p>
    <w:p w:rsidR="0013085F" w:rsidRDefault="0013085F" w:rsidP="0013085F">
      <w:pPr>
        <w:contextualSpacing/>
      </w:pPr>
      <w:r w:rsidRPr="0013085F">
        <w:t>(Zdroj: Balvín, 2012)</w:t>
      </w:r>
    </w:p>
    <w:p w:rsidR="0013085F" w:rsidRP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-&gt; tolerance</w:t>
      </w:r>
    </w:p>
    <w:p w:rsidR="0013085F" w:rsidRPr="0013085F" w:rsidRDefault="0013085F" w:rsidP="0013085F">
      <w:pPr>
        <w:contextualSpacing/>
      </w:pPr>
      <w:r w:rsidRPr="0013085F">
        <w:lastRenderedPageBreak/>
        <w:t>-&gt; etnocentrismus</w:t>
      </w:r>
    </w:p>
    <w:p w:rsidR="0013085F" w:rsidRPr="0013085F" w:rsidRDefault="0013085F" w:rsidP="0013085F">
      <w:pPr>
        <w:contextualSpacing/>
      </w:pPr>
      <w:r w:rsidRPr="0013085F">
        <w:t>-&gt; snaha vypořádat se se skutečností, že se kultury stýkají a mísí</w:t>
      </w:r>
    </w:p>
    <w:p w:rsidR="0013085F" w:rsidRPr="0013085F" w:rsidRDefault="0013085F" w:rsidP="0013085F">
      <w:pPr>
        <w:contextualSpacing/>
      </w:pPr>
      <w:r w:rsidRPr="0013085F">
        <w:t>-&gt; zkoumání podmínek soužití, pracovat s riziky i výhodami</w:t>
      </w:r>
    </w:p>
    <w:p w:rsidR="0013085F" w:rsidRPr="0013085F" w:rsidRDefault="0013085F" w:rsidP="0013085F">
      <w:pPr>
        <w:contextualSpacing/>
      </w:pPr>
      <w:r w:rsidRPr="0013085F">
        <w:t>-&gt; pozitivní pohled na rozmanitost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Etnocentrismus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= názor, že kultura vlastní skupiny, je nadřazena kultuře jiných skupin.[1] Toto přesvědčení může být vědomé i nevědomé, a často bývá spojováno s tendencí neuvědomovat si předpojatost v tom obsaženou. [2] Etnocentrický postoj zahrnuje vnímání hodnot a norem vlastní skupiny jako jediných správných, užitečných a pravdivých. Vlastní sociální skupina je standardem, kterým jsou poměřovány ostatní skupiny a životní situace. Způsob života jiných skupin je chápán jako odchylka od optimálního stavu. Pravé kvality jiných kultur tudíž nejsou brány v potaz.</w:t>
      </w:r>
    </w:p>
    <w:p w:rsidR="0013085F" w:rsidRDefault="0013085F" w:rsidP="0013085F">
      <w:pPr>
        <w:contextualSpacing/>
      </w:pPr>
      <w:r w:rsidRPr="0013085F">
        <w:t>(Zdroj: Wikipedia)</w:t>
      </w:r>
    </w:p>
    <w:p w:rsidR="0013085F" w:rsidRP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-&gt; nadřazenost ostatním skupinám</w:t>
      </w:r>
    </w:p>
    <w:p w:rsidR="0013085F" w:rsidRPr="0013085F" w:rsidRDefault="0013085F" w:rsidP="0013085F">
      <w:pPr>
        <w:contextualSpacing/>
      </w:pPr>
      <w:r w:rsidRPr="0013085F">
        <w:t>-&gt; neuvědomělost postoje</w:t>
      </w:r>
    </w:p>
    <w:p w:rsidR="0013085F" w:rsidRPr="0013085F" w:rsidRDefault="0013085F" w:rsidP="0013085F">
      <w:pPr>
        <w:contextualSpacing/>
      </w:pPr>
      <w:r w:rsidRPr="0013085F">
        <w:t>-&gt; patent na pravdu</w:t>
      </w:r>
    </w:p>
    <w:p w:rsidR="0013085F" w:rsidRPr="0013085F" w:rsidRDefault="0013085F" w:rsidP="0013085F">
      <w:pPr>
        <w:contextualSpacing/>
      </w:pPr>
      <w:r w:rsidRPr="0013085F">
        <w:t>-&gt; standard normy</w:t>
      </w:r>
    </w:p>
    <w:p w:rsidR="0013085F" w:rsidRDefault="0013085F" w:rsidP="0013085F">
      <w:pPr>
        <w:contextualSpacing/>
      </w:pPr>
      <w:r w:rsidRPr="0013085F">
        <w:t>-&gt; sebestřednost, neobjektivnost</w:t>
      </w:r>
    </w:p>
    <w:p w:rsidR="0013085F" w:rsidRP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 xml:space="preserve">(1) JANDOUREK, Jan. </w:t>
      </w:r>
      <w:r w:rsidRPr="0013085F">
        <w:rPr>
          <w:i/>
          <w:iCs/>
        </w:rPr>
        <w:t>Sociologický slovník</w:t>
      </w:r>
      <w:r w:rsidRPr="0013085F">
        <w:t xml:space="preserve">. Praha: Portál, 2001. S. 76. </w:t>
      </w:r>
    </w:p>
    <w:p w:rsidR="0013085F" w:rsidRPr="0013085F" w:rsidRDefault="0013085F" w:rsidP="0013085F">
      <w:pPr>
        <w:contextualSpacing/>
      </w:pPr>
      <w:r w:rsidRPr="0013085F">
        <w:t xml:space="preserve">(2) TESAŘ, Filip. </w:t>
      </w:r>
      <w:r w:rsidRPr="0013085F">
        <w:rPr>
          <w:i/>
          <w:iCs/>
        </w:rPr>
        <w:t>Etnické konflikty</w:t>
      </w:r>
      <w:r w:rsidRPr="0013085F">
        <w:t xml:space="preserve">. 1. vyd. Praha: Portál, 2007. </w:t>
      </w:r>
      <w:hyperlink r:id="rId5" w:history="1">
        <w:r w:rsidRPr="0013085F">
          <w:rPr>
            <w:rStyle w:val="Hypertextovodkaz"/>
          </w:rPr>
          <w:t>ISBN</w:t>
        </w:r>
      </w:hyperlink>
      <w:r w:rsidRPr="0013085F">
        <w:t xml:space="preserve"> </w:t>
      </w:r>
      <w:hyperlink r:id="rId6" w:history="1">
        <w:r w:rsidRPr="0013085F">
          <w:rPr>
            <w:rStyle w:val="Hypertextovodkaz"/>
          </w:rPr>
          <w:t>978-80-7367-097-9</w:t>
        </w:r>
      </w:hyperlink>
      <w:r w:rsidRPr="0013085F">
        <w:t xml:space="preserve">. S. 68-69, 71-72. 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Etnikum, etnicita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3"/>
        </w:numPr>
        <w:contextualSpacing/>
      </w:pPr>
      <w:r w:rsidRPr="0013085F">
        <w:t>Etnikum: skupina sdílející stejnou etnicitu</w:t>
      </w:r>
    </w:p>
    <w:p w:rsidR="0013085F" w:rsidRDefault="0013085F" w:rsidP="0013085F">
      <w:pPr>
        <w:numPr>
          <w:ilvl w:val="0"/>
          <w:numId w:val="3"/>
        </w:numPr>
        <w:contextualSpacing/>
      </w:pPr>
      <w:r w:rsidRPr="0013085F">
        <w:t xml:space="preserve">Etnicita: „souhrn kulturních, rasových, jazykových </w:t>
      </w:r>
      <w:proofErr w:type="gramStart"/>
      <w:r w:rsidRPr="0013085F">
        <w:t>a  teritoriálních</w:t>
      </w:r>
      <w:proofErr w:type="gramEnd"/>
      <w:r w:rsidRPr="0013085F">
        <w:t xml:space="preserve"> faktorů, historických osudů a představ o  společném původu, formujících etnické vědomí člověka, etnickou identitu.“ (Průcha, 2006)</w:t>
      </w:r>
    </w:p>
    <w:p w:rsidR="0013085F" w:rsidRPr="0013085F" w:rsidRDefault="0013085F" w:rsidP="0013085F">
      <w:pPr>
        <w:numPr>
          <w:ilvl w:val="0"/>
          <w:numId w:val="3"/>
        </w:numPr>
        <w:contextualSpacing/>
      </w:pPr>
    </w:p>
    <w:p w:rsidR="0013085F" w:rsidRDefault="0013085F" w:rsidP="0013085F">
      <w:pPr>
        <w:contextualSpacing/>
      </w:pPr>
      <w:r w:rsidRPr="0013085F">
        <w:t>-&gt; etnická příslušnost x národnost?</w:t>
      </w:r>
    </w:p>
    <w:p w:rsidR="0013085F" w:rsidRP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Národnostní menšina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4"/>
        </w:numPr>
        <w:contextualSpacing/>
      </w:pPr>
      <w:r w:rsidRPr="0013085F">
        <w:t xml:space="preserve">„(1)  Národnostní menšina je  společenství občanů České republiky žijících na území současné České republiky, kteří se odlišují od ostatních občanů zpravidla společným etnickým původem, jazykem, kulturou a tradicemi, tvoří početní menšinu obyvatelstva a  zároveň projevují vůli  být  považováni za  národnostní menšinu za účelem společného úsilí o zachování a rozvoj vlastní svébytnosti, jazyka a kultury a  zároveň za  účelem vyjádření a  ochrany zájmů jejich společenství, které se historicky vytvořilo. </w:t>
      </w:r>
    </w:p>
    <w:p w:rsidR="0013085F" w:rsidRPr="0013085F" w:rsidRDefault="0013085F" w:rsidP="0013085F">
      <w:pPr>
        <w:numPr>
          <w:ilvl w:val="0"/>
          <w:numId w:val="4"/>
        </w:numPr>
        <w:contextualSpacing/>
      </w:pPr>
      <w:r w:rsidRPr="0013085F">
        <w:t xml:space="preserve">(2) Příslušníkem národnostní menšiny je občan České republiky, který se hlásí k </w:t>
      </w:r>
      <w:proofErr w:type="gramStart"/>
      <w:r w:rsidRPr="0013085F">
        <w:t>jiné  než</w:t>
      </w:r>
      <w:proofErr w:type="gramEnd"/>
      <w:r w:rsidRPr="0013085F">
        <w:t xml:space="preserve">  české  národnosti a  projevuje přání  být  považován za  příslušníka národnostní menšiny spolu s dalšími, kteří se hlásí ke stejné národnosti“. (Zákon č. 273/2001 Sb., § 2).</w:t>
      </w:r>
    </w:p>
    <w:p w:rsidR="0013085F" w:rsidRPr="0013085F" w:rsidRDefault="0013085F" w:rsidP="0013085F">
      <w:pPr>
        <w:numPr>
          <w:ilvl w:val="0"/>
          <w:numId w:val="4"/>
        </w:numPr>
        <w:contextualSpacing/>
      </w:pPr>
      <w:r w:rsidRPr="0013085F">
        <w:t>práva cizinců zajišťují samostatné právní předpisy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Xenofobie -&gt; rasismus -&gt; rasová diskriminace a násilí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lastRenderedPageBreak/>
        <w:t>Xenofobie – strach z cizího, neznámého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t>rasa? (antropologie)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t>rasismus – předpoklad fyzické a psychické nerovnosti na základě rozlišování lidských ras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t xml:space="preserve">rasová diskriminace 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t>rasové násilí</w:t>
      </w:r>
    </w:p>
    <w:p w:rsidR="0013085F" w:rsidRPr="0013085F" w:rsidRDefault="0013085F" w:rsidP="0013085F">
      <w:pPr>
        <w:numPr>
          <w:ilvl w:val="0"/>
          <w:numId w:val="5"/>
        </w:numPr>
        <w:contextualSpacing/>
      </w:pPr>
      <w:r w:rsidRPr="0013085F">
        <w:t>agrese, útisk, vykořisťování, genocida…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Náboženství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6"/>
        </w:numPr>
        <w:contextualSpacing/>
      </w:pPr>
      <w:r w:rsidRPr="0013085F">
        <w:t>světová náboženství: křesťanství 33 % světové populace, islám 20 %, hinduismus 13 %, čínská národní náboženství 6,3 % a buddhismus 5,9 %</w:t>
      </w:r>
    </w:p>
    <w:p w:rsidR="0013085F" w:rsidRPr="0013085F" w:rsidRDefault="0013085F" w:rsidP="0013085F">
      <w:pPr>
        <w:contextualSpacing/>
      </w:pPr>
      <w:r w:rsidRPr="0013085F">
        <w:t xml:space="preserve">   Ateisté a lidé bez náboženství tvoří asi 14 % populace světa, domorodá kmenová náboženství vyznává 4 % lidstva (</w:t>
      </w:r>
      <w:proofErr w:type="spellStart"/>
      <w:r w:rsidRPr="0013085F">
        <w:t>Keene</w:t>
      </w:r>
      <w:proofErr w:type="spellEnd"/>
      <w:r w:rsidRPr="0013085F">
        <w:t>, 2003)</w:t>
      </w:r>
    </w:p>
    <w:p w:rsidR="0013085F" w:rsidRPr="0013085F" w:rsidRDefault="0013085F" w:rsidP="0013085F">
      <w:pPr>
        <w:numPr>
          <w:ilvl w:val="0"/>
          <w:numId w:val="7"/>
        </w:numPr>
        <w:contextualSpacing/>
      </w:pPr>
      <w:r w:rsidRPr="0013085F">
        <w:t>specifika jednotlivých náboženství v komunikaci</w:t>
      </w:r>
    </w:p>
    <w:p w:rsidR="0013085F" w:rsidRPr="0013085F" w:rsidRDefault="0013085F" w:rsidP="0013085F">
      <w:pPr>
        <w:numPr>
          <w:ilvl w:val="0"/>
          <w:numId w:val="7"/>
        </w:numPr>
        <w:contextualSpacing/>
      </w:pPr>
      <w:r w:rsidRPr="0013085F">
        <w:t>specifika ve výtvarné tvorbě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Multikulturní výchova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8"/>
        </w:numPr>
        <w:contextualSpacing/>
      </w:pPr>
      <w:r w:rsidRPr="0013085F">
        <w:t>jedno z průřezových témat</w:t>
      </w:r>
    </w:p>
    <w:p w:rsidR="0013085F" w:rsidRPr="0013085F" w:rsidRDefault="0013085F" w:rsidP="0013085F">
      <w:pPr>
        <w:numPr>
          <w:ilvl w:val="0"/>
          <w:numId w:val="8"/>
        </w:numPr>
        <w:contextualSpacing/>
      </w:pPr>
      <w:r w:rsidRPr="0013085F">
        <w:t>globalizace</w:t>
      </w:r>
    </w:p>
    <w:p w:rsidR="0013085F" w:rsidRPr="0013085F" w:rsidRDefault="0013085F" w:rsidP="0013085F">
      <w:pPr>
        <w:numPr>
          <w:ilvl w:val="0"/>
          <w:numId w:val="8"/>
        </w:numPr>
        <w:contextualSpacing/>
      </w:pPr>
      <w:r w:rsidRPr="0013085F">
        <w:t>vedení k toleranci, respektu, porozumění, spolupráci…</w:t>
      </w:r>
    </w:p>
    <w:p w:rsidR="0013085F" w:rsidRPr="0013085F" w:rsidRDefault="0013085F" w:rsidP="0013085F">
      <w:pPr>
        <w:numPr>
          <w:ilvl w:val="0"/>
          <w:numId w:val="8"/>
        </w:numPr>
        <w:contextualSpacing/>
      </w:pPr>
      <w:r w:rsidRPr="0013085F">
        <w:t>zaměření na děti, nicméně i součást andragogiky</w:t>
      </w:r>
    </w:p>
    <w:p w:rsidR="0013085F" w:rsidRPr="0013085F" w:rsidRDefault="0013085F" w:rsidP="0013085F">
      <w:pPr>
        <w:numPr>
          <w:ilvl w:val="0"/>
          <w:numId w:val="8"/>
        </w:numPr>
        <w:contextualSpacing/>
      </w:pPr>
      <w:hyperlink r:id="rId7" w:history="1">
        <w:r w:rsidRPr="0013085F">
          <w:rPr>
            <w:rStyle w:val="Hypertextovodkaz"/>
          </w:rPr>
          <w:t xml:space="preserve">https://digifolio.rvp.cz/view/view.php?id=4021 </w:t>
        </w:r>
      </w:hyperlink>
    </w:p>
    <w:p w:rsidR="0013085F" w:rsidRPr="0013085F" w:rsidRDefault="0013085F" w:rsidP="0013085F">
      <w:pPr>
        <w:numPr>
          <w:ilvl w:val="0"/>
          <w:numId w:val="8"/>
        </w:numPr>
        <w:contextualSpacing/>
      </w:pPr>
      <w:hyperlink r:id="rId8" w:history="1">
        <w:r w:rsidRPr="0013085F">
          <w:rPr>
            <w:rStyle w:val="Hypertextovodkaz"/>
          </w:rPr>
          <w:t xml:space="preserve">https://rvp.cz/vyhledavani?q=multikulturn%C3%AD%20v%C3%BDchova&amp;s.x=0&amp;s.y=0 </w:t>
        </w:r>
      </w:hyperlink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Cílové skupiny?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9"/>
        </w:numPr>
        <w:contextualSpacing/>
      </w:pPr>
      <w:r w:rsidRPr="0013085F">
        <w:t>Cizinci</w:t>
      </w:r>
    </w:p>
    <w:p w:rsidR="0013085F" w:rsidRPr="0013085F" w:rsidRDefault="0013085F" w:rsidP="0013085F">
      <w:pPr>
        <w:numPr>
          <w:ilvl w:val="0"/>
          <w:numId w:val="9"/>
        </w:numPr>
        <w:contextualSpacing/>
      </w:pPr>
      <w:r w:rsidRPr="0013085F">
        <w:t>Uprchlíci, emigranti, migranti?</w:t>
      </w:r>
    </w:p>
    <w:p w:rsidR="0013085F" w:rsidRPr="0013085F" w:rsidRDefault="0013085F" w:rsidP="0013085F">
      <w:pPr>
        <w:numPr>
          <w:ilvl w:val="0"/>
          <w:numId w:val="9"/>
        </w:numPr>
        <w:contextualSpacing/>
      </w:pPr>
      <w:r w:rsidRPr="0013085F">
        <w:t>Národnostní menšiny</w:t>
      </w:r>
    </w:p>
    <w:p w:rsidR="0013085F" w:rsidRPr="0013085F" w:rsidRDefault="0013085F" w:rsidP="0013085F">
      <w:pPr>
        <w:numPr>
          <w:ilvl w:val="0"/>
          <w:numId w:val="9"/>
        </w:numPr>
        <w:contextualSpacing/>
      </w:pPr>
      <w:r w:rsidRPr="0013085F">
        <w:t>Etnické menšiny</w:t>
      </w:r>
    </w:p>
    <w:p w:rsidR="0013085F" w:rsidRPr="0013085F" w:rsidRDefault="0013085F" w:rsidP="0013085F">
      <w:pPr>
        <w:numPr>
          <w:ilvl w:val="0"/>
          <w:numId w:val="9"/>
        </w:numPr>
        <w:contextualSpacing/>
      </w:pPr>
      <w:r w:rsidRPr="0013085F">
        <w:t>VĚTŠINOVÁ SPOLEČNOST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Uprchlíci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contextualSpacing/>
      </w:pPr>
      <w:r w:rsidRPr="0013085F">
        <w:t>= osoby nacházející se mimo svou vlast z důvodu obavy z pronásledování, konfliktu, násilí…</w:t>
      </w:r>
    </w:p>
    <w:p w:rsidR="0013085F" w:rsidRPr="0013085F" w:rsidRDefault="0013085F" w:rsidP="0013085F">
      <w:pPr>
        <w:numPr>
          <w:ilvl w:val="0"/>
          <w:numId w:val="10"/>
        </w:numPr>
        <w:contextualSpacing/>
      </w:pPr>
      <w:r w:rsidRPr="0013085F">
        <w:t xml:space="preserve">UNHCR (The UN </w:t>
      </w:r>
      <w:proofErr w:type="spellStart"/>
      <w:r w:rsidRPr="0013085F">
        <w:t>Refugee</w:t>
      </w:r>
      <w:proofErr w:type="spellEnd"/>
      <w:r w:rsidRPr="0013085F">
        <w:t xml:space="preserve"> </w:t>
      </w:r>
      <w:proofErr w:type="spellStart"/>
      <w:r w:rsidRPr="0013085F">
        <w:t>Agency</w:t>
      </w:r>
      <w:proofErr w:type="spellEnd"/>
      <w:r w:rsidRPr="0013085F">
        <w:t>), OSN, 1950, po II. WW</w:t>
      </w:r>
    </w:p>
    <w:p w:rsidR="0013085F" w:rsidRPr="0013085F" w:rsidRDefault="0013085F" w:rsidP="0013085F">
      <w:pPr>
        <w:numPr>
          <w:ilvl w:val="0"/>
          <w:numId w:val="10"/>
        </w:numPr>
        <w:contextualSpacing/>
      </w:pPr>
      <w:r w:rsidRPr="0013085F">
        <w:t>azylová procedura (přijímací středisko -&gt; pobytové středisko)</w:t>
      </w:r>
    </w:p>
    <w:p w:rsidR="0013085F" w:rsidRPr="0013085F" w:rsidRDefault="0013085F" w:rsidP="0013085F">
      <w:pPr>
        <w:numPr>
          <w:ilvl w:val="0"/>
          <w:numId w:val="10"/>
        </w:numPr>
        <w:contextualSpacing/>
      </w:pPr>
      <w:r w:rsidRPr="0013085F">
        <w:t>skupiny vyžadující zvláštní pozornost a přístup (děti, samotné ženy, senioři, zdravotně postižení, drogově závislí, oběti válečných zločinů)</w:t>
      </w:r>
    </w:p>
    <w:p w:rsidR="0013085F" w:rsidRPr="0013085F" w:rsidRDefault="0013085F" w:rsidP="0013085F">
      <w:pPr>
        <w:numPr>
          <w:ilvl w:val="0"/>
          <w:numId w:val="10"/>
        </w:numPr>
        <w:contextualSpacing/>
      </w:pPr>
      <w:r w:rsidRPr="0013085F">
        <w:t>psychosociální aspekty uprchlictví (Landová in Kamenický, 2013)</w:t>
      </w:r>
    </w:p>
    <w:p w:rsidR="0013085F" w:rsidRPr="0013085F" w:rsidRDefault="0013085F" w:rsidP="0013085F">
      <w:pPr>
        <w:numPr>
          <w:ilvl w:val="0"/>
          <w:numId w:val="10"/>
        </w:numPr>
        <w:contextualSpacing/>
      </w:pPr>
      <w:r w:rsidRPr="0013085F">
        <w:t>vzdělávání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Výtvarná práce s příslušníky státních či etnických menšin a cizinci</w:t>
      </w:r>
    </w:p>
    <w:p w:rsidR="0013085F" w:rsidRDefault="0013085F" w:rsidP="0013085F">
      <w:pPr>
        <w:contextualSpacing/>
      </w:pP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respekt ke kulturním odlišnostem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pozor na traumatická témata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citlivý přístup k problematickým tématům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lastRenderedPageBreak/>
        <w:t>práce s jazykovou bariérou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pozitivní přístup k odlišnosti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motivace, sebepojetí, socializace, komunikace, aktivizace, edukace</w:t>
      </w:r>
    </w:p>
    <w:p w:rsidR="0013085F" w:rsidRPr="0013085F" w:rsidRDefault="0013085F" w:rsidP="0013085F">
      <w:pPr>
        <w:numPr>
          <w:ilvl w:val="0"/>
          <w:numId w:val="11"/>
        </w:numPr>
        <w:contextualSpacing/>
      </w:pPr>
      <w:r w:rsidRPr="0013085F">
        <w:t>témata: Česká republika, jazyk – komunikace, mytologie, jídlo…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  <w:r w:rsidRPr="0013085F">
        <w:t>Doporučená literatura a zdroje:</w:t>
      </w:r>
    </w:p>
    <w:p w:rsidR="0013085F" w:rsidRDefault="0013085F" w:rsidP="0013085F">
      <w:pPr>
        <w:contextualSpacing/>
      </w:pPr>
      <w:bookmarkStart w:id="0" w:name="_GoBack"/>
      <w:bookmarkEnd w:id="0"/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>https://cs.wikipedia.org/wiki/Etnocentrismus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>https://cs.wikipedia.org/wiki/Multikulturalismus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>Velký sociologický slovník. I, A-O. Praha: Karolinum, 1996. ISBN 80-7184-311-3.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>Velký sociologický slovník. II, P-Ž. Praha: Karolinum, 1996. ISBN 80-7184-310-5.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 xml:space="preserve">KAMENICKÝ, Petr. </w:t>
      </w:r>
      <w:r w:rsidRPr="0013085F">
        <w:rPr>
          <w:i/>
          <w:iCs/>
        </w:rPr>
        <w:t>Uprchlíci: [</w:t>
      </w:r>
      <w:proofErr w:type="spellStart"/>
      <w:r w:rsidRPr="0013085F">
        <w:rPr>
          <w:i/>
          <w:iCs/>
        </w:rPr>
        <w:t>Creative</w:t>
      </w:r>
      <w:proofErr w:type="spellEnd"/>
      <w:r w:rsidRPr="0013085F">
        <w:rPr>
          <w:i/>
          <w:iCs/>
        </w:rPr>
        <w:t xml:space="preserve"> </w:t>
      </w:r>
      <w:proofErr w:type="spellStart"/>
      <w:proofErr w:type="gramStart"/>
      <w:r w:rsidRPr="0013085F">
        <w:rPr>
          <w:i/>
          <w:iCs/>
        </w:rPr>
        <w:t>help</w:t>
      </w:r>
      <w:proofErr w:type="spellEnd"/>
      <w:r w:rsidRPr="0013085F">
        <w:rPr>
          <w:i/>
          <w:iCs/>
        </w:rPr>
        <w:t xml:space="preserve"> - tvůrčí</w:t>
      </w:r>
      <w:proofErr w:type="gramEnd"/>
      <w:r w:rsidRPr="0013085F">
        <w:rPr>
          <w:i/>
          <w:iCs/>
        </w:rPr>
        <w:t xml:space="preserve"> dílny s uprchlíky]</w:t>
      </w:r>
      <w:r w:rsidRPr="0013085F">
        <w:t>. Brno: Masarykova univerzita, 2013. ISBN 978-80-210-6616-8.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 xml:space="preserve">SARTORI, Giovanni. </w:t>
      </w:r>
      <w:r w:rsidRPr="0013085F">
        <w:rPr>
          <w:i/>
          <w:iCs/>
        </w:rPr>
        <w:t>Pluralismus, multikulturalismus a přistěhovalci: esej o multietnické společnosti</w:t>
      </w:r>
      <w:r w:rsidRPr="0013085F">
        <w:t>. 2. vyd. v českém jazyce. Praha: Dokořán, 2011. PNK. ISBN 978-80-7363-380-6.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 xml:space="preserve">PRŮCHA, J. Multikulturní výchova: Příručka (nejen)pro učitele. Praha: TRITON, 2006. </w:t>
      </w:r>
      <w:proofErr w:type="gramStart"/>
      <w:r w:rsidRPr="0013085F">
        <w:t>29 – 30</w:t>
      </w:r>
      <w:proofErr w:type="gramEnd"/>
      <w:r w:rsidRPr="0013085F">
        <w:t xml:space="preserve"> s., 78 s. ISBN 80-7254-866-2.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 xml:space="preserve">BALVÍN, Jaroslav. </w:t>
      </w:r>
      <w:r w:rsidRPr="0013085F">
        <w:rPr>
          <w:i/>
          <w:iCs/>
        </w:rPr>
        <w:t>Pedagogika, andragogika a multikulturalita</w:t>
      </w:r>
      <w:r w:rsidRPr="0013085F">
        <w:t>. Praha: Hnutí R v nakl. Radix, 2012. ISBN 978-80-86798-07-3.</w:t>
      </w:r>
    </w:p>
    <w:p w:rsidR="0013085F" w:rsidRPr="0013085F" w:rsidRDefault="0013085F" w:rsidP="0013085F">
      <w:pPr>
        <w:numPr>
          <w:ilvl w:val="0"/>
          <w:numId w:val="12"/>
        </w:numPr>
        <w:contextualSpacing/>
      </w:pPr>
      <w:r w:rsidRPr="0013085F">
        <w:t>KEENE, Michael. Světová náboženství. [</w:t>
      </w:r>
      <w:proofErr w:type="spellStart"/>
      <w:r w:rsidRPr="0013085F">
        <w:t>s.l</w:t>
      </w:r>
      <w:proofErr w:type="spellEnd"/>
      <w:r w:rsidRPr="0013085F">
        <w:t xml:space="preserve">.]: </w:t>
      </w:r>
      <w:proofErr w:type="spellStart"/>
      <w:r w:rsidRPr="0013085F">
        <w:t>Euromedia</w:t>
      </w:r>
      <w:proofErr w:type="spellEnd"/>
      <w:r w:rsidRPr="0013085F">
        <w:t xml:space="preserve"> </w:t>
      </w:r>
      <w:proofErr w:type="spellStart"/>
      <w:r w:rsidRPr="0013085F">
        <w:t>group</w:t>
      </w:r>
      <w:proofErr w:type="spellEnd"/>
      <w:r w:rsidRPr="0013085F">
        <w:t>, k.s., 2003. ISBN 80-242-0983-7.</w:t>
      </w:r>
    </w:p>
    <w:p w:rsidR="0013085F" w:rsidRDefault="0013085F" w:rsidP="0013085F">
      <w:pPr>
        <w:contextualSpacing/>
      </w:pPr>
    </w:p>
    <w:p w:rsidR="0013085F" w:rsidRDefault="0013085F" w:rsidP="0013085F">
      <w:pPr>
        <w:contextualSpacing/>
      </w:pPr>
    </w:p>
    <w:sectPr w:rsidR="0013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D1C"/>
    <w:multiLevelType w:val="hybridMultilevel"/>
    <w:tmpl w:val="23FE1FFC"/>
    <w:lvl w:ilvl="0" w:tplc="46D24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4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C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2C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6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7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80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CF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C87282"/>
    <w:multiLevelType w:val="hybridMultilevel"/>
    <w:tmpl w:val="51FA5CDC"/>
    <w:lvl w:ilvl="0" w:tplc="B96E3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40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04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8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6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A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2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5556EF"/>
    <w:multiLevelType w:val="hybridMultilevel"/>
    <w:tmpl w:val="ADD8D51E"/>
    <w:lvl w:ilvl="0" w:tplc="912A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C1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0D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0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C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E5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0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E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02724A"/>
    <w:multiLevelType w:val="hybridMultilevel"/>
    <w:tmpl w:val="88BE86CA"/>
    <w:lvl w:ilvl="0" w:tplc="9A6E1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4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C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A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B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09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2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8C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84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893876"/>
    <w:multiLevelType w:val="hybridMultilevel"/>
    <w:tmpl w:val="671CFF20"/>
    <w:lvl w:ilvl="0" w:tplc="FB9A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25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26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64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4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2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2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D823D6"/>
    <w:multiLevelType w:val="hybridMultilevel"/>
    <w:tmpl w:val="F7C60D42"/>
    <w:lvl w:ilvl="0" w:tplc="180E2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25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8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C9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A3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43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25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2D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7B44B3"/>
    <w:multiLevelType w:val="hybridMultilevel"/>
    <w:tmpl w:val="753CFC5A"/>
    <w:lvl w:ilvl="0" w:tplc="AC54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81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F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6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01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0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09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9E231D"/>
    <w:multiLevelType w:val="hybridMultilevel"/>
    <w:tmpl w:val="B2C6F5F2"/>
    <w:lvl w:ilvl="0" w:tplc="FDD6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AE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2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8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E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8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87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2354C7"/>
    <w:multiLevelType w:val="hybridMultilevel"/>
    <w:tmpl w:val="4D4E31D8"/>
    <w:lvl w:ilvl="0" w:tplc="8FAC3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0C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03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0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A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6B46F2"/>
    <w:multiLevelType w:val="hybridMultilevel"/>
    <w:tmpl w:val="ED54356C"/>
    <w:lvl w:ilvl="0" w:tplc="E50CB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E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2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A9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66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25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C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E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E52058"/>
    <w:multiLevelType w:val="hybridMultilevel"/>
    <w:tmpl w:val="F9084564"/>
    <w:lvl w:ilvl="0" w:tplc="5AC4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5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4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E7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E4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2B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21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B4DB9"/>
    <w:multiLevelType w:val="hybridMultilevel"/>
    <w:tmpl w:val="E9E6D39C"/>
    <w:lvl w:ilvl="0" w:tplc="80C8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6B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64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CC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0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8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80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E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5F"/>
    <w:rsid w:val="000B3402"/>
    <w:rsid w:val="0013085F"/>
    <w:rsid w:val="00BE6FD6"/>
    <w:rsid w:val="00E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518"/>
  <w15:chartTrackingRefBased/>
  <w15:docId w15:val="{62F3E232-380D-41D8-9B6E-4F17140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aliases w:val="bc podnadpis"/>
    <w:basedOn w:val="Standardnpsmoodstavce"/>
    <w:uiPriority w:val="21"/>
    <w:qFormat/>
    <w:rsid w:val="00E30AE9"/>
    <w:rPr>
      <w:rFonts w:ascii="Times New Roman" w:hAnsi="Times New Roman"/>
      <w:b/>
      <w:i w:val="0"/>
      <w:iCs/>
      <w:color w:val="auto"/>
      <w:sz w:val="24"/>
    </w:rPr>
  </w:style>
  <w:style w:type="paragraph" w:customStyle="1" w:styleId="bcodstavec">
    <w:name w:val="bc odstavec"/>
    <w:basedOn w:val="Normln"/>
    <w:qFormat/>
    <w:rsid w:val="00E30AE9"/>
    <w:pPr>
      <w:spacing w:after="200" w:line="276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cpodkapitola">
    <w:name w:val="bc podkapitola"/>
    <w:basedOn w:val="Normln"/>
    <w:next w:val="bcodstavec"/>
    <w:qFormat/>
    <w:rsid w:val="00E30AE9"/>
    <w:pPr>
      <w:keepNext/>
      <w:keepLines/>
      <w:spacing w:before="480" w:after="0" w:line="276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1308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6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p.cz/vyhledavani?q=multikulturn%C3%AD%20v%C3%BDchova&amp;s.x=0&amp;s.y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folio.rvp.cz/view/view.php?id=4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peci%C3%A1ln%C3%AD:Zdroje_knih/978-80-7367-097-9" TargetMode="External"/><Relationship Id="rId5" Type="http://schemas.openxmlformats.org/officeDocument/2006/relationships/hyperlink" Target="https://cs.wikipedia.org/wiki/International_Standard_Book_Nu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polty... polty...</dc:creator>
  <cp:keywords/>
  <dc:description/>
  <cp:lastModifiedBy>polty... polty...</cp:lastModifiedBy>
  <cp:revision>1</cp:revision>
  <dcterms:created xsi:type="dcterms:W3CDTF">2019-05-05T20:03:00Z</dcterms:created>
  <dcterms:modified xsi:type="dcterms:W3CDTF">2019-05-05T20:08:00Z</dcterms:modified>
</cp:coreProperties>
</file>