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1._1_Dozor_(dohled)_v_předpisech_ne"/>
    <w:bookmarkStart w:id="1" w:name="_GoBack"/>
    <w:bookmarkEnd w:id="0"/>
    <w:bookmarkEnd w:id="1"/>
    <w:p w:rsidR="00427647" w:rsidRPr="00427647" w:rsidRDefault="00427647" w:rsidP="00427647">
      <w:pPr>
        <w:pStyle w:val="Nadpis1"/>
        <w:ind w:left="0"/>
        <w:rPr>
          <w:bCs/>
          <w:sz w:val="28"/>
          <w:u w:val="single"/>
        </w:rPr>
      </w:pPr>
      <w:r w:rsidRPr="00427647">
        <w:rPr>
          <w:bCs/>
          <w:sz w:val="28"/>
          <w:u w:val="single"/>
        </w:rPr>
        <w:fldChar w:fldCharType="begin"/>
      </w:r>
      <w:r w:rsidRPr="00427647">
        <w:rPr>
          <w:bCs/>
          <w:sz w:val="28"/>
          <w:u w:val="single"/>
        </w:rPr>
        <w:instrText xml:space="preserve"> HYPERLINK  \l "_top" </w:instrText>
      </w:r>
      <w:r w:rsidRPr="00427647">
        <w:rPr>
          <w:bCs/>
          <w:sz w:val="28"/>
          <w:u w:val="single"/>
        </w:rPr>
        <w:fldChar w:fldCharType="separate"/>
      </w:r>
      <w:r w:rsidRPr="00427647">
        <w:rPr>
          <w:rStyle w:val="Hypertextovodkaz"/>
          <w:bCs/>
          <w:color w:val="auto"/>
          <w:sz w:val="28"/>
        </w:rPr>
        <w:t>Dozor (dohled) v předpisech nejvyšší právní síly</w:t>
      </w:r>
      <w:r w:rsidRPr="00427647">
        <w:rPr>
          <w:bCs/>
          <w:sz w:val="28"/>
          <w:u w:val="single"/>
        </w:rPr>
        <w:fldChar w:fldCharType="end"/>
      </w:r>
    </w:p>
    <w:p w:rsidR="00427647" w:rsidRPr="00427647" w:rsidRDefault="00427647" w:rsidP="00427647">
      <w:pPr>
        <w:spacing w:line="240" w:lineRule="atLeast"/>
        <w:jc w:val="both"/>
        <w:rPr>
          <w:b/>
          <w:sz w:val="24"/>
        </w:rPr>
      </w:pPr>
    </w:p>
    <w:p w:rsidR="00427647" w:rsidRPr="00427647" w:rsidRDefault="00427647" w:rsidP="00427647">
      <w:pPr>
        <w:spacing w:line="240" w:lineRule="atLeast"/>
        <w:jc w:val="both"/>
        <w:rPr>
          <w:sz w:val="24"/>
        </w:rPr>
      </w:pPr>
      <w:r w:rsidRPr="00427647">
        <w:rPr>
          <w:sz w:val="24"/>
        </w:rPr>
        <w:t>Dozor (dohled) je chápán jako prostředek zajištění bezpečnosti a ochrany zdraví dětí.</w:t>
      </w:r>
    </w:p>
    <w:p w:rsidR="00427647" w:rsidRPr="00427647" w:rsidRDefault="00427647" w:rsidP="00427647">
      <w:pPr>
        <w:spacing w:line="240" w:lineRule="atLeast"/>
        <w:jc w:val="both"/>
        <w:rPr>
          <w:sz w:val="24"/>
        </w:rPr>
      </w:pPr>
    </w:p>
    <w:p w:rsidR="00427647" w:rsidRPr="00427647" w:rsidRDefault="00427647" w:rsidP="00427647">
      <w:pPr>
        <w:spacing w:line="240" w:lineRule="atLeast"/>
        <w:jc w:val="both"/>
        <w:rPr>
          <w:sz w:val="24"/>
        </w:rPr>
      </w:pPr>
      <w:r w:rsidRPr="00427647">
        <w:rPr>
          <w:sz w:val="24"/>
        </w:rPr>
        <w:t>Předpisy nejvyšší právní síly v této oblasti jsou:</w:t>
      </w:r>
    </w:p>
    <w:p w:rsidR="00427647" w:rsidRPr="00427647" w:rsidRDefault="00427647" w:rsidP="00427647">
      <w:pPr>
        <w:numPr>
          <w:ilvl w:val="0"/>
          <w:numId w:val="1"/>
        </w:numPr>
        <w:spacing w:line="240" w:lineRule="atLeast"/>
        <w:jc w:val="both"/>
        <w:rPr>
          <w:sz w:val="24"/>
        </w:rPr>
      </w:pPr>
      <w:r w:rsidRPr="00427647">
        <w:rPr>
          <w:sz w:val="24"/>
        </w:rPr>
        <w:t xml:space="preserve">Sdělení federálního ministerstva zahraničních věcí č. 104/1991 </w:t>
      </w:r>
      <w:proofErr w:type="spellStart"/>
      <w:proofErr w:type="gramStart"/>
      <w:r w:rsidRPr="00427647">
        <w:rPr>
          <w:sz w:val="24"/>
        </w:rPr>
        <w:t>Sb.,Úmluva</w:t>
      </w:r>
      <w:proofErr w:type="spellEnd"/>
      <w:proofErr w:type="gramEnd"/>
      <w:r w:rsidRPr="00427647">
        <w:rPr>
          <w:sz w:val="24"/>
        </w:rPr>
        <w:t xml:space="preserve"> o právech dítěte</w:t>
      </w:r>
    </w:p>
    <w:p w:rsidR="00427647" w:rsidRPr="00427647" w:rsidRDefault="00427647" w:rsidP="00427647">
      <w:pPr>
        <w:numPr>
          <w:ilvl w:val="0"/>
          <w:numId w:val="1"/>
        </w:numPr>
        <w:spacing w:line="240" w:lineRule="atLeast"/>
        <w:jc w:val="both"/>
        <w:rPr>
          <w:sz w:val="24"/>
        </w:rPr>
      </w:pPr>
      <w:r w:rsidRPr="00427647">
        <w:rPr>
          <w:sz w:val="24"/>
        </w:rPr>
        <w:t>zákon č. 561/2004 Sb., o předškolním, základním, středním, vyšším odborném a jiném vzdělávání (školský zákon), v platném znění</w:t>
      </w:r>
    </w:p>
    <w:p w:rsidR="00427647" w:rsidRPr="00427647" w:rsidRDefault="00427647" w:rsidP="00427647">
      <w:pPr>
        <w:numPr>
          <w:ilvl w:val="0"/>
          <w:numId w:val="1"/>
        </w:numPr>
        <w:spacing w:line="240" w:lineRule="atLeast"/>
        <w:jc w:val="both"/>
        <w:rPr>
          <w:sz w:val="24"/>
        </w:rPr>
      </w:pPr>
      <w:r w:rsidRPr="00427647">
        <w:rPr>
          <w:sz w:val="24"/>
        </w:rPr>
        <w:t>zákon č. 40/1964 Sb., občanský zákoník, v platném znění</w:t>
      </w:r>
    </w:p>
    <w:p w:rsidR="00427647" w:rsidRPr="00427647" w:rsidRDefault="00427647" w:rsidP="00427647">
      <w:pPr>
        <w:spacing w:line="240" w:lineRule="atLeast"/>
        <w:jc w:val="both"/>
        <w:rPr>
          <w:sz w:val="24"/>
        </w:rPr>
      </w:pPr>
    </w:p>
    <w:p w:rsidR="00427647" w:rsidRPr="00427647" w:rsidRDefault="00427647" w:rsidP="00427647">
      <w:pPr>
        <w:spacing w:line="240" w:lineRule="atLeast"/>
        <w:jc w:val="both"/>
        <w:rPr>
          <w:sz w:val="24"/>
        </w:rPr>
      </w:pPr>
      <w:r w:rsidRPr="00427647">
        <w:rPr>
          <w:sz w:val="24"/>
        </w:rPr>
        <w:t>Úmluva o právech dítěte a školský zákon vztahují zajištění bezpečnosti a ochrany zdraví na „děti“, „žáky“ a „studenty“.</w:t>
      </w:r>
    </w:p>
    <w:p w:rsidR="00427647" w:rsidRPr="00427647" w:rsidRDefault="00427647" w:rsidP="00427647">
      <w:pPr>
        <w:spacing w:line="240" w:lineRule="atLeast"/>
        <w:jc w:val="both"/>
        <w:rPr>
          <w:sz w:val="24"/>
        </w:rPr>
      </w:pPr>
    </w:p>
    <w:p w:rsidR="00427647" w:rsidRPr="00427647" w:rsidRDefault="00427647" w:rsidP="00427647">
      <w:pPr>
        <w:spacing w:line="240" w:lineRule="atLeast"/>
        <w:jc w:val="both"/>
        <w:rPr>
          <w:sz w:val="24"/>
        </w:rPr>
      </w:pPr>
      <w:r w:rsidRPr="00427647">
        <w:rPr>
          <w:sz w:val="24"/>
        </w:rPr>
        <w:t>Školský zákon uvádí, že ředitel školy odpovídá za zajištění dohledu na „</w:t>
      </w:r>
      <w:proofErr w:type="gramStart"/>
      <w:r w:rsidRPr="00427647">
        <w:rPr>
          <w:sz w:val="24"/>
        </w:rPr>
        <w:t>dětmi</w:t>
      </w:r>
      <w:proofErr w:type="gramEnd"/>
      <w:r w:rsidRPr="00427647">
        <w:rPr>
          <w:sz w:val="24"/>
        </w:rPr>
        <w:t>“ a „nezletilými žáky“.</w:t>
      </w:r>
    </w:p>
    <w:p w:rsidR="00427647" w:rsidRPr="00427647" w:rsidRDefault="00427647" w:rsidP="00427647">
      <w:pPr>
        <w:spacing w:line="240" w:lineRule="atLeast"/>
        <w:jc w:val="both"/>
        <w:rPr>
          <w:sz w:val="24"/>
        </w:rPr>
      </w:pPr>
    </w:p>
    <w:p w:rsidR="00427647" w:rsidRPr="00427647" w:rsidRDefault="00427647" w:rsidP="00427647">
      <w:pPr>
        <w:spacing w:line="240" w:lineRule="atLeast"/>
        <w:jc w:val="both"/>
        <w:rPr>
          <w:sz w:val="24"/>
        </w:rPr>
      </w:pPr>
      <w:r w:rsidRPr="00427647">
        <w:rPr>
          <w:sz w:val="24"/>
        </w:rPr>
        <w:t xml:space="preserve">Občanský zákoník také vztahuje odpovědnost za škodu na případ „nezletilé osoby“ </w:t>
      </w:r>
    </w:p>
    <w:p w:rsidR="00427647" w:rsidRPr="00427647" w:rsidRDefault="00427647" w:rsidP="00427647">
      <w:pPr>
        <w:spacing w:line="240" w:lineRule="atLeast"/>
        <w:jc w:val="both"/>
        <w:rPr>
          <w:sz w:val="24"/>
        </w:rPr>
      </w:pPr>
    </w:p>
    <w:p w:rsidR="00427647" w:rsidRPr="00427647" w:rsidRDefault="00427647" w:rsidP="00427647">
      <w:pPr>
        <w:spacing w:line="240" w:lineRule="atLeast"/>
        <w:jc w:val="both"/>
        <w:rPr>
          <w:sz w:val="24"/>
        </w:rPr>
      </w:pPr>
      <w:r w:rsidRPr="00427647">
        <w:rPr>
          <w:sz w:val="24"/>
        </w:rPr>
        <w:t xml:space="preserve">Jestliže však vyjdeme z toho, že je nutné zajistit bezpečnost a ochranu zdraví </w:t>
      </w:r>
      <w:r w:rsidRPr="00427647">
        <w:rPr>
          <w:sz w:val="24"/>
          <w:u w:val="single"/>
        </w:rPr>
        <w:t>všech</w:t>
      </w:r>
      <w:r w:rsidRPr="00427647">
        <w:rPr>
          <w:sz w:val="24"/>
        </w:rPr>
        <w:t xml:space="preserve"> (dětí, žáků, studentů), pak lze dovodit, že dohled je nutné vykonávat i nad zletilými žáky. Důvodem je skutečnost, že dohled je základním prostředkem zajištění bezpečnosti a ochrany zdraví.</w:t>
      </w:r>
    </w:p>
    <w:p w:rsidR="00427647" w:rsidRPr="00427647" w:rsidRDefault="00427647" w:rsidP="00427647">
      <w:pPr>
        <w:spacing w:line="240" w:lineRule="atLeast"/>
        <w:jc w:val="both"/>
        <w:rPr>
          <w:sz w:val="24"/>
        </w:rPr>
      </w:pPr>
    </w:p>
    <w:p w:rsidR="00427647" w:rsidRPr="00427647" w:rsidRDefault="00427647" w:rsidP="00427647">
      <w:pPr>
        <w:spacing w:line="240" w:lineRule="atLeast"/>
        <w:jc w:val="both"/>
        <w:rPr>
          <w:sz w:val="24"/>
        </w:rPr>
      </w:pPr>
      <w:r w:rsidRPr="00427647">
        <w:rPr>
          <w:sz w:val="24"/>
        </w:rPr>
        <w:t>Úmluva o právech dítěte hovoří o „dozoru“, školský zákon a občanský zákoník - o „dohledu“.</w:t>
      </w:r>
      <w:r w:rsidR="00053C20">
        <w:rPr>
          <w:sz w:val="24"/>
        </w:rPr>
        <w:t xml:space="preserve"> </w:t>
      </w:r>
    </w:p>
    <w:p w:rsidR="00427647" w:rsidRPr="00427647" w:rsidRDefault="00427647" w:rsidP="00427647">
      <w:pPr>
        <w:spacing w:line="240" w:lineRule="atLeast"/>
        <w:jc w:val="both"/>
        <w:rPr>
          <w:sz w:val="24"/>
        </w:rPr>
      </w:pPr>
    </w:p>
    <w:p w:rsidR="00427647" w:rsidRPr="00427647" w:rsidRDefault="00427647" w:rsidP="00427647">
      <w:pPr>
        <w:pBdr>
          <w:top w:val="single" w:sz="4" w:space="1" w:color="0000FF"/>
          <w:left w:val="single" w:sz="4" w:space="4" w:color="0000FF"/>
          <w:bottom w:val="single" w:sz="4" w:space="1" w:color="0000FF"/>
          <w:right w:val="single" w:sz="4" w:space="4" w:color="0000FF"/>
        </w:pBdr>
        <w:spacing w:line="240" w:lineRule="atLeast"/>
        <w:jc w:val="both"/>
        <w:rPr>
          <w:b/>
          <w:sz w:val="24"/>
        </w:rPr>
      </w:pPr>
      <w:r w:rsidRPr="00427647">
        <w:rPr>
          <w:b/>
          <w:sz w:val="24"/>
        </w:rPr>
        <w:t>Úmluva o právech dítěte</w:t>
      </w:r>
    </w:p>
    <w:p w:rsidR="00427647" w:rsidRPr="00427647" w:rsidRDefault="00427647" w:rsidP="00427647">
      <w:pPr>
        <w:pBdr>
          <w:top w:val="single" w:sz="4" w:space="1" w:color="0000FF"/>
          <w:left w:val="single" w:sz="4" w:space="4" w:color="0000FF"/>
          <w:bottom w:val="single" w:sz="4" w:space="1" w:color="0000FF"/>
          <w:right w:val="single" w:sz="4" w:space="4" w:color="0000FF"/>
        </w:pBdr>
        <w:spacing w:line="240" w:lineRule="atLeast"/>
        <w:jc w:val="both"/>
        <w:rPr>
          <w:b/>
          <w:sz w:val="24"/>
        </w:rPr>
      </w:pPr>
    </w:p>
    <w:p w:rsidR="00427647" w:rsidRPr="00427647" w:rsidRDefault="00427647" w:rsidP="00427647">
      <w:pPr>
        <w:pBdr>
          <w:top w:val="single" w:sz="4" w:space="1" w:color="0000FF"/>
          <w:left w:val="single" w:sz="4" w:space="4" w:color="0000FF"/>
          <w:bottom w:val="single" w:sz="4" w:space="1" w:color="0000FF"/>
          <w:right w:val="single" w:sz="4" w:space="4" w:color="0000FF"/>
        </w:pBdr>
        <w:spacing w:line="240" w:lineRule="atLeast"/>
        <w:jc w:val="both"/>
        <w:rPr>
          <w:b/>
          <w:sz w:val="24"/>
        </w:rPr>
      </w:pPr>
      <w:r w:rsidRPr="00427647">
        <w:rPr>
          <w:b/>
          <w:sz w:val="24"/>
        </w:rPr>
        <w:t>článek 3</w:t>
      </w:r>
    </w:p>
    <w:p w:rsidR="00427647" w:rsidRPr="00427647" w:rsidRDefault="00427647" w:rsidP="00427647">
      <w:pPr>
        <w:pBdr>
          <w:top w:val="single" w:sz="4" w:space="1" w:color="0000FF"/>
          <w:left w:val="single" w:sz="4" w:space="4" w:color="0000FF"/>
          <w:bottom w:val="single" w:sz="4" w:space="1" w:color="0000FF"/>
          <w:right w:val="single" w:sz="4" w:space="4" w:color="0000FF"/>
        </w:pBdr>
        <w:spacing w:line="240" w:lineRule="atLeast"/>
        <w:jc w:val="both"/>
        <w:rPr>
          <w:b/>
          <w:sz w:val="24"/>
        </w:rPr>
      </w:pPr>
    </w:p>
    <w:p w:rsidR="00427647" w:rsidRPr="00427647" w:rsidRDefault="00427647" w:rsidP="00427647">
      <w:pPr>
        <w:pStyle w:val="Zkladntext"/>
        <w:pBdr>
          <w:top w:val="single" w:sz="4" w:space="1" w:color="0000FF"/>
          <w:left w:val="single" w:sz="4" w:space="4" w:color="0000FF"/>
          <w:bottom w:val="single" w:sz="4" w:space="1" w:color="0000FF"/>
          <w:right w:val="single" w:sz="4" w:space="4" w:color="0000FF"/>
        </w:pBdr>
        <w:spacing w:before="0"/>
        <w:jc w:val="left"/>
      </w:pPr>
      <w:r w:rsidRPr="00427647">
        <w:t>Státy, které jsou smluvní stranou úmluvy, zabezpečují, aby instituce, služby a zařízení odpovědná za péči a ochranu dětí odpovídaly standardům stanoveným kompetentními úřady, zejména v oblastech bezpečnosti a ochrany zdraví, počtu a vhodnosti svého personálu, jakož i kompetentního dozoru.</w:t>
      </w:r>
    </w:p>
    <w:p w:rsidR="00427647" w:rsidRPr="00427647" w:rsidRDefault="00427647" w:rsidP="00427647">
      <w:pPr>
        <w:spacing w:before="120" w:line="240" w:lineRule="atLeast"/>
        <w:jc w:val="both"/>
        <w:rPr>
          <w:b/>
          <w:sz w:val="24"/>
        </w:rPr>
      </w:pPr>
    </w:p>
    <w:p w:rsidR="00427647" w:rsidRPr="00427647" w:rsidRDefault="00427647" w:rsidP="00427647">
      <w:pPr>
        <w:pBdr>
          <w:top w:val="single" w:sz="4" w:space="1" w:color="0000FF"/>
          <w:left w:val="single" w:sz="4" w:space="4" w:color="0000FF"/>
          <w:bottom w:val="single" w:sz="4" w:space="1" w:color="0000FF"/>
          <w:right w:val="single" w:sz="4" w:space="4" w:color="0000FF"/>
        </w:pBdr>
        <w:spacing w:before="120" w:line="240" w:lineRule="atLeast"/>
        <w:jc w:val="both"/>
        <w:rPr>
          <w:b/>
          <w:sz w:val="24"/>
        </w:rPr>
      </w:pPr>
      <w:r w:rsidRPr="00427647">
        <w:rPr>
          <w:b/>
          <w:sz w:val="24"/>
        </w:rPr>
        <w:t>zákon č. 561/2004 Sb., o předškolním, základním, středním, vyšším odborném a jiném vzdělávání (školský zákon), v platném znění</w:t>
      </w:r>
    </w:p>
    <w:p w:rsidR="00427647" w:rsidRPr="00427647" w:rsidRDefault="00427647" w:rsidP="00427647">
      <w:pPr>
        <w:pBdr>
          <w:top w:val="single" w:sz="4" w:space="1" w:color="0000FF"/>
          <w:left w:val="single" w:sz="4" w:space="4" w:color="0000FF"/>
          <w:bottom w:val="single" w:sz="4" w:space="1" w:color="0000FF"/>
          <w:right w:val="single" w:sz="4" w:space="4" w:color="0000FF"/>
        </w:pBdr>
        <w:spacing w:before="120" w:line="240" w:lineRule="atLeast"/>
        <w:jc w:val="both"/>
        <w:rPr>
          <w:b/>
          <w:sz w:val="24"/>
        </w:rPr>
      </w:pP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r w:rsidRPr="00427647">
        <w:rPr>
          <w:sz w:val="24"/>
        </w:rPr>
        <w:t>§ 29 odst. 2</w:t>
      </w: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r w:rsidRPr="00427647">
        <w:rPr>
          <w:sz w:val="24"/>
        </w:rPr>
        <w:t>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w:t>
      </w: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p>
    <w:p w:rsidR="00427647" w:rsidRPr="00427647" w:rsidRDefault="00427647" w:rsidP="00427647">
      <w:pPr>
        <w:pStyle w:val="Prosttext1"/>
        <w:pBdr>
          <w:top w:val="single" w:sz="4" w:space="1" w:color="0000FF"/>
          <w:left w:val="single" w:sz="4" w:space="4" w:color="0000FF"/>
          <w:bottom w:val="single" w:sz="4" w:space="1" w:color="0000FF"/>
          <w:right w:val="single" w:sz="4" w:space="4" w:color="0000FF"/>
        </w:pBdr>
        <w:rPr>
          <w:rFonts w:ascii="Times New Roman" w:hAnsi="Times New Roman"/>
          <w:color w:val="auto"/>
          <w:sz w:val="24"/>
        </w:rPr>
      </w:pPr>
      <w:r w:rsidRPr="00427647">
        <w:rPr>
          <w:rFonts w:ascii="Times New Roman" w:hAnsi="Times New Roman"/>
          <w:color w:val="auto"/>
          <w:sz w:val="24"/>
        </w:rPr>
        <w:t>§ 164 odst. 1 písm. h</w:t>
      </w:r>
    </w:p>
    <w:p w:rsidR="00427647" w:rsidRPr="00427647" w:rsidRDefault="00427647" w:rsidP="00427647">
      <w:pPr>
        <w:pStyle w:val="Prosttext1"/>
        <w:pBdr>
          <w:top w:val="single" w:sz="4" w:space="1" w:color="0000FF"/>
          <w:left w:val="single" w:sz="4" w:space="4" w:color="0000FF"/>
          <w:bottom w:val="single" w:sz="4" w:space="1" w:color="0000FF"/>
          <w:right w:val="single" w:sz="4" w:space="4" w:color="0000FF"/>
        </w:pBdr>
        <w:rPr>
          <w:rFonts w:ascii="Times New Roman" w:hAnsi="Times New Roman"/>
          <w:color w:val="auto"/>
          <w:sz w:val="24"/>
        </w:rPr>
      </w:pPr>
      <w:r w:rsidRPr="00427647">
        <w:rPr>
          <w:rFonts w:ascii="Times New Roman" w:hAnsi="Times New Roman"/>
          <w:color w:val="auto"/>
          <w:sz w:val="24"/>
        </w:rPr>
        <w:t>Ředitel školy a školského zařízení odpovídá za zajištění dohledu nad dětmi a nezletilými žáky ve škole a školském zařízení.</w:t>
      </w:r>
    </w:p>
    <w:p w:rsidR="00427647" w:rsidRPr="00427647" w:rsidRDefault="00427647" w:rsidP="00427647">
      <w:pPr>
        <w:rPr>
          <w:sz w:val="24"/>
        </w:rPr>
      </w:pPr>
    </w:p>
    <w:p w:rsidR="00427647" w:rsidRPr="00427647" w:rsidRDefault="00427647" w:rsidP="00427647">
      <w:pPr>
        <w:pStyle w:val="Zkladntext21"/>
        <w:tabs>
          <w:tab w:val="left" w:pos="720"/>
        </w:tabs>
      </w:pPr>
    </w:p>
    <w:p w:rsidR="00427647" w:rsidRPr="00427647" w:rsidRDefault="00427647" w:rsidP="00427647">
      <w:pPr>
        <w:pStyle w:val="Zkladntext21"/>
        <w:pBdr>
          <w:top w:val="single" w:sz="4" w:space="1" w:color="0000FF"/>
          <w:left w:val="single" w:sz="4" w:space="4" w:color="0000FF"/>
          <w:bottom w:val="single" w:sz="4" w:space="1" w:color="0000FF"/>
          <w:right w:val="single" w:sz="4" w:space="4" w:color="0000FF"/>
        </w:pBdr>
        <w:tabs>
          <w:tab w:val="left" w:pos="720"/>
        </w:tabs>
        <w:rPr>
          <w:b/>
        </w:rPr>
      </w:pPr>
      <w:r w:rsidRPr="00427647">
        <w:rPr>
          <w:b/>
        </w:rPr>
        <w:t>zákon č. 40/1964 Sb., občanský zákoník, v platném znění</w:t>
      </w:r>
    </w:p>
    <w:p w:rsidR="00427647" w:rsidRPr="00427647" w:rsidRDefault="00427647" w:rsidP="00427647">
      <w:pPr>
        <w:pStyle w:val="Zkladntext21"/>
        <w:pBdr>
          <w:top w:val="single" w:sz="4" w:space="1" w:color="0000FF"/>
          <w:left w:val="single" w:sz="4" w:space="4" w:color="0000FF"/>
          <w:bottom w:val="single" w:sz="4" w:space="1" w:color="0000FF"/>
          <w:right w:val="single" w:sz="4" w:space="4" w:color="0000FF"/>
        </w:pBdr>
        <w:tabs>
          <w:tab w:val="left" w:pos="720"/>
        </w:tabs>
      </w:pPr>
    </w:p>
    <w:p w:rsidR="00427647" w:rsidRPr="00427647" w:rsidRDefault="00427647" w:rsidP="00427647">
      <w:pPr>
        <w:pStyle w:val="Zkladntext21"/>
        <w:pBdr>
          <w:top w:val="single" w:sz="4" w:space="1" w:color="0000FF"/>
          <w:left w:val="single" w:sz="4" w:space="4" w:color="0000FF"/>
          <w:bottom w:val="single" w:sz="4" w:space="1" w:color="0000FF"/>
          <w:right w:val="single" w:sz="4" w:space="4" w:color="0000FF"/>
        </w:pBdr>
        <w:tabs>
          <w:tab w:val="left" w:pos="720"/>
        </w:tabs>
      </w:pPr>
      <w:r w:rsidRPr="00427647">
        <w:lastRenderedPageBreak/>
        <w:t>§ 422</w:t>
      </w:r>
    </w:p>
    <w:p w:rsidR="00427647" w:rsidRPr="00427647" w:rsidRDefault="00427647" w:rsidP="00427647">
      <w:pPr>
        <w:pStyle w:val="Zkladntext21"/>
        <w:pBdr>
          <w:top w:val="single" w:sz="4" w:space="1" w:color="0000FF"/>
          <w:left w:val="single" w:sz="4" w:space="4" w:color="0000FF"/>
          <w:bottom w:val="single" w:sz="4" w:space="1" w:color="0000FF"/>
          <w:right w:val="single" w:sz="4" w:space="4" w:color="0000FF"/>
        </w:pBdr>
        <w:tabs>
          <w:tab w:val="left" w:pos="720"/>
        </w:tabs>
      </w:pPr>
      <w:r w:rsidRPr="00427647">
        <w:t>Nezletilý nebo ten, kdo je stižen duševní poruchou, odpovídá za škodu jím způsobenou, je-li schopen ovládnout své jednání  a posoudit jeho následky. Společně a nerozdílně s ním odpovídá, kdo je povinen vykonávat nad ním dohled. Není-li ten, kdo způsobí škodu, pro nezletilost nebo pro duševní poruchu schopen ovládnout své jednání nebo posoudit jeho následky, odpovídá za škodu ten, kdo je povinen vykonávat nad ním dohled.</w:t>
      </w:r>
    </w:p>
    <w:p w:rsidR="00427647" w:rsidRPr="00427647" w:rsidRDefault="00427647" w:rsidP="00427647">
      <w:pPr>
        <w:pBdr>
          <w:top w:val="single" w:sz="4" w:space="1" w:color="0000FF"/>
          <w:left w:val="single" w:sz="4" w:space="4" w:color="0000FF"/>
          <w:bottom w:val="single" w:sz="4" w:space="1" w:color="0000FF"/>
          <w:right w:val="single" w:sz="4" w:space="4" w:color="0000FF"/>
        </w:pBdr>
        <w:tabs>
          <w:tab w:val="left" w:pos="720"/>
        </w:tabs>
        <w:spacing w:before="120" w:line="240" w:lineRule="atLeast"/>
        <w:jc w:val="both"/>
        <w:rPr>
          <w:sz w:val="24"/>
        </w:rPr>
      </w:pPr>
      <w:r w:rsidRPr="00427647">
        <w:rPr>
          <w:sz w:val="24"/>
        </w:rPr>
        <w:t xml:space="preserve">Kdo je povinen vykonávat dohled, zprostí se odpovědnosti, jestliže prokáže, že náležitý dohled nezanedbal. </w:t>
      </w:r>
    </w:p>
    <w:p w:rsidR="00427647" w:rsidRPr="00427647" w:rsidRDefault="00427647" w:rsidP="00427647">
      <w:pPr>
        <w:pBdr>
          <w:top w:val="single" w:sz="4" w:space="1" w:color="0000FF"/>
          <w:left w:val="single" w:sz="4" w:space="4" w:color="0000FF"/>
          <w:bottom w:val="single" w:sz="4" w:space="1" w:color="0000FF"/>
          <w:right w:val="single" w:sz="4" w:space="4" w:color="0000FF"/>
        </w:pBdr>
        <w:tabs>
          <w:tab w:val="left" w:pos="720"/>
        </w:tabs>
        <w:spacing w:before="120" w:line="240" w:lineRule="atLeast"/>
        <w:jc w:val="both"/>
        <w:rPr>
          <w:sz w:val="24"/>
        </w:rPr>
      </w:pPr>
      <w:r w:rsidRPr="00427647">
        <w:rPr>
          <w:sz w:val="24"/>
        </w:rPr>
        <w:t>Vykonává-li dohled právnická osoba, její pracovníci dohledem pověření sami za škodu takto vzniklou podle tohoto zákona neodpovídají. Jejich odpovědnost podle pracovněprávních předpisů není tím dotčena.</w:t>
      </w:r>
    </w:p>
    <w:p w:rsidR="00427647" w:rsidRPr="00427647" w:rsidRDefault="00427647" w:rsidP="00427647">
      <w:pPr>
        <w:rPr>
          <w:sz w:val="24"/>
        </w:rPr>
      </w:pPr>
    </w:p>
    <w:p w:rsidR="00427647" w:rsidRPr="00427647" w:rsidRDefault="00427647" w:rsidP="00427647">
      <w:pPr>
        <w:rPr>
          <w:sz w:val="24"/>
        </w:rPr>
      </w:pPr>
    </w:p>
    <w:p w:rsidR="00427647" w:rsidRPr="00427647" w:rsidRDefault="00427647" w:rsidP="00427647">
      <w:pPr>
        <w:rPr>
          <w:sz w:val="24"/>
        </w:rPr>
      </w:pPr>
    </w:p>
    <w:bookmarkStart w:id="2" w:name="_1._2_Pracovní_řád"/>
    <w:bookmarkEnd w:id="2"/>
    <w:p w:rsidR="00427647" w:rsidRPr="00427647" w:rsidRDefault="00427647" w:rsidP="00427647">
      <w:pPr>
        <w:pStyle w:val="Nadpis1"/>
        <w:rPr>
          <w:bCs/>
          <w:sz w:val="28"/>
          <w:u w:val="single"/>
        </w:rPr>
      </w:pPr>
      <w:r w:rsidRPr="00427647">
        <w:rPr>
          <w:bCs/>
          <w:sz w:val="28"/>
          <w:u w:val="single"/>
        </w:rPr>
        <w:fldChar w:fldCharType="begin"/>
      </w:r>
      <w:r w:rsidRPr="00427647">
        <w:rPr>
          <w:bCs/>
          <w:sz w:val="28"/>
          <w:u w:val="single"/>
        </w:rPr>
        <w:instrText xml:space="preserve"> HYPERLINK  \l "_top" </w:instrText>
      </w:r>
      <w:r w:rsidRPr="00427647">
        <w:rPr>
          <w:bCs/>
          <w:sz w:val="28"/>
          <w:u w:val="single"/>
        </w:rPr>
        <w:fldChar w:fldCharType="separate"/>
      </w:r>
      <w:r w:rsidRPr="00427647">
        <w:rPr>
          <w:rStyle w:val="Hypertextovodkaz"/>
          <w:bCs/>
          <w:color w:val="auto"/>
          <w:sz w:val="28"/>
        </w:rPr>
        <w:t>1. 2</w:t>
      </w:r>
      <w:r w:rsidRPr="00427647">
        <w:rPr>
          <w:rStyle w:val="Hypertextovodkaz"/>
          <w:bCs/>
          <w:color w:val="auto"/>
          <w:sz w:val="28"/>
        </w:rPr>
        <w:tab/>
        <w:t>Pracovní řád</w:t>
      </w:r>
      <w:r w:rsidRPr="00427647">
        <w:rPr>
          <w:bCs/>
          <w:sz w:val="28"/>
          <w:u w:val="single"/>
        </w:rPr>
        <w:fldChar w:fldCharType="end"/>
      </w:r>
    </w:p>
    <w:p w:rsidR="00427647" w:rsidRPr="00427647" w:rsidRDefault="00427647" w:rsidP="00427647">
      <w:pPr>
        <w:rPr>
          <w:sz w:val="24"/>
        </w:rPr>
      </w:pPr>
    </w:p>
    <w:p w:rsidR="00427647" w:rsidRPr="00427647" w:rsidRDefault="00427647" w:rsidP="00427647">
      <w:pPr>
        <w:rPr>
          <w:sz w:val="24"/>
        </w:rPr>
      </w:pPr>
    </w:p>
    <w:p w:rsidR="00427647" w:rsidRPr="00427647" w:rsidRDefault="00427647" w:rsidP="00427647">
      <w:pPr>
        <w:rPr>
          <w:sz w:val="24"/>
        </w:rPr>
      </w:pPr>
      <w:r w:rsidRPr="00427647">
        <w:rPr>
          <w:sz w:val="24"/>
        </w:rPr>
        <w:t xml:space="preserve">První konkretizaci obecných ustanovení o dozoru a dohledu obsahuje vyhláška č. 263/2007 Sb., kterou se stanoví pracovní řád pro zaměstnance škol a </w:t>
      </w:r>
      <w:proofErr w:type="gramStart"/>
      <w:r w:rsidRPr="00427647">
        <w:rPr>
          <w:sz w:val="24"/>
        </w:rPr>
        <w:t>školkách</w:t>
      </w:r>
      <w:proofErr w:type="gramEnd"/>
      <w:r w:rsidRPr="00427647">
        <w:rPr>
          <w:sz w:val="24"/>
        </w:rPr>
        <w:t xml:space="preserve"> zařízení zřízených Ministerstvem školství, mládeže a tělovýchovy, krajem, obcí nebo dobrovolným svazkem obcí (nabyla účinnosti 1. listopadu 2007).</w:t>
      </w:r>
    </w:p>
    <w:p w:rsidR="00427647" w:rsidRPr="00427647" w:rsidRDefault="00427647" w:rsidP="00427647">
      <w:pPr>
        <w:rPr>
          <w:sz w:val="24"/>
        </w:rPr>
      </w:pPr>
    </w:p>
    <w:p w:rsidR="00427647" w:rsidRPr="00427647" w:rsidRDefault="00427647" w:rsidP="00427647">
      <w:pPr>
        <w:pStyle w:val="Zkladntext2"/>
        <w:rPr>
          <w:color w:val="auto"/>
        </w:rPr>
      </w:pPr>
      <w:r w:rsidRPr="00427647">
        <w:rPr>
          <w:color w:val="auto"/>
        </w:rPr>
        <w:t>Uvedená vyhláška se vztahuje:</w:t>
      </w:r>
    </w:p>
    <w:p w:rsidR="00427647" w:rsidRPr="00427647" w:rsidRDefault="00427647" w:rsidP="00427647">
      <w:pPr>
        <w:numPr>
          <w:ilvl w:val="0"/>
          <w:numId w:val="2"/>
        </w:numPr>
        <w:rPr>
          <w:sz w:val="24"/>
        </w:rPr>
      </w:pPr>
      <w:r w:rsidRPr="00427647">
        <w:rPr>
          <w:sz w:val="24"/>
        </w:rPr>
        <w:t>na všechny druhy škol a školských zařízení,</w:t>
      </w:r>
    </w:p>
    <w:p w:rsidR="00427647" w:rsidRPr="00427647" w:rsidRDefault="00427647" w:rsidP="00427647">
      <w:pPr>
        <w:numPr>
          <w:ilvl w:val="0"/>
          <w:numId w:val="2"/>
        </w:numPr>
        <w:rPr>
          <w:sz w:val="24"/>
        </w:rPr>
      </w:pPr>
      <w:r w:rsidRPr="00427647">
        <w:rPr>
          <w:sz w:val="24"/>
        </w:rPr>
        <w:t>školy zřizované jak MŠMT, tak i krajem, obcí nebo dobrovolným svazkem obcí.</w:t>
      </w:r>
    </w:p>
    <w:p w:rsidR="00427647" w:rsidRPr="00427647" w:rsidRDefault="00427647" w:rsidP="00427647">
      <w:pPr>
        <w:rPr>
          <w:sz w:val="24"/>
        </w:rPr>
      </w:pPr>
    </w:p>
    <w:p w:rsidR="00427647" w:rsidRPr="00427647" w:rsidRDefault="00427647" w:rsidP="00427647">
      <w:pPr>
        <w:pStyle w:val="Zkladntext2"/>
        <w:rPr>
          <w:color w:val="auto"/>
        </w:rPr>
      </w:pPr>
      <w:r w:rsidRPr="00427647">
        <w:rPr>
          <w:color w:val="auto"/>
        </w:rPr>
        <w:t>Vyhláška již nepoužívá termín „dozor“, ale termín „dohled“.</w:t>
      </w:r>
    </w:p>
    <w:p w:rsidR="00427647" w:rsidRPr="00427647" w:rsidRDefault="00427647" w:rsidP="00427647">
      <w:pPr>
        <w:rPr>
          <w:sz w:val="24"/>
        </w:rPr>
      </w:pPr>
    </w:p>
    <w:p w:rsidR="00427647" w:rsidRPr="00427647" w:rsidRDefault="00427647" w:rsidP="00427647">
      <w:pPr>
        <w:pStyle w:val="Prosttext"/>
        <w:pBdr>
          <w:top w:val="single" w:sz="4" w:space="1" w:color="0000FF"/>
          <w:left w:val="single" w:sz="4" w:space="4" w:color="0000FF"/>
          <w:bottom w:val="single" w:sz="4" w:space="1" w:color="0000FF"/>
          <w:right w:val="single" w:sz="4" w:space="4" w:color="0000FF"/>
        </w:pBdr>
        <w:rPr>
          <w:rFonts w:ascii="Times New Roman" w:hAnsi="Times New Roman"/>
          <w:b/>
          <w:sz w:val="24"/>
        </w:rPr>
      </w:pPr>
      <w:r w:rsidRPr="00427647">
        <w:rPr>
          <w:rFonts w:ascii="Times New Roman" w:hAnsi="Times New Roman"/>
          <w:b/>
          <w:sz w:val="24"/>
        </w:rPr>
        <w:t xml:space="preserve">Vyhláška č. 263/2007 Sb., kterou se stanoví pracovní řád pro zaměstnance škol a </w:t>
      </w:r>
      <w:proofErr w:type="gramStart"/>
      <w:r w:rsidRPr="00427647">
        <w:rPr>
          <w:rFonts w:ascii="Times New Roman" w:hAnsi="Times New Roman"/>
          <w:b/>
          <w:sz w:val="24"/>
        </w:rPr>
        <w:t>školkách</w:t>
      </w:r>
      <w:proofErr w:type="gramEnd"/>
      <w:r w:rsidRPr="00427647">
        <w:rPr>
          <w:rFonts w:ascii="Times New Roman" w:hAnsi="Times New Roman"/>
          <w:b/>
          <w:sz w:val="24"/>
        </w:rPr>
        <w:t xml:space="preserve"> zařízení zřízených Ministerstvem školství, mládeže a tělovýchovy, krajem, obcí nebo dobrovolným svazkem obcí</w:t>
      </w:r>
    </w:p>
    <w:p w:rsidR="00427647" w:rsidRPr="00427647" w:rsidRDefault="00427647" w:rsidP="00427647">
      <w:pPr>
        <w:pStyle w:val="Prosttext"/>
        <w:pBdr>
          <w:top w:val="single" w:sz="4" w:space="1" w:color="0000FF"/>
          <w:left w:val="single" w:sz="4" w:space="4" w:color="0000FF"/>
          <w:bottom w:val="single" w:sz="4" w:space="1" w:color="0000FF"/>
          <w:right w:val="single" w:sz="4" w:space="4" w:color="0000FF"/>
        </w:pBdr>
        <w:rPr>
          <w:rFonts w:ascii="Times New Roman" w:hAnsi="Times New Roman"/>
          <w:sz w:val="24"/>
        </w:rPr>
      </w:pPr>
    </w:p>
    <w:p w:rsidR="00427647" w:rsidRPr="00427647" w:rsidRDefault="00427647" w:rsidP="00427647">
      <w:pPr>
        <w:pStyle w:val="Prosttext"/>
        <w:pBdr>
          <w:top w:val="single" w:sz="4" w:space="1" w:color="0000FF"/>
          <w:left w:val="single" w:sz="4" w:space="4" w:color="0000FF"/>
          <w:bottom w:val="single" w:sz="4" w:space="1" w:color="0000FF"/>
          <w:right w:val="single" w:sz="4" w:space="4" w:color="0000FF"/>
        </w:pBdr>
        <w:rPr>
          <w:rFonts w:ascii="Times New Roman" w:hAnsi="Times New Roman"/>
          <w:sz w:val="24"/>
        </w:rPr>
      </w:pPr>
      <w:r w:rsidRPr="00427647">
        <w:rPr>
          <w:rFonts w:ascii="Times New Roman" w:hAnsi="Times New Roman"/>
          <w:sz w:val="24"/>
        </w:rPr>
        <w:t>§ 3</w:t>
      </w: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r w:rsidRPr="00427647">
        <w:rPr>
          <w:sz w:val="24"/>
        </w:rPr>
        <w:t>Pracovní doba pedagogických pracovníků</w:t>
      </w: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r w:rsidRPr="00427647">
        <w:rPr>
          <w:sz w:val="24"/>
        </w:rPr>
        <w:t>(1) V pracovní době pedagogičtí pracovníci vykonávají</w:t>
      </w: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r w:rsidRPr="00427647">
        <w:rPr>
          <w:sz w:val="24"/>
        </w:rPr>
        <w:t>a) přímou pedagogickou činnost,</w:t>
      </w:r>
    </w:p>
    <w:p w:rsidR="00427647" w:rsidRPr="00427647" w:rsidRDefault="00427647" w:rsidP="00427647">
      <w:pPr>
        <w:pBdr>
          <w:top w:val="single" w:sz="4" w:space="1" w:color="0000FF"/>
          <w:left w:val="single" w:sz="4" w:space="4" w:color="0000FF"/>
          <w:bottom w:val="single" w:sz="4" w:space="1" w:color="0000FF"/>
          <w:right w:val="single" w:sz="4" w:space="4" w:color="0000FF"/>
        </w:pBdr>
        <w:rPr>
          <w:b/>
          <w:sz w:val="24"/>
          <w:u w:val="single"/>
        </w:rPr>
      </w:pPr>
      <w:r w:rsidRPr="00427647">
        <w:rPr>
          <w:sz w:val="24"/>
        </w:rPr>
        <w:t xml:space="preserve">b) další práce související s přímou pedagogickou činností dohodnuté s pedagogickým pracovníkem, například příprava na přímou pedagogickou činnost, příprava učebních pomůcek, hodnocení písemných, grafických a jiných prací žáků a dále práce, které vyplývají z organizace vzdělávání a výchovy ve školách a školských zařízeních, jako je </w:t>
      </w:r>
      <w:r w:rsidRPr="00427647">
        <w:rPr>
          <w:b/>
          <w:sz w:val="24"/>
          <w:u w:val="single"/>
        </w:rPr>
        <w:t>dohled nad dětmi a nezletilými žáky</w:t>
      </w: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p>
    <w:p w:rsidR="00427647" w:rsidRPr="00427647" w:rsidRDefault="00427647" w:rsidP="00427647">
      <w:pPr>
        <w:pStyle w:val="Zkladntext21"/>
        <w:pBdr>
          <w:top w:val="single" w:sz="4" w:space="1" w:color="0000FF"/>
          <w:left w:val="single" w:sz="4" w:space="4" w:color="0000FF"/>
          <w:bottom w:val="single" w:sz="4" w:space="1" w:color="0000FF"/>
          <w:right w:val="single" w:sz="4" w:space="4" w:color="0000FF"/>
        </w:pBdr>
        <w:tabs>
          <w:tab w:val="left" w:pos="720"/>
        </w:tabs>
      </w:pPr>
    </w:p>
    <w:p w:rsidR="00427647" w:rsidRPr="00427647" w:rsidRDefault="00427647" w:rsidP="00427647">
      <w:pPr>
        <w:pStyle w:val="Prosttext"/>
        <w:pBdr>
          <w:top w:val="single" w:sz="4" w:space="1" w:color="0000FF"/>
          <w:left w:val="single" w:sz="4" w:space="4" w:color="0000FF"/>
          <w:bottom w:val="single" w:sz="4" w:space="1" w:color="0000FF"/>
          <w:right w:val="single" w:sz="4" w:space="4" w:color="0000FF"/>
        </w:pBdr>
        <w:rPr>
          <w:rFonts w:ascii="Times New Roman" w:hAnsi="Times New Roman"/>
          <w:sz w:val="24"/>
        </w:rPr>
      </w:pPr>
      <w:r w:rsidRPr="00427647">
        <w:rPr>
          <w:rFonts w:ascii="Times New Roman" w:hAnsi="Times New Roman"/>
          <w:sz w:val="24"/>
        </w:rPr>
        <w:t>§ 6</w:t>
      </w:r>
    </w:p>
    <w:p w:rsidR="00427647" w:rsidRPr="00427647" w:rsidRDefault="00427647" w:rsidP="00427647">
      <w:pPr>
        <w:pStyle w:val="Prosttext"/>
        <w:pBdr>
          <w:top w:val="single" w:sz="4" w:space="1" w:color="0000FF"/>
          <w:left w:val="single" w:sz="4" w:space="4" w:color="0000FF"/>
          <w:bottom w:val="single" w:sz="4" w:space="1" w:color="0000FF"/>
          <w:right w:val="single" w:sz="4" w:space="4" w:color="0000FF"/>
        </w:pBdr>
        <w:rPr>
          <w:rFonts w:ascii="Times New Roman" w:hAnsi="Times New Roman"/>
          <w:sz w:val="24"/>
        </w:rPr>
      </w:pPr>
      <w:r w:rsidRPr="00427647">
        <w:rPr>
          <w:rFonts w:ascii="Times New Roman" w:hAnsi="Times New Roman"/>
          <w:sz w:val="24"/>
        </w:rPr>
        <w:t>Dohled nad žáky</w:t>
      </w:r>
    </w:p>
    <w:p w:rsidR="00427647" w:rsidRPr="00427647" w:rsidRDefault="00427647" w:rsidP="00427647">
      <w:pPr>
        <w:pStyle w:val="Prosttext"/>
        <w:pBdr>
          <w:top w:val="single" w:sz="4" w:space="1" w:color="0000FF"/>
          <w:left w:val="single" w:sz="4" w:space="4" w:color="0000FF"/>
          <w:bottom w:val="single" w:sz="4" w:space="1" w:color="0000FF"/>
          <w:right w:val="single" w:sz="4" w:space="4" w:color="0000FF"/>
        </w:pBdr>
        <w:rPr>
          <w:rFonts w:ascii="Times New Roman" w:hAnsi="Times New Roman"/>
          <w:sz w:val="24"/>
        </w:rPr>
      </w:pPr>
    </w:p>
    <w:p w:rsidR="00427647" w:rsidRPr="00427647" w:rsidRDefault="00427647" w:rsidP="00427647">
      <w:pPr>
        <w:pStyle w:val="Prosttext"/>
        <w:pBdr>
          <w:top w:val="single" w:sz="4" w:space="1" w:color="0000FF"/>
          <w:left w:val="single" w:sz="4" w:space="4" w:color="0000FF"/>
          <w:bottom w:val="single" w:sz="4" w:space="1" w:color="0000FF"/>
          <w:right w:val="single" w:sz="4" w:space="4" w:color="0000FF"/>
        </w:pBdr>
        <w:rPr>
          <w:rFonts w:ascii="Times New Roman" w:hAnsi="Times New Roman"/>
          <w:sz w:val="24"/>
        </w:rPr>
      </w:pPr>
      <w:r w:rsidRPr="00427647">
        <w:rPr>
          <w:rFonts w:ascii="Times New Roman" w:hAnsi="Times New Roman"/>
          <w:sz w:val="24"/>
        </w:rPr>
        <w:lastRenderedPageBreak/>
        <w:t>(1) Dohled k zajištění bezpečnosti a ochrany zdraví žáků ve škole nebo školském zařízení při výchově a vzdělávání a s nimi souvisejících činnostech a při poskytování školských služeb se vykonává v zájmu předcházení škodám na zdraví, majetku, přírodě a životním prostředí.</w:t>
      </w:r>
    </w:p>
    <w:p w:rsidR="00427647" w:rsidRPr="00427647" w:rsidRDefault="00427647" w:rsidP="00427647">
      <w:pPr>
        <w:pStyle w:val="Prosttext"/>
        <w:pBdr>
          <w:top w:val="single" w:sz="4" w:space="1" w:color="0000FF"/>
          <w:left w:val="single" w:sz="4" w:space="4" w:color="0000FF"/>
          <w:bottom w:val="single" w:sz="4" w:space="1" w:color="0000FF"/>
          <w:right w:val="single" w:sz="4" w:space="4" w:color="0000FF"/>
        </w:pBdr>
        <w:rPr>
          <w:rFonts w:ascii="Times New Roman" w:hAnsi="Times New Roman"/>
          <w:sz w:val="24"/>
        </w:rPr>
      </w:pPr>
    </w:p>
    <w:p w:rsidR="00427647" w:rsidRPr="00427647" w:rsidRDefault="00427647" w:rsidP="00427647">
      <w:pPr>
        <w:pStyle w:val="Prosttext"/>
        <w:pBdr>
          <w:top w:val="single" w:sz="4" w:space="1" w:color="0000FF"/>
          <w:left w:val="single" w:sz="4" w:space="4" w:color="0000FF"/>
          <w:bottom w:val="single" w:sz="4" w:space="1" w:color="0000FF"/>
          <w:right w:val="single" w:sz="4" w:space="4" w:color="0000FF"/>
        </w:pBdr>
        <w:rPr>
          <w:rFonts w:ascii="Times New Roman" w:hAnsi="Times New Roman"/>
          <w:sz w:val="24"/>
        </w:rPr>
      </w:pPr>
      <w:r w:rsidRPr="00427647">
        <w:rPr>
          <w:rFonts w:ascii="Times New Roman" w:hAnsi="Times New Roman"/>
          <w:sz w:val="24"/>
        </w:rPr>
        <w:t>(2) Ředitel školy nebo školského zařízení určuje provádění dohledu nad žáky. Vychází z konkrétních podmínek a přihlíží zejména k vykonávané činnosti, věku žáků a jejich rozumové vyspělosti, dopravním a jiným rizikům.</w:t>
      </w:r>
    </w:p>
    <w:p w:rsidR="00427647" w:rsidRPr="00427647" w:rsidRDefault="00427647" w:rsidP="00427647">
      <w:pPr>
        <w:pStyle w:val="Prosttext"/>
        <w:pBdr>
          <w:top w:val="single" w:sz="4" w:space="1" w:color="0000FF"/>
          <w:left w:val="single" w:sz="4" w:space="4" w:color="0000FF"/>
          <w:bottom w:val="single" w:sz="4" w:space="1" w:color="0000FF"/>
          <w:right w:val="single" w:sz="4" w:space="4" w:color="0000FF"/>
        </w:pBdr>
        <w:rPr>
          <w:rFonts w:ascii="Times New Roman" w:hAnsi="Times New Roman"/>
          <w:sz w:val="24"/>
        </w:rPr>
      </w:pPr>
    </w:p>
    <w:p w:rsidR="00427647" w:rsidRPr="00427647" w:rsidRDefault="00427647" w:rsidP="00427647">
      <w:pPr>
        <w:pStyle w:val="Prosttext"/>
        <w:pBdr>
          <w:top w:val="single" w:sz="4" w:space="1" w:color="0000FF"/>
          <w:left w:val="single" w:sz="4" w:space="4" w:color="0000FF"/>
          <w:bottom w:val="single" w:sz="4" w:space="1" w:color="0000FF"/>
          <w:right w:val="single" w:sz="4" w:space="4" w:color="0000FF"/>
        </w:pBdr>
        <w:rPr>
          <w:rFonts w:ascii="Times New Roman" w:hAnsi="Times New Roman"/>
          <w:sz w:val="24"/>
        </w:rPr>
      </w:pPr>
      <w:r w:rsidRPr="00427647">
        <w:rPr>
          <w:rFonts w:ascii="Times New Roman" w:hAnsi="Times New Roman"/>
          <w:sz w:val="24"/>
        </w:rPr>
        <w:t>(3) Pedagogický pracovník koná podle rozvrhu dohled nad žáky zejména ve škole před vyučováním, o přestávkách mezi vyučovacími hodinami, podle potřeby při přecházení žáků mezi budovami školy, do zařízení školního stravování a do školní družiny. Jestliže ředitel školy povolí žákům pobyt ve škole před vyučováním, mezi dopoledním a odpoledním vyučováním nebo po vyučování, zabezpečí jejich dohled. Dohled ve škole začíná nejméně 15 minut před začátkem dopoledního vyučování a 15 minut před začátkem odpoledního vyučování a končí nejdříve ukončením výchovy a vzdělávání nebo poskytováním školských služeb.</w:t>
      </w:r>
    </w:p>
    <w:p w:rsidR="00427647" w:rsidRPr="00427647" w:rsidRDefault="00427647" w:rsidP="00427647">
      <w:pPr>
        <w:pStyle w:val="Prosttext"/>
        <w:pBdr>
          <w:top w:val="single" w:sz="4" w:space="1" w:color="0000FF"/>
          <w:left w:val="single" w:sz="4" w:space="4" w:color="0000FF"/>
          <w:bottom w:val="single" w:sz="4" w:space="1" w:color="0000FF"/>
          <w:right w:val="single" w:sz="4" w:space="4" w:color="0000FF"/>
        </w:pBdr>
        <w:rPr>
          <w:rFonts w:ascii="Times New Roman" w:hAnsi="Times New Roman"/>
          <w:sz w:val="24"/>
        </w:rPr>
      </w:pPr>
    </w:p>
    <w:p w:rsidR="00427647" w:rsidRPr="00427647" w:rsidRDefault="00427647" w:rsidP="00427647">
      <w:pPr>
        <w:pStyle w:val="Prosttext"/>
        <w:pBdr>
          <w:top w:val="single" w:sz="4" w:space="1" w:color="0000FF"/>
          <w:left w:val="single" w:sz="4" w:space="4" w:color="0000FF"/>
          <w:bottom w:val="single" w:sz="4" w:space="1" w:color="0000FF"/>
          <w:right w:val="single" w:sz="4" w:space="4" w:color="0000FF"/>
        </w:pBdr>
        <w:rPr>
          <w:rFonts w:ascii="Times New Roman" w:hAnsi="Times New Roman"/>
          <w:sz w:val="24"/>
        </w:rPr>
      </w:pPr>
      <w:r w:rsidRPr="00427647">
        <w:rPr>
          <w:rFonts w:ascii="Times New Roman" w:hAnsi="Times New Roman"/>
          <w:sz w:val="24"/>
        </w:rPr>
        <w:t>(4) Pedagogický pracovník vykonává podle pokynů ředitele dohled i mimo školu a školské zařízení, zejména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w:t>
      </w:r>
    </w:p>
    <w:p w:rsidR="00427647" w:rsidRPr="00427647" w:rsidRDefault="00427647" w:rsidP="00427647">
      <w:pPr>
        <w:pStyle w:val="Prosttext"/>
        <w:pBdr>
          <w:top w:val="single" w:sz="4" w:space="1" w:color="0000FF"/>
          <w:left w:val="single" w:sz="4" w:space="4" w:color="0000FF"/>
          <w:bottom w:val="single" w:sz="4" w:space="1" w:color="0000FF"/>
          <w:right w:val="single" w:sz="4" w:space="4" w:color="0000FF"/>
        </w:pBdr>
        <w:rPr>
          <w:rFonts w:ascii="Times New Roman" w:hAnsi="Times New Roman"/>
          <w:sz w:val="24"/>
        </w:rPr>
      </w:pPr>
    </w:p>
    <w:p w:rsidR="00427647" w:rsidRPr="00427647" w:rsidRDefault="00427647" w:rsidP="00427647">
      <w:pPr>
        <w:pStyle w:val="Prosttext"/>
        <w:pBdr>
          <w:top w:val="single" w:sz="4" w:space="1" w:color="0000FF"/>
          <w:left w:val="single" w:sz="4" w:space="4" w:color="0000FF"/>
          <w:bottom w:val="single" w:sz="4" w:space="1" w:color="0000FF"/>
          <w:right w:val="single" w:sz="4" w:space="4" w:color="0000FF"/>
        </w:pBdr>
        <w:rPr>
          <w:rFonts w:ascii="Times New Roman" w:hAnsi="Times New Roman"/>
          <w:sz w:val="24"/>
        </w:rPr>
      </w:pPr>
      <w:r w:rsidRPr="00427647">
        <w:rPr>
          <w:rFonts w:ascii="Times New Roman" w:hAnsi="Times New Roman"/>
          <w:sz w:val="24"/>
        </w:rPr>
        <w:t xml:space="preserve">(5) Při akcích konaných mimo školu nebo školské zařízení, kdy místem pro shromáždění žáků není škola nebo školské zařízení, začíná dohled nejpozději 15 minut před dobou shromáždění na určeném místě. Po skončení akce dohled končí na předem určeném místě a v předem stanoveném čase. Místo a čas shromáždění žáků a skončení akce se oznámí nejméně jeden den před konáním akce zákonným zástupcům žáků. </w:t>
      </w:r>
    </w:p>
    <w:p w:rsidR="00427647" w:rsidRPr="00427647" w:rsidRDefault="00427647" w:rsidP="00427647">
      <w:pPr>
        <w:pStyle w:val="Prosttext"/>
        <w:pBdr>
          <w:top w:val="single" w:sz="4" w:space="1" w:color="0000FF"/>
          <w:left w:val="single" w:sz="4" w:space="4" w:color="0000FF"/>
          <w:bottom w:val="single" w:sz="4" w:space="1" w:color="0000FF"/>
          <w:right w:val="single" w:sz="4" w:space="4" w:color="0000FF"/>
        </w:pBdr>
        <w:rPr>
          <w:rFonts w:ascii="Times New Roman" w:hAnsi="Times New Roman"/>
          <w:sz w:val="24"/>
        </w:rPr>
      </w:pPr>
    </w:p>
    <w:p w:rsidR="00427647" w:rsidRPr="00427647" w:rsidRDefault="00427647" w:rsidP="00427647">
      <w:pPr>
        <w:pStyle w:val="Prosttext"/>
        <w:pBdr>
          <w:top w:val="single" w:sz="4" w:space="1" w:color="0000FF"/>
          <w:left w:val="single" w:sz="4" w:space="4" w:color="0000FF"/>
          <w:bottom w:val="single" w:sz="4" w:space="1" w:color="0000FF"/>
          <w:right w:val="single" w:sz="4" w:space="4" w:color="0000FF"/>
        </w:pBdr>
        <w:rPr>
          <w:rFonts w:ascii="Times New Roman" w:hAnsi="Times New Roman"/>
          <w:sz w:val="24"/>
        </w:rPr>
      </w:pPr>
      <w:r w:rsidRPr="00427647">
        <w:rPr>
          <w:rFonts w:ascii="Times New Roman" w:hAnsi="Times New Roman"/>
          <w:sz w:val="24"/>
        </w:rPr>
        <w:t>(6) Dohled může vykonávat vedle pedagogického pracovníka i jiný zletilý zaměstnanec školy nebo školského zařízení, jestliže byl o výkonu tohoto dohledu řádně poučen. O tomto poučení se provede záznam.</w:t>
      </w:r>
    </w:p>
    <w:p w:rsidR="00427647" w:rsidRPr="00427647" w:rsidRDefault="00427647" w:rsidP="00427647">
      <w:pPr>
        <w:rPr>
          <w:sz w:val="24"/>
        </w:rPr>
      </w:pPr>
    </w:p>
    <w:p w:rsidR="00427647" w:rsidRPr="00427647" w:rsidRDefault="00427647" w:rsidP="00427647">
      <w:pPr>
        <w:rPr>
          <w:sz w:val="24"/>
        </w:rPr>
      </w:pPr>
    </w:p>
    <w:p w:rsidR="00427647" w:rsidRPr="00427647" w:rsidRDefault="00427647" w:rsidP="00427647">
      <w:pPr>
        <w:rPr>
          <w:sz w:val="24"/>
        </w:rPr>
      </w:pPr>
    </w:p>
    <w:bookmarkStart w:id="3" w:name="_2._Dohled_podle_jednotlivých_druhů_"/>
    <w:bookmarkEnd w:id="3"/>
    <w:p w:rsidR="00427647" w:rsidRPr="00427647" w:rsidRDefault="00427647" w:rsidP="00427647">
      <w:pPr>
        <w:pStyle w:val="Nadpis1"/>
        <w:rPr>
          <w:bCs/>
          <w:sz w:val="28"/>
          <w:u w:val="single"/>
        </w:rPr>
      </w:pPr>
      <w:r w:rsidRPr="00427647">
        <w:rPr>
          <w:bCs/>
          <w:sz w:val="28"/>
          <w:u w:val="single"/>
        </w:rPr>
        <w:fldChar w:fldCharType="begin"/>
      </w:r>
      <w:r w:rsidRPr="00427647">
        <w:rPr>
          <w:bCs/>
          <w:sz w:val="28"/>
          <w:u w:val="single"/>
        </w:rPr>
        <w:instrText xml:space="preserve"> HYPERLINK  \l "_top" </w:instrText>
      </w:r>
      <w:r w:rsidRPr="00427647">
        <w:rPr>
          <w:bCs/>
          <w:sz w:val="28"/>
          <w:u w:val="single"/>
        </w:rPr>
        <w:fldChar w:fldCharType="separate"/>
      </w:r>
      <w:r w:rsidRPr="00427647">
        <w:rPr>
          <w:rStyle w:val="Hypertextovodkaz"/>
          <w:bCs/>
          <w:color w:val="auto"/>
          <w:sz w:val="28"/>
        </w:rPr>
        <w:t>2. Dohled podle jednotlivých druhů vzdělávání</w:t>
      </w:r>
      <w:r w:rsidRPr="00427647">
        <w:rPr>
          <w:bCs/>
          <w:sz w:val="28"/>
          <w:u w:val="single"/>
        </w:rPr>
        <w:fldChar w:fldCharType="end"/>
      </w:r>
    </w:p>
    <w:p w:rsidR="00427647" w:rsidRPr="00427647" w:rsidRDefault="00427647" w:rsidP="00427647">
      <w:pPr>
        <w:rPr>
          <w:b/>
          <w:sz w:val="24"/>
        </w:rPr>
      </w:pPr>
    </w:p>
    <w:p w:rsidR="00427647" w:rsidRPr="00427647" w:rsidRDefault="00427647" w:rsidP="00427647">
      <w:pPr>
        <w:rPr>
          <w:b/>
          <w:sz w:val="24"/>
        </w:rPr>
      </w:pPr>
    </w:p>
    <w:bookmarkStart w:id="4" w:name="_1.1._Předškolní_vzdělávání"/>
    <w:bookmarkStart w:id="5" w:name="_2._1._Předškolní_vzdělávání"/>
    <w:bookmarkEnd w:id="4"/>
    <w:bookmarkEnd w:id="5"/>
    <w:p w:rsidR="00427647" w:rsidRPr="00427647" w:rsidRDefault="00427647" w:rsidP="00427647">
      <w:pPr>
        <w:pStyle w:val="Nadpis1"/>
        <w:rPr>
          <w:rStyle w:val="Hypertextovodkaz"/>
          <w:bCs/>
          <w:color w:val="auto"/>
          <w:sz w:val="28"/>
        </w:rPr>
      </w:pPr>
      <w:r w:rsidRPr="00427647">
        <w:rPr>
          <w:bCs/>
          <w:sz w:val="28"/>
          <w:u w:val="single"/>
        </w:rPr>
        <w:fldChar w:fldCharType="begin"/>
      </w:r>
      <w:r w:rsidRPr="00427647">
        <w:rPr>
          <w:bCs/>
          <w:sz w:val="28"/>
          <w:u w:val="single"/>
        </w:rPr>
        <w:instrText xml:space="preserve"> HYPERLINK  \l "_top" </w:instrText>
      </w:r>
      <w:r w:rsidRPr="00427647">
        <w:rPr>
          <w:bCs/>
          <w:sz w:val="28"/>
          <w:u w:val="single"/>
        </w:rPr>
        <w:fldChar w:fldCharType="separate"/>
      </w:r>
      <w:r w:rsidRPr="00427647">
        <w:rPr>
          <w:rStyle w:val="Hypertextovodkaz"/>
          <w:bCs/>
          <w:color w:val="auto"/>
          <w:sz w:val="28"/>
        </w:rPr>
        <w:t>2. 1. Předškolní vzdělávání</w:t>
      </w:r>
    </w:p>
    <w:p w:rsidR="00427647" w:rsidRPr="00427647" w:rsidRDefault="00427647" w:rsidP="00427647">
      <w:r w:rsidRPr="00427647">
        <w:rPr>
          <w:b/>
          <w:bCs/>
          <w:sz w:val="28"/>
          <w:u w:val="single"/>
        </w:rPr>
        <w:fldChar w:fldCharType="end"/>
      </w:r>
    </w:p>
    <w:p w:rsidR="00427647" w:rsidRPr="00427647" w:rsidRDefault="00427647" w:rsidP="00427647">
      <w:pPr>
        <w:rPr>
          <w:sz w:val="24"/>
        </w:rPr>
      </w:pPr>
    </w:p>
    <w:p w:rsidR="00427647" w:rsidRPr="00427647" w:rsidRDefault="00427647" w:rsidP="00427647">
      <w:pPr>
        <w:pStyle w:val="Zkladntext2"/>
        <w:rPr>
          <w:color w:val="auto"/>
        </w:rPr>
      </w:pPr>
      <w:r w:rsidRPr="00427647">
        <w:rPr>
          <w:color w:val="auto"/>
        </w:rPr>
        <w:t>Další konkretizaci obecných ustanovení o dohledu pro předškolní vzdělávání obsahuje vyhláška č. 14/2005 Sb., o předškolním vzdělávání.</w:t>
      </w:r>
    </w:p>
    <w:p w:rsidR="00427647" w:rsidRPr="00427647" w:rsidRDefault="00427647" w:rsidP="00427647">
      <w:pPr>
        <w:pStyle w:val="Zkladntext2"/>
        <w:rPr>
          <w:color w:val="auto"/>
        </w:rPr>
      </w:pPr>
    </w:p>
    <w:p w:rsidR="00427647" w:rsidRPr="00427647" w:rsidRDefault="00427647" w:rsidP="00427647">
      <w:pPr>
        <w:pStyle w:val="Zkladntext2"/>
        <w:rPr>
          <w:color w:val="auto"/>
        </w:rPr>
      </w:pPr>
      <w:r w:rsidRPr="00427647">
        <w:rPr>
          <w:color w:val="auto"/>
        </w:rPr>
        <w:t>Vyhláška č. 14/2005 Sb. hovoří o „dohledu“.</w:t>
      </w:r>
    </w:p>
    <w:p w:rsidR="00427647" w:rsidRPr="00427647" w:rsidRDefault="00427647" w:rsidP="00427647">
      <w:pPr>
        <w:rPr>
          <w:sz w:val="24"/>
        </w:rPr>
      </w:pP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r w:rsidRPr="00427647">
        <w:rPr>
          <w:sz w:val="24"/>
        </w:rPr>
        <w:t>Vyhláška č.14/2005 Sb., o předškolním vzdělávání</w:t>
      </w: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r w:rsidRPr="00427647">
        <w:rPr>
          <w:sz w:val="24"/>
        </w:rPr>
        <w:t>§ 5  Péče o zdraví a bezpečnost dětí</w:t>
      </w: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r w:rsidRPr="00427647">
        <w:rPr>
          <w:sz w:val="24"/>
        </w:rPr>
        <w:lastRenderedPageBreak/>
        <w:t>(1) Právnická osoba, která vykonává činnost mateřské školy,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r w:rsidRPr="00427647">
        <w:rPr>
          <w:sz w:val="24"/>
        </w:rPr>
        <w:t>(2) K zajištění bezpečnosti dětí při pobytu mimo území mateřské školy stanoví ředitel mateřské školy počet pedagogických pracovníků tak, aby na jednoho pedagogického pracovníka připadlo nejvýše</w:t>
      </w: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r w:rsidRPr="00427647">
        <w:rPr>
          <w:sz w:val="24"/>
        </w:rPr>
        <w:t>a) 20 dětí z běžných tříd, nebo</w:t>
      </w: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r w:rsidRPr="00427647">
        <w:rPr>
          <w:sz w:val="24"/>
        </w:rPr>
        <w:t>b) 12 dětí ve třídě, kde jsou zařazeny děti se zdravotním postižením.</w:t>
      </w: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r w:rsidRPr="00427647">
        <w:rPr>
          <w:sz w:val="24"/>
        </w:rPr>
        <w:t>(3) Výjimečně může ředitel mateřské školy zvýšit počty dětí uvedené</w:t>
      </w: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r w:rsidRPr="00427647">
        <w:rPr>
          <w:sz w:val="24"/>
        </w:rPr>
        <w:t>a) v odstavci 2 písm. a), nejvýše však o 8 dětí, nebo</w:t>
      </w: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r w:rsidRPr="00427647">
        <w:rPr>
          <w:sz w:val="24"/>
        </w:rPr>
        <w:t>b) v odstavci 2 písm. b), nejvýše však o 11 dětí.</w:t>
      </w: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r w:rsidRPr="00427647">
        <w:rPr>
          <w:sz w:val="24"/>
        </w:rPr>
        <w:t>(4) Při zvýšení počtu dětí podle odstavce 3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r w:rsidRPr="00427647">
        <w:rPr>
          <w:sz w:val="24"/>
        </w:rPr>
        <w:t>(5) Při zajišťování zotavovacích pobytů, popřípadě výletů pro děti určí ředitel mateřské školy počet pedagogických pracovníků tak, aby byla zajištěna výchova dětí, včetně dětí se zdravotním postižením, jejich bezpečnost a ochrana zdraví.</w:t>
      </w:r>
    </w:p>
    <w:p w:rsidR="00427647" w:rsidRPr="00427647" w:rsidRDefault="00427647" w:rsidP="00427647">
      <w:pPr>
        <w:pStyle w:val="Nadpis1"/>
        <w:ind w:left="0"/>
        <w:rPr>
          <w:sz w:val="24"/>
          <w:u w:val="single"/>
        </w:rPr>
      </w:pPr>
      <w:bookmarkStart w:id="6" w:name="_1.2._Základní_vzdělávání"/>
      <w:bookmarkEnd w:id="6"/>
    </w:p>
    <w:p w:rsidR="00427647" w:rsidRPr="00427647" w:rsidRDefault="00427647" w:rsidP="00427647">
      <w:pPr>
        <w:pStyle w:val="Nadpis1"/>
        <w:ind w:left="0"/>
        <w:rPr>
          <w:sz w:val="24"/>
          <w:u w:val="single"/>
        </w:rPr>
      </w:pPr>
    </w:p>
    <w:bookmarkStart w:id="7" w:name="_2._2._Základní_vzdělávání"/>
    <w:bookmarkEnd w:id="7"/>
    <w:p w:rsidR="00427647" w:rsidRPr="00427647" w:rsidRDefault="00427647" w:rsidP="00427647">
      <w:pPr>
        <w:pStyle w:val="Nadpis1"/>
        <w:rPr>
          <w:rStyle w:val="Hypertextovodkaz"/>
          <w:bCs/>
          <w:color w:val="auto"/>
          <w:sz w:val="28"/>
        </w:rPr>
      </w:pPr>
      <w:r w:rsidRPr="00427647">
        <w:rPr>
          <w:bCs/>
          <w:sz w:val="28"/>
          <w:u w:val="single"/>
        </w:rPr>
        <w:fldChar w:fldCharType="begin"/>
      </w:r>
      <w:r w:rsidRPr="00427647">
        <w:rPr>
          <w:bCs/>
          <w:sz w:val="28"/>
          <w:u w:val="single"/>
        </w:rPr>
        <w:instrText xml:space="preserve"> HYPERLINK  \l "_top" </w:instrText>
      </w:r>
      <w:r w:rsidRPr="00427647">
        <w:rPr>
          <w:bCs/>
          <w:sz w:val="28"/>
          <w:u w:val="single"/>
        </w:rPr>
        <w:fldChar w:fldCharType="separate"/>
      </w:r>
      <w:r w:rsidRPr="00427647">
        <w:rPr>
          <w:rStyle w:val="Hypertextovodkaz"/>
          <w:bCs/>
          <w:color w:val="auto"/>
          <w:sz w:val="28"/>
        </w:rPr>
        <w:t>2. 2. Základní vzdělávání</w:t>
      </w:r>
    </w:p>
    <w:p w:rsidR="00427647" w:rsidRPr="00427647" w:rsidRDefault="00427647" w:rsidP="00427647">
      <w:pPr>
        <w:rPr>
          <w:b/>
          <w:sz w:val="24"/>
        </w:rPr>
      </w:pPr>
      <w:r w:rsidRPr="00427647">
        <w:rPr>
          <w:b/>
          <w:bCs/>
          <w:sz w:val="28"/>
          <w:u w:val="single"/>
        </w:rPr>
        <w:fldChar w:fldCharType="end"/>
      </w:r>
    </w:p>
    <w:p w:rsidR="00427647" w:rsidRPr="00427647" w:rsidRDefault="00427647" w:rsidP="00427647">
      <w:pPr>
        <w:pStyle w:val="Zkladntext3"/>
        <w:rPr>
          <w:color w:val="auto"/>
        </w:rPr>
      </w:pPr>
      <w:r w:rsidRPr="00427647">
        <w:rPr>
          <w:color w:val="auto"/>
        </w:rPr>
        <w:t>V případě základního vzdělávání vyhláška hovoří o „zajištění bezpečnosti a ochrany zdraví žáků“.</w:t>
      </w:r>
    </w:p>
    <w:p w:rsidR="00427647" w:rsidRPr="00427647" w:rsidRDefault="00427647" w:rsidP="00427647">
      <w:pPr>
        <w:rPr>
          <w:b/>
          <w:sz w:val="24"/>
        </w:rPr>
      </w:pPr>
    </w:p>
    <w:p w:rsidR="00427647" w:rsidRPr="00427647" w:rsidRDefault="00427647" w:rsidP="00427647">
      <w:pPr>
        <w:rPr>
          <w:b/>
          <w:sz w:val="24"/>
        </w:rPr>
      </w:pPr>
      <w:r w:rsidRPr="00427647">
        <w:rPr>
          <w:b/>
          <w:sz w:val="24"/>
        </w:rPr>
        <w:t>Vyhláška č. 48/2005 Sb., o základním vzdělávání a některých náležitostech plnění povinné školní docházky</w:t>
      </w:r>
    </w:p>
    <w:p w:rsidR="00427647" w:rsidRPr="00427647" w:rsidRDefault="00427647" w:rsidP="00427647">
      <w:pPr>
        <w:rPr>
          <w:sz w:val="24"/>
        </w:rPr>
      </w:pP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r w:rsidRPr="00427647">
        <w:rPr>
          <w:sz w:val="24"/>
        </w:rPr>
        <w:t>§ 3</w:t>
      </w: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r w:rsidRPr="00427647">
        <w:rPr>
          <w:sz w:val="24"/>
        </w:rPr>
        <w:t>(1) Bezpečnost a ochranu zdraví žáků ve škole, při vzdělávání mimo místo, kde se uskutečňuje vzdělávání1), a při akcích konaných mimo místo, kde se uskutečňuje vzdělávání, zajišťuje právnická osoba, která vykonává činnost školy, svými zaměstnanci, vždy však nejméně jedním pedagogickým pracovníkem2). Zaměstnance, který není pedagogickým pracovníkem, může ředitel školy k zajištění bezpečnosti a ochrany zdraví žáků určit pouze, pokud je zletilý a způsobilý k právním úkonům.</w:t>
      </w: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r w:rsidRPr="00427647">
        <w:rPr>
          <w:sz w:val="24"/>
        </w:rPr>
        <w:t>(2)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w:t>
      </w: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p>
    <w:p w:rsidR="00427647" w:rsidRPr="00427647" w:rsidRDefault="00427647" w:rsidP="00427647">
      <w:pPr>
        <w:pBdr>
          <w:top w:val="single" w:sz="4" w:space="1" w:color="0000FF"/>
          <w:left w:val="single" w:sz="4" w:space="4" w:color="0000FF"/>
          <w:bottom w:val="single" w:sz="4" w:space="1" w:color="0000FF"/>
          <w:right w:val="single" w:sz="4" w:space="4" w:color="0000FF"/>
        </w:pBdr>
        <w:rPr>
          <w:sz w:val="24"/>
        </w:rPr>
      </w:pPr>
      <w:r w:rsidRPr="00427647">
        <w:rPr>
          <w:sz w:val="24"/>
        </w:rPr>
        <w:t xml:space="preserve">(3) Při akcích konaných mimo místo, kde škola uskutečňuje vzdělávání, kdy místem pro shromáždění žáků není místo, kde škola uskutečňuje vzdělávání, se zajišťuje bezpečnost a </w:t>
      </w:r>
      <w:r w:rsidRPr="00427647">
        <w:rPr>
          <w:sz w:val="24"/>
        </w:rPr>
        <w:lastRenderedPageBreak/>
        <w:t>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1 den předem zákonným zástupcům žáků.</w:t>
      </w:r>
    </w:p>
    <w:p w:rsidR="00F36CED" w:rsidRPr="00427647" w:rsidRDefault="00F36CED"/>
    <w:sectPr w:rsidR="00F36CED" w:rsidRPr="00427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E1E5C"/>
    <w:multiLevelType w:val="singleLevel"/>
    <w:tmpl w:val="11A43A18"/>
    <w:lvl w:ilvl="0">
      <w:start w:val="1"/>
      <w:numFmt w:val="bullet"/>
      <w:lvlText w:val="-"/>
      <w:lvlJc w:val="left"/>
      <w:pPr>
        <w:tabs>
          <w:tab w:val="num" w:pos="360"/>
        </w:tabs>
        <w:ind w:left="360" w:hanging="360"/>
      </w:pPr>
      <w:rPr>
        <w:rFonts w:hint="default"/>
      </w:rPr>
    </w:lvl>
  </w:abstractNum>
  <w:abstractNum w:abstractNumId="1" w15:restartNumberingAfterBreak="0">
    <w:nsid w:val="4AC53E57"/>
    <w:multiLevelType w:val="singleLevel"/>
    <w:tmpl w:val="04050017"/>
    <w:lvl w:ilvl="0">
      <w:start w:val="1"/>
      <w:numFmt w:val="lowerLetter"/>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08"/>
    <w:rsid w:val="00053C20"/>
    <w:rsid w:val="001B2A08"/>
    <w:rsid w:val="001B76B1"/>
    <w:rsid w:val="00427647"/>
    <w:rsid w:val="008031DB"/>
    <w:rsid w:val="00C76094"/>
    <w:rsid w:val="00F36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1C9FA-0D6A-4AE4-8D3A-AB2BF904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764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27647"/>
    <w:pPr>
      <w:keepNext/>
      <w:ind w:left="113"/>
      <w:outlineLvl w:val="0"/>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7647"/>
    <w:rPr>
      <w:rFonts w:ascii="Times New Roman" w:eastAsia="Times New Roman" w:hAnsi="Times New Roman" w:cs="Times New Roman"/>
      <w:b/>
      <w:sz w:val="40"/>
      <w:szCs w:val="20"/>
      <w:lang w:eastAsia="cs-CZ"/>
    </w:rPr>
  </w:style>
  <w:style w:type="paragraph" w:customStyle="1" w:styleId="Zkladntext21">
    <w:name w:val="Základní text 21"/>
    <w:basedOn w:val="Normln"/>
    <w:rsid w:val="00427647"/>
    <w:rPr>
      <w:sz w:val="24"/>
    </w:rPr>
  </w:style>
  <w:style w:type="paragraph" w:styleId="Zkladntext">
    <w:name w:val="Body Text"/>
    <w:basedOn w:val="Normln"/>
    <w:link w:val="ZkladntextChar"/>
    <w:rsid w:val="00427647"/>
    <w:pPr>
      <w:spacing w:before="120" w:line="240" w:lineRule="atLeast"/>
      <w:jc w:val="both"/>
    </w:pPr>
    <w:rPr>
      <w:sz w:val="24"/>
    </w:rPr>
  </w:style>
  <w:style w:type="character" w:customStyle="1" w:styleId="ZkladntextChar">
    <w:name w:val="Základní text Char"/>
    <w:basedOn w:val="Standardnpsmoodstavce"/>
    <w:link w:val="Zkladntext"/>
    <w:rsid w:val="00427647"/>
    <w:rPr>
      <w:rFonts w:ascii="Times New Roman" w:eastAsia="Times New Roman" w:hAnsi="Times New Roman" w:cs="Times New Roman"/>
      <w:sz w:val="24"/>
      <w:szCs w:val="20"/>
      <w:lang w:eastAsia="cs-CZ"/>
    </w:rPr>
  </w:style>
  <w:style w:type="paragraph" w:customStyle="1" w:styleId="Prosttext1">
    <w:name w:val="Prostý text1"/>
    <w:basedOn w:val="Normln"/>
    <w:rsid w:val="00427647"/>
    <w:rPr>
      <w:rFonts w:ascii="Courier New" w:hAnsi="Courier New"/>
      <w:color w:val="000000"/>
    </w:rPr>
  </w:style>
  <w:style w:type="character" w:styleId="Hypertextovodkaz">
    <w:name w:val="Hyperlink"/>
    <w:basedOn w:val="Standardnpsmoodstavce"/>
    <w:rsid w:val="00427647"/>
    <w:rPr>
      <w:color w:val="0000FF"/>
      <w:u w:val="single"/>
    </w:rPr>
  </w:style>
  <w:style w:type="paragraph" w:styleId="Prosttext">
    <w:name w:val="Plain Text"/>
    <w:basedOn w:val="Normln"/>
    <w:link w:val="ProsttextChar"/>
    <w:rsid w:val="00427647"/>
    <w:pPr>
      <w:overflowPunct/>
      <w:autoSpaceDE/>
      <w:autoSpaceDN/>
      <w:adjustRightInd/>
      <w:textAlignment w:val="auto"/>
    </w:pPr>
    <w:rPr>
      <w:rFonts w:ascii="Courier New" w:hAnsi="Courier New" w:cs="Courier New"/>
    </w:rPr>
  </w:style>
  <w:style w:type="character" w:customStyle="1" w:styleId="ProsttextChar">
    <w:name w:val="Prostý text Char"/>
    <w:basedOn w:val="Standardnpsmoodstavce"/>
    <w:link w:val="Prosttext"/>
    <w:rsid w:val="00427647"/>
    <w:rPr>
      <w:rFonts w:ascii="Courier New" w:eastAsia="Times New Roman" w:hAnsi="Courier New" w:cs="Courier New"/>
      <w:sz w:val="20"/>
      <w:szCs w:val="20"/>
      <w:lang w:eastAsia="cs-CZ"/>
    </w:rPr>
  </w:style>
  <w:style w:type="paragraph" w:styleId="Zkladntext2">
    <w:name w:val="Body Text 2"/>
    <w:basedOn w:val="Normln"/>
    <w:link w:val="Zkladntext2Char"/>
    <w:rsid w:val="00427647"/>
    <w:rPr>
      <w:color w:val="FF0000"/>
      <w:sz w:val="24"/>
    </w:rPr>
  </w:style>
  <w:style w:type="character" w:customStyle="1" w:styleId="Zkladntext2Char">
    <w:name w:val="Základní text 2 Char"/>
    <w:basedOn w:val="Standardnpsmoodstavce"/>
    <w:link w:val="Zkladntext2"/>
    <w:rsid w:val="00427647"/>
    <w:rPr>
      <w:rFonts w:ascii="Times New Roman" w:eastAsia="Times New Roman" w:hAnsi="Times New Roman" w:cs="Times New Roman"/>
      <w:color w:val="FF0000"/>
      <w:sz w:val="24"/>
      <w:szCs w:val="20"/>
      <w:lang w:eastAsia="cs-CZ"/>
    </w:rPr>
  </w:style>
  <w:style w:type="paragraph" w:styleId="Zkladntext3">
    <w:name w:val="Body Text 3"/>
    <w:basedOn w:val="Normln"/>
    <w:link w:val="Zkladntext3Char"/>
    <w:rsid w:val="00427647"/>
    <w:rPr>
      <w:b/>
      <w:color w:val="FF0000"/>
      <w:sz w:val="24"/>
    </w:rPr>
  </w:style>
  <w:style w:type="character" w:customStyle="1" w:styleId="Zkladntext3Char">
    <w:name w:val="Základní text 3 Char"/>
    <w:basedOn w:val="Standardnpsmoodstavce"/>
    <w:link w:val="Zkladntext3"/>
    <w:rsid w:val="00427647"/>
    <w:rPr>
      <w:rFonts w:ascii="Times New Roman" w:eastAsia="Times New Roman" w:hAnsi="Times New Roman" w:cs="Times New Roman"/>
      <w:b/>
      <w:color w:val="FF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8215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Veselá Dana</dc:creator>
  <cp:keywords/>
  <dc:description/>
  <cp:lastModifiedBy>Veselá Dana</cp:lastModifiedBy>
  <cp:revision>2</cp:revision>
  <dcterms:created xsi:type="dcterms:W3CDTF">2019-10-23T14:46:00Z</dcterms:created>
  <dcterms:modified xsi:type="dcterms:W3CDTF">2019-10-23T14:46:00Z</dcterms:modified>
</cp:coreProperties>
</file>