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11" w:rsidRPr="00D531B9" w:rsidRDefault="006D0311" w:rsidP="006D0311">
      <w:pPr>
        <w:rPr>
          <w:b/>
          <w:sz w:val="28"/>
          <w:szCs w:val="28"/>
        </w:rPr>
      </w:pPr>
      <w:r w:rsidRPr="00D531B9">
        <w:rPr>
          <w:b/>
          <w:sz w:val="28"/>
          <w:szCs w:val="28"/>
        </w:rPr>
        <w:t>Otázky k opakování</w:t>
      </w:r>
    </w:p>
    <w:p w:rsidR="006D0311" w:rsidRDefault="006D0311" w:rsidP="006D0311">
      <w:pPr>
        <w:pStyle w:val="Odstavecseseznamem"/>
        <w:numPr>
          <w:ilvl w:val="0"/>
          <w:numId w:val="2"/>
        </w:numPr>
        <w:spacing w:after="160" w:line="259" w:lineRule="auto"/>
      </w:pPr>
      <w:r>
        <w:t>Podle analytické (též „školské“, „tradiční“ syntaxe je  základem věty, z něhož se odvíjí další struktura, tzv. ZÁKLADNÍ SKLADEBNÍ DVOJICE, kterou tvoří ZÁKLADNÍ větné členy: PODMĚT a PŘÍSUDEK. (co linka, to jedno plnovýznamové slovo.</w:t>
      </w:r>
    </w:p>
    <w:p w:rsidR="006D0311" w:rsidRDefault="006D0311" w:rsidP="006D0311">
      <w:pPr>
        <w:pStyle w:val="Odstavecseseznamem"/>
        <w:numPr>
          <w:ilvl w:val="0"/>
          <w:numId w:val="2"/>
        </w:numPr>
        <w:spacing w:after="160" w:line="259" w:lineRule="auto"/>
      </w:pPr>
      <w:r>
        <w:t xml:space="preserve">Dva ZÁKLADNÍ  větné členy se vždy shodují v gramatických kategoriích OSOBY a ČÍSLA. </w:t>
      </w:r>
    </w:p>
    <w:p w:rsidR="006D0311" w:rsidRDefault="006D0311" w:rsidP="006D0311">
      <w:pPr>
        <w:pStyle w:val="Odstavecseseznamem"/>
      </w:pPr>
      <w:r>
        <w:t>Je-li sloveso v PŘÍSUDKU ve tvaru příčestí MINULÉHO nebo TRPNÉHO, shodují se též ve jmenném rodě.</w:t>
      </w:r>
    </w:p>
    <w:p w:rsidR="006D0311" w:rsidRDefault="006D0311" w:rsidP="006D0311">
      <w:pPr>
        <w:pStyle w:val="Odstavecseseznamem"/>
      </w:pPr>
    </w:p>
    <w:p w:rsidR="006D0311" w:rsidRDefault="006D0311" w:rsidP="006D0311">
      <w:pPr>
        <w:pStyle w:val="Odstavecseseznamem"/>
        <w:numPr>
          <w:ilvl w:val="0"/>
          <w:numId w:val="2"/>
        </w:numPr>
        <w:spacing w:after="160" w:line="259" w:lineRule="auto"/>
      </w:pPr>
      <w:r>
        <w:t>Přísudek je ZÁKLADNÍ větný člen, který vyjadřuje DĚJ, STAV, VLASTNOST…</w:t>
      </w:r>
    </w:p>
    <w:p w:rsidR="006D0311" w:rsidRDefault="006D0311" w:rsidP="006D0311"/>
    <w:p w:rsidR="006D0311" w:rsidRDefault="006D0311" w:rsidP="006D0311">
      <w:r>
        <w:t>Doporučení: pro zodpovězení následujících otázek si vždy řekněte několik konkrétních příkladů.</w:t>
      </w:r>
    </w:p>
    <w:p w:rsidR="006D0311" w:rsidRPr="00752DE2" w:rsidRDefault="006D0311" w:rsidP="006D0311">
      <w:pPr>
        <w:pStyle w:val="Odstavecseseznamem"/>
        <w:numPr>
          <w:ilvl w:val="0"/>
          <w:numId w:val="2"/>
        </w:numPr>
        <w:spacing w:after="160" w:line="259" w:lineRule="auto"/>
        <w:rPr>
          <w:b/>
        </w:rPr>
      </w:pPr>
      <w:r w:rsidRPr="00752DE2">
        <w:rPr>
          <w:b/>
        </w:rPr>
        <w:t>Doplňte:</w:t>
      </w:r>
    </w:p>
    <w:p w:rsidR="006D0311" w:rsidRDefault="006D0311" w:rsidP="006D0311">
      <w:pPr>
        <w:pStyle w:val="Odstavecseseznamem"/>
        <w:numPr>
          <w:ilvl w:val="0"/>
          <w:numId w:val="4"/>
        </w:numPr>
        <w:spacing w:after="160" w:line="259" w:lineRule="auto"/>
      </w:pPr>
      <w:r>
        <w:t xml:space="preserve">V minulém příčestí, které je součástí  přísudku, se píše ve shodě s několikanásobným podmětem </w:t>
      </w:r>
      <w:r w:rsidRPr="00D531B9">
        <w:rPr>
          <w:b/>
        </w:rPr>
        <w:t>i</w:t>
      </w:r>
      <w:r>
        <w:t xml:space="preserve"> tehdy, je-li součástí podmětu  JMÉNO RODU MUŽSKÉHO ŽIVOTNÉHO</w:t>
      </w:r>
    </w:p>
    <w:p w:rsidR="006D0311" w:rsidRDefault="006D0311" w:rsidP="006D0311">
      <w:pPr>
        <w:pStyle w:val="Odstavecseseznamem"/>
      </w:pPr>
    </w:p>
    <w:p w:rsidR="006D0311" w:rsidRDefault="006D0311" w:rsidP="006D0311">
      <w:pPr>
        <w:pStyle w:val="Odstavecseseznamem"/>
        <w:numPr>
          <w:ilvl w:val="0"/>
          <w:numId w:val="4"/>
        </w:numPr>
        <w:spacing w:after="160" w:line="259" w:lineRule="auto"/>
      </w:pPr>
      <w:r>
        <w:t xml:space="preserve">V minulém příčestí, které je součástí  přísudku, se píše ve shodě s několikanásobným podmětem </w:t>
      </w:r>
      <w:r>
        <w:rPr>
          <w:b/>
        </w:rPr>
        <w:t>y</w:t>
      </w:r>
      <w:r>
        <w:t xml:space="preserve"> tehdy, jsou-li v podmětu  PODSTATNÁ JMÉNA JAKÉHOKOLIV DRUHU KROMĚ RODU MUŽSKÉHO ŽIVOTNÉHO A NEJSOU-LI JMÉNA POUZE RODU STŘEDNÍHO V MNOŽNÉM ČÍSLE.</w:t>
      </w:r>
    </w:p>
    <w:p w:rsidR="006D0311" w:rsidRDefault="006D0311" w:rsidP="006D0311">
      <w:pPr>
        <w:pStyle w:val="Odstavecseseznamem"/>
      </w:pPr>
    </w:p>
    <w:p w:rsidR="006D0311" w:rsidRDefault="006D0311" w:rsidP="006D0311">
      <w:pPr>
        <w:pStyle w:val="Odstavecseseznamem"/>
        <w:numPr>
          <w:ilvl w:val="0"/>
          <w:numId w:val="4"/>
        </w:numPr>
        <w:spacing w:after="160" w:line="259" w:lineRule="auto"/>
      </w:pPr>
      <w:r>
        <w:t xml:space="preserve">V minulém příčestí, které je součástí  přísudku, se píše ve shodě s několikanásobným podmětem </w:t>
      </w:r>
      <w:r w:rsidRPr="00D531B9">
        <w:rPr>
          <w:b/>
        </w:rPr>
        <w:t>a</w:t>
      </w:r>
      <w:r>
        <w:t xml:space="preserve"> tehdy, jsou-li v podmětu  POUZE JMÉNA RODU STŘEDNÍHO V MNOŽNÉM ČÍSLE.</w:t>
      </w:r>
    </w:p>
    <w:p w:rsidR="006D0311" w:rsidRDefault="006D0311" w:rsidP="006D0311"/>
    <w:p w:rsidR="006D0311" w:rsidRDefault="006D0311" w:rsidP="006D0311">
      <w:pPr>
        <w:pStyle w:val="Odstavecseseznamem"/>
        <w:numPr>
          <w:ilvl w:val="0"/>
          <w:numId w:val="2"/>
        </w:numPr>
        <w:spacing w:after="160" w:line="259" w:lineRule="auto"/>
      </w:pPr>
      <w:r>
        <w:t xml:space="preserve">a) Je-li přísudek tvořen určitým tvarem slovesa </w:t>
      </w:r>
      <w:r w:rsidRPr="00D531B9">
        <w:rPr>
          <w:i/>
        </w:rPr>
        <w:t>být</w:t>
      </w:r>
      <w:r>
        <w:t xml:space="preserve"> a přídavným jménem, musí, nebo nemusí se toto přídavné jméno shodovat s podmětem ve jmenném rodě a v čísle? NENÍ-LI NESKLONNÉ, MUSÍ SE S PODMĚTEM SHODOVAT V RODĚ A ČÍSLE.</w:t>
      </w:r>
    </w:p>
    <w:p w:rsidR="006D0311" w:rsidRDefault="006D0311" w:rsidP="006D0311">
      <w:pPr>
        <w:pStyle w:val="Odstavecseseznamem"/>
      </w:pPr>
    </w:p>
    <w:p w:rsidR="006D0311" w:rsidRDefault="006D0311" w:rsidP="006D0311">
      <w:pPr>
        <w:pStyle w:val="Odstavecseseznamem"/>
        <w:numPr>
          <w:ilvl w:val="0"/>
          <w:numId w:val="3"/>
        </w:numPr>
        <w:spacing w:after="160" w:line="259" w:lineRule="auto"/>
      </w:pPr>
      <w:r>
        <w:t xml:space="preserve">Je-li přísudek tvořen určitým tvarem slovesa </w:t>
      </w:r>
      <w:r w:rsidRPr="00D531B9">
        <w:rPr>
          <w:i/>
        </w:rPr>
        <w:t>být</w:t>
      </w:r>
      <w:r>
        <w:t xml:space="preserve"> a podstatným jménem, musí, nebo nemusí se toto podstatné jméno shodovat s podmětem ve jmenném rodě a v čísle? NEMUSÍ</w:t>
      </w:r>
    </w:p>
    <w:p w:rsidR="006D0311" w:rsidRDefault="006D0311" w:rsidP="006D0311">
      <w:pPr>
        <w:pStyle w:val="Odstavecseseznamem"/>
        <w:ind w:left="1080"/>
      </w:pPr>
    </w:p>
    <w:p w:rsidR="006D0311" w:rsidRDefault="006D0311" w:rsidP="006D0311">
      <w:pPr>
        <w:pStyle w:val="Odstavecseseznamem"/>
        <w:numPr>
          <w:ilvl w:val="0"/>
          <w:numId w:val="3"/>
        </w:numPr>
        <w:spacing w:after="160" w:line="259" w:lineRule="auto"/>
      </w:pPr>
      <w:r>
        <w:t xml:space="preserve">Je-li přísudek tvořen určitým tvarem slovesa </w:t>
      </w:r>
      <w:r w:rsidRPr="00D531B9">
        <w:rPr>
          <w:i/>
        </w:rPr>
        <w:t>být</w:t>
      </w:r>
      <w:r>
        <w:t xml:space="preserve"> a zájmenem, musí, nebo nemusí se toto zájmeno shodovat s podmětem ve jmenném rodě a v čísle? JE-LI ZÁJMENO RODOVÉ, MUSÍ SE S PODMĚTEM SHODOVAT.</w:t>
      </w:r>
    </w:p>
    <w:p w:rsidR="006D0311" w:rsidRDefault="006D0311" w:rsidP="006D0311">
      <w:pPr>
        <w:pStyle w:val="Odstavecseseznamem"/>
        <w:numPr>
          <w:ilvl w:val="0"/>
          <w:numId w:val="3"/>
        </w:numPr>
        <w:spacing w:after="160" w:line="259" w:lineRule="auto"/>
      </w:pPr>
      <w:r>
        <w:t>a) Jmenná část přísudku může být vyjádřena následujícími slovními druhy:  PODSTATNÉ JMÉNO, PŘÍDAVNÉ JMÉNO, ZÁJMENO, ČÍSLOVKA, SLOVESO</w:t>
      </w:r>
    </w:p>
    <w:p w:rsidR="006D0311" w:rsidRDefault="006D0311" w:rsidP="006D0311">
      <w:pPr>
        <w:numPr>
          <w:ilvl w:val="0"/>
          <w:numId w:val="1"/>
        </w:numPr>
        <w:spacing w:after="120" w:line="240" w:lineRule="auto"/>
        <w:ind w:left="357" w:hanging="357"/>
      </w:pPr>
      <w:bookmarkStart w:id="0" w:name="_GoBack"/>
      <w:bookmarkEnd w:id="0"/>
    </w:p>
    <w:p w:rsidR="006D0311" w:rsidRDefault="006D0311" w:rsidP="006D0311"/>
    <w:p w:rsidR="006D0311" w:rsidRDefault="006D0311" w:rsidP="006D0311">
      <w:pPr>
        <w:pStyle w:val="Odstavecseseznamem"/>
        <w:numPr>
          <w:ilvl w:val="0"/>
          <w:numId w:val="2"/>
        </w:numPr>
        <w:spacing w:after="160" w:line="259" w:lineRule="auto"/>
      </w:pPr>
      <w:r>
        <w:t>a) Jmenná část přísudku může být vyjádřena následujícími slovními druhy: ______________</w:t>
      </w:r>
    </w:p>
    <w:p w:rsidR="006D0311" w:rsidRDefault="006D0311" w:rsidP="006D0311">
      <w:pPr>
        <w:spacing w:after="160" w:line="259" w:lineRule="auto"/>
      </w:pPr>
      <w:r>
        <w:t>Uveďte po dvou až třech příkladech u každého vyjádření.</w:t>
      </w:r>
    </w:p>
    <w:p w:rsidR="006D0311" w:rsidRDefault="006D0311" w:rsidP="006D0311">
      <w:pPr>
        <w:spacing w:after="160" w:line="259" w:lineRule="auto"/>
      </w:pPr>
    </w:p>
    <w:p w:rsidR="006D0311" w:rsidRPr="004E66A3" w:rsidRDefault="006D0311" w:rsidP="006D0311">
      <w:pPr>
        <w:rPr>
          <w:b/>
        </w:rPr>
      </w:pPr>
      <w:r w:rsidRPr="004E66A3">
        <w:rPr>
          <w:b/>
        </w:rPr>
        <w:t>b) V čem je rozdíl mezi přísudky v následujících větách:</w:t>
      </w:r>
    </w:p>
    <w:p w:rsidR="006D0311" w:rsidRDefault="006D0311" w:rsidP="006D0311">
      <w:r>
        <w:t>Vinice byly v loňském roce částečně poničené špačky. – PŘÍSUDEK JMENNÝ SE SPONOU</w:t>
      </w:r>
    </w:p>
    <w:p w:rsidR="006D0311" w:rsidRDefault="006D0311" w:rsidP="006D0311">
      <w:r>
        <w:t>Vinice byly v loňském roce částečně poničeny špačky. – PŘÍSUDEK SLOVESNÝ, VYJÁDŘENÝ SLOVESEM V TRPNÉM RODĚ</w:t>
      </w:r>
    </w:p>
    <w:p w:rsidR="006D0311" w:rsidRDefault="006D0311" w:rsidP="006D0311"/>
    <w:p w:rsidR="006D0311" w:rsidRPr="009A7057" w:rsidRDefault="006D0311" w:rsidP="006D0311">
      <w:pPr>
        <w:pStyle w:val="Odstavecseseznamem"/>
        <w:numPr>
          <w:ilvl w:val="0"/>
          <w:numId w:val="2"/>
        </w:numPr>
        <w:spacing w:line="240" w:lineRule="auto"/>
        <w:ind w:left="357" w:hanging="357"/>
        <w:rPr>
          <w:b/>
        </w:rPr>
      </w:pPr>
      <w:r w:rsidRPr="009A7057">
        <w:rPr>
          <w:b/>
        </w:rPr>
        <w:t>Podle mluvnických prací se přísudek s podmětem  shoduje vždy v OSOBĚ A ČÍSLE. Zamyslete se nad následujícím:</w:t>
      </w:r>
    </w:p>
    <w:p w:rsidR="006D0311" w:rsidRDefault="006D0311" w:rsidP="006D0311">
      <w:pPr>
        <w:spacing w:line="240" w:lineRule="auto"/>
        <w:rPr>
          <w:b/>
        </w:rPr>
      </w:pPr>
    </w:p>
    <w:p w:rsidR="006D0311" w:rsidRDefault="006D0311" w:rsidP="006D0311">
      <w:pPr>
        <w:spacing w:line="240" w:lineRule="auto"/>
        <w:rPr>
          <w:b/>
        </w:rPr>
      </w:pPr>
      <w:r w:rsidRPr="009A7057">
        <w:rPr>
          <w:b/>
        </w:rPr>
        <w:t>Mohou slovní druhy, kterými bývá vyjádřen podmět, vůbec vyjádřit slovesnou osobu? Pokud ano, které z nich?</w:t>
      </w:r>
    </w:p>
    <w:p w:rsidR="006D0311" w:rsidRPr="004A47E4" w:rsidRDefault="006D0311" w:rsidP="006D0311">
      <w:pPr>
        <w:spacing w:line="240" w:lineRule="auto"/>
      </w:pPr>
      <w:r w:rsidRPr="004A47E4">
        <w:t>OSOBU VYJADŘUJÍ POUZE OSOBNÍ ZÁJMENA.</w:t>
      </w:r>
    </w:p>
    <w:p w:rsidR="006D0311" w:rsidRDefault="006D0311" w:rsidP="006D0311">
      <w:pPr>
        <w:spacing w:line="240" w:lineRule="auto"/>
        <w:rPr>
          <w:b/>
        </w:rPr>
      </w:pPr>
    </w:p>
    <w:p w:rsidR="006D0311" w:rsidRDefault="006D0311" w:rsidP="006D0311">
      <w:pPr>
        <w:spacing w:line="240" w:lineRule="auto"/>
        <w:rPr>
          <w:b/>
        </w:rPr>
      </w:pPr>
      <w:r w:rsidRPr="009A7057">
        <w:rPr>
          <w:b/>
        </w:rPr>
        <w:t>Jak se pak uplatňuje shoda v</w:t>
      </w:r>
      <w:r>
        <w:rPr>
          <w:b/>
        </w:rPr>
        <w:t> </w:t>
      </w:r>
      <w:r w:rsidRPr="009A7057">
        <w:rPr>
          <w:b/>
        </w:rPr>
        <w:t>osobě</w:t>
      </w:r>
      <w:r>
        <w:rPr>
          <w:b/>
        </w:rPr>
        <w:t xml:space="preserve"> s podmětem vyjádřeným těmi slovními druhy, které osobu nevyjadřují</w:t>
      </w:r>
      <w:r w:rsidRPr="009A7057">
        <w:rPr>
          <w:b/>
        </w:rPr>
        <w:t>?</w:t>
      </w:r>
    </w:p>
    <w:p w:rsidR="006D0311" w:rsidRPr="009A7057" w:rsidRDefault="006D0311" w:rsidP="006D0311">
      <w:pPr>
        <w:spacing w:line="240" w:lineRule="auto"/>
      </w:pPr>
      <w:r w:rsidRPr="009A7057">
        <w:t>(Doporučení: připomeňte si, co víte o slovesných osobách a rozdílech mezi nimi z morfologie)</w:t>
      </w:r>
    </w:p>
    <w:p w:rsidR="006D0311" w:rsidRDefault="006D0311" w:rsidP="006D0311">
      <w:r>
        <w:t xml:space="preserve">Vyjdeme z rozdílu mezi 1. a 2. osobou na straně jedné a 3. osobou na straně druhé. 1. a 2. osoba vyjadřuje ty, kteří jsou zapojeni do komunikace (do dialogu). </w:t>
      </w:r>
    </w:p>
    <w:p w:rsidR="006D0311" w:rsidRDefault="006D0311" w:rsidP="006D0311">
      <w:r>
        <w:t>Ve větě mluvčího a adresáta vyjadřují pouze zájmena 1. a 2. osoby, ostatní, tj.  zájmena 3. osoby, podstatná jména, infinitiv, citoslovce označují skutečnosti nezapojené, proto má sloveso ve větách, kde jsou podmětem, tvar 3. osoby (TJ. STEJNÝ TVAR JAKO VE SHODĚ SE ZÁJMENEM 3. OSOBY).</w:t>
      </w:r>
    </w:p>
    <w:p w:rsidR="004D07BC" w:rsidRDefault="004D07BC"/>
    <w:sectPr w:rsidR="004D0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61BD"/>
    <w:multiLevelType w:val="hybridMultilevel"/>
    <w:tmpl w:val="A5263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4C786B"/>
    <w:multiLevelType w:val="hybridMultilevel"/>
    <w:tmpl w:val="EFC4F7D8"/>
    <w:lvl w:ilvl="0" w:tplc="A392844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030F82"/>
    <w:multiLevelType w:val="hybridMultilevel"/>
    <w:tmpl w:val="46B62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F65126"/>
    <w:multiLevelType w:val="hybridMultilevel"/>
    <w:tmpl w:val="D820F5E8"/>
    <w:lvl w:ilvl="0" w:tplc="628E4426">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EE"/>
    <w:rsid w:val="004D07BC"/>
    <w:rsid w:val="006D0311"/>
    <w:rsid w:val="00F32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0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2729</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2</cp:revision>
  <dcterms:created xsi:type="dcterms:W3CDTF">2021-03-16T16:26:00Z</dcterms:created>
  <dcterms:modified xsi:type="dcterms:W3CDTF">2021-03-16T16:27:00Z</dcterms:modified>
</cp:coreProperties>
</file>