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7" w:rsidRPr="000D3AAC" w:rsidRDefault="00107727">
      <w:pPr>
        <w:rPr>
          <w:b/>
          <w:sz w:val="28"/>
          <w:szCs w:val="28"/>
        </w:rPr>
      </w:pPr>
      <w:r w:rsidRPr="000D3AAC">
        <w:rPr>
          <w:b/>
          <w:sz w:val="28"/>
          <w:szCs w:val="28"/>
        </w:rPr>
        <w:t xml:space="preserve">Česká literatura 1890 – 1945: schéma četby (minimálně třicet děl) </w:t>
      </w:r>
    </w:p>
    <w:p w:rsidR="000D3AAC" w:rsidRPr="000D3AAC" w:rsidRDefault="000D3AAC">
      <w:pPr>
        <w:rPr>
          <w:sz w:val="28"/>
          <w:szCs w:val="28"/>
        </w:rPr>
      </w:pP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1890–1900: 2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Próza 1890–1900: 2 </w:t>
      </w:r>
      <w:bookmarkStart w:id="0" w:name="_GoBack"/>
      <w:bookmarkEnd w:id="0"/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Poezie 1900–1918: 3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Próza 1900–1918: 3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 Literární kritika 1890–1918: 1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Literatura o první světové válce: 2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1918–1938: 4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Próza 1918–1938: 4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Drama a divadlo 1900–1938: 2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Literární kritika 1918–1938: 1 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Memoárová literatura (primárně věnovaná meziválečnému období): 2</w:t>
      </w:r>
    </w:p>
    <w:p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Poezie 1939–1945: 2</w:t>
      </w:r>
    </w:p>
    <w:p w:rsidR="00017CCF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Próza 1939–1945: 2</w:t>
      </w:r>
    </w:p>
    <w:sectPr w:rsidR="00017CCF" w:rsidRPr="000D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27"/>
    <w:rsid w:val="000D3AAC"/>
    <w:rsid w:val="00107727"/>
    <w:rsid w:val="00C6687B"/>
    <w:rsid w:val="00D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434C-890D-4E43-B5DC-5D2AE106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</cp:revision>
  <dcterms:created xsi:type="dcterms:W3CDTF">2021-08-31T12:56:00Z</dcterms:created>
  <dcterms:modified xsi:type="dcterms:W3CDTF">2021-08-31T13:08:00Z</dcterms:modified>
</cp:coreProperties>
</file>