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52F2" w14:textId="2C1975CD" w:rsidR="00A70794" w:rsidRPr="00060CCD" w:rsidRDefault="00A70794" w:rsidP="00A70794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060CCD">
        <w:rPr>
          <w:rFonts w:ascii="Times New Roman" w:hAnsi="Times New Roman" w:cs="Times New Roman"/>
          <w:b/>
          <w:bCs/>
          <w:color w:val="000000" w:themeColor="text1"/>
        </w:rPr>
        <w:t>Fabula</w:t>
      </w:r>
      <w:r w:rsidR="00842237" w:rsidRPr="00060CCD">
        <w:rPr>
          <w:rFonts w:ascii="Times New Roman" w:hAnsi="Times New Roman" w:cs="Times New Roman"/>
          <w:b/>
          <w:bCs/>
          <w:color w:val="000000" w:themeColor="text1"/>
        </w:rPr>
        <w:t>e</w:t>
      </w:r>
      <w:proofErr w:type="spellEnd"/>
      <w:r w:rsidRPr="00060CC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842237" w:rsidRPr="00060CCD">
        <w:rPr>
          <w:rFonts w:ascii="Times New Roman" w:hAnsi="Times New Roman" w:cs="Times New Roman"/>
          <w:b/>
          <w:bCs/>
          <w:color w:val="000000" w:themeColor="text1"/>
        </w:rPr>
        <w:t>antiquae</w:t>
      </w:r>
      <w:proofErr w:type="spellEnd"/>
      <w:r w:rsidR="00842237" w:rsidRPr="00060CC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60CCD">
        <w:rPr>
          <w:rFonts w:ascii="Times New Roman" w:hAnsi="Times New Roman" w:cs="Times New Roman"/>
          <w:b/>
          <w:bCs/>
          <w:color w:val="000000" w:themeColor="text1"/>
        </w:rPr>
        <w:t>narra</w:t>
      </w:r>
      <w:r w:rsidR="00842237" w:rsidRPr="00060CCD">
        <w:rPr>
          <w:rFonts w:ascii="Times New Roman" w:hAnsi="Times New Roman" w:cs="Times New Roman"/>
          <w:b/>
          <w:bCs/>
          <w:color w:val="000000" w:themeColor="text1"/>
        </w:rPr>
        <w:t>n</w:t>
      </w:r>
      <w:r w:rsidRPr="00060CCD">
        <w:rPr>
          <w:rFonts w:ascii="Times New Roman" w:hAnsi="Times New Roman" w:cs="Times New Roman"/>
          <w:b/>
          <w:bCs/>
          <w:color w:val="000000" w:themeColor="text1"/>
        </w:rPr>
        <w:t>t</w:t>
      </w:r>
      <w:proofErr w:type="spellEnd"/>
    </w:p>
    <w:p w14:paraId="48C17AAB" w14:textId="418BD627" w:rsidR="00842237" w:rsidRDefault="00842237" w:rsidP="00842237"/>
    <w:p w14:paraId="2CA35C74" w14:textId="72930DED" w:rsidR="00842237" w:rsidRPr="00060CCD" w:rsidRDefault="00842237" w:rsidP="00060CCD">
      <w:pPr>
        <w:pStyle w:val="Nadpis2"/>
        <w:spacing w:before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CC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Pr="00060CCD">
        <w:rPr>
          <w:rFonts w:ascii="Times New Roman" w:hAnsi="Times New Roman" w:cs="Times New Roman"/>
          <w:b/>
          <w:bCs/>
          <w:sz w:val="24"/>
          <w:szCs w:val="24"/>
        </w:rPr>
        <w:t>Romulo</w:t>
      </w:r>
      <w:proofErr w:type="spellEnd"/>
      <w:r w:rsidRPr="00060CCD">
        <w:rPr>
          <w:rFonts w:ascii="Times New Roman" w:hAnsi="Times New Roman" w:cs="Times New Roman"/>
          <w:b/>
          <w:bCs/>
          <w:sz w:val="24"/>
          <w:szCs w:val="24"/>
        </w:rPr>
        <w:t xml:space="preserve"> et Remo</w:t>
      </w:r>
    </w:p>
    <w:p w14:paraId="614AF96F" w14:textId="77777777" w:rsidR="00A70794" w:rsidRPr="00060CCD" w:rsidRDefault="00A70794" w:rsidP="00060CCD">
      <w:pPr>
        <w:spacing w:line="259" w:lineRule="auto"/>
      </w:pPr>
    </w:p>
    <w:p w14:paraId="13F1855A" w14:textId="77777777" w:rsidR="00A70794" w:rsidRPr="00060CCD" w:rsidRDefault="00A70794" w:rsidP="00060CCD">
      <w:pPr>
        <w:spacing w:line="259" w:lineRule="auto"/>
        <w:jc w:val="both"/>
      </w:pPr>
      <w:proofErr w:type="spellStart"/>
      <w:r w:rsidRPr="00060CCD">
        <w:t>Rhea</w:t>
      </w:r>
      <w:proofErr w:type="spellEnd"/>
      <w:r w:rsidRPr="00060CCD">
        <w:t xml:space="preserve"> Silvia </w:t>
      </w:r>
      <w:proofErr w:type="spellStart"/>
      <w:r w:rsidRPr="00060CCD">
        <w:t>filios</w:t>
      </w:r>
      <w:proofErr w:type="spellEnd"/>
      <w:r w:rsidRPr="00060CCD">
        <w:t xml:space="preserve"> </w:t>
      </w:r>
      <w:proofErr w:type="spellStart"/>
      <w:r w:rsidRPr="00060CCD">
        <w:t>Romulum</w:t>
      </w:r>
      <w:proofErr w:type="spellEnd"/>
      <w:r w:rsidRPr="00060CCD">
        <w:t xml:space="preserve"> et </w:t>
      </w:r>
      <w:proofErr w:type="spellStart"/>
      <w:r w:rsidRPr="00060CCD">
        <w:t>Remum</w:t>
      </w:r>
      <w:proofErr w:type="spellEnd"/>
      <w:r w:rsidRPr="00060CCD">
        <w:t xml:space="preserve"> </w:t>
      </w:r>
      <w:proofErr w:type="spellStart"/>
      <w:r w:rsidRPr="00060CCD">
        <w:t>habet</w:t>
      </w:r>
      <w:proofErr w:type="spellEnd"/>
      <w:r w:rsidRPr="00060CCD">
        <w:t xml:space="preserve">. </w:t>
      </w:r>
      <w:proofErr w:type="spellStart"/>
      <w:r w:rsidRPr="00060CCD">
        <w:t>Avunculus</w:t>
      </w:r>
      <w:proofErr w:type="spellEnd"/>
      <w:r w:rsidRPr="00060CCD">
        <w:t xml:space="preserve"> </w:t>
      </w:r>
      <w:proofErr w:type="spellStart"/>
      <w:r w:rsidRPr="00060CCD">
        <w:t>pueros</w:t>
      </w:r>
      <w:proofErr w:type="spellEnd"/>
      <w:r w:rsidRPr="00060CCD">
        <w:t xml:space="preserve"> </w:t>
      </w:r>
      <w:proofErr w:type="spellStart"/>
      <w:r w:rsidRPr="00060CCD">
        <w:t>timet</w:t>
      </w:r>
      <w:proofErr w:type="spellEnd"/>
      <w:r w:rsidRPr="00060CCD">
        <w:t xml:space="preserve">. </w:t>
      </w:r>
      <w:proofErr w:type="spellStart"/>
      <w:r w:rsidRPr="00060CCD">
        <w:t>Idcirco</w:t>
      </w:r>
      <w:proofErr w:type="spellEnd"/>
      <w:r w:rsidRPr="00060CCD">
        <w:t xml:space="preserve"> </w:t>
      </w:r>
      <w:proofErr w:type="spellStart"/>
      <w:r w:rsidRPr="00060CCD">
        <w:t>pueros</w:t>
      </w:r>
      <w:proofErr w:type="spellEnd"/>
      <w:r w:rsidRPr="00060CCD">
        <w:t xml:space="preserve"> </w:t>
      </w:r>
      <w:proofErr w:type="spellStart"/>
      <w:r w:rsidRPr="00060CCD">
        <w:t>necare</w:t>
      </w:r>
      <w:proofErr w:type="spellEnd"/>
      <w:r w:rsidRPr="00060CCD">
        <w:t xml:space="preserve"> desiderat. </w:t>
      </w:r>
      <w:proofErr w:type="spellStart"/>
      <w:r w:rsidRPr="00060CCD">
        <w:t>Minister</w:t>
      </w:r>
      <w:proofErr w:type="spellEnd"/>
      <w:r w:rsidRPr="00060CCD">
        <w:t xml:space="preserve"> </w:t>
      </w:r>
      <w:proofErr w:type="spellStart"/>
      <w:r w:rsidRPr="00060CCD">
        <w:t>pueros</w:t>
      </w:r>
      <w:proofErr w:type="spellEnd"/>
      <w:r w:rsidRPr="00060CCD">
        <w:t xml:space="preserve"> in </w:t>
      </w:r>
      <w:proofErr w:type="spellStart"/>
      <w:r w:rsidRPr="00060CCD">
        <w:t>silvam</w:t>
      </w:r>
      <w:proofErr w:type="spellEnd"/>
      <w:r w:rsidRPr="00060CCD">
        <w:t xml:space="preserve"> </w:t>
      </w:r>
      <w:proofErr w:type="spellStart"/>
      <w:r w:rsidRPr="00060CCD">
        <w:t>portat</w:t>
      </w:r>
      <w:proofErr w:type="spellEnd"/>
      <w:r w:rsidRPr="00060CCD">
        <w:t xml:space="preserve">. Lupa </w:t>
      </w:r>
      <w:proofErr w:type="spellStart"/>
      <w:r w:rsidRPr="00060CCD">
        <w:t>pueros</w:t>
      </w:r>
      <w:proofErr w:type="spellEnd"/>
      <w:r w:rsidRPr="00060CCD">
        <w:t xml:space="preserve"> </w:t>
      </w:r>
      <w:proofErr w:type="spellStart"/>
      <w:r w:rsidRPr="00060CCD">
        <w:t>alit</w:t>
      </w:r>
      <w:proofErr w:type="spellEnd"/>
      <w:r w:rsidRPr="00060CCD">
        <w:t xml:space="preserve">. </w:t>
      </w:r>
      <w:proofErr w:type="spellStart"/>
      <w:r w:rsidRPr="00060CCD">
        <w:t>Postea</w:t>
      </w:r>
      <w:proofErr w:type="spellEnd"/>
      <w:r w:rsidRPr="00060CCD">
        <w:t xml:space="preserve"> </w:t>
      </w:r>
      <w:proofErr w:type="spellStart"/>
      <w:r w:rsidRPr="00060CCD">
        <w:t>Faustulus</w:t>
      </w:r>
      <w:proofErr w:type="spellEnd"/>
      <w:r w:rsidRPr="00060CCD">
        <w:t xml:space="preserve"> </w:t>
      </w:r>
      <w:proofErr w:type="spellStart"/>
      <w:r w:rsidRPr="00060CCD">
        <w:t>pueros</w:t>
      </w:r>
      <w:proofErr w:type="spellEnd"/>
      <w:r w:rsidRPr="00060CCD">
        <w:t xml:space="preserve"> </w:t>
      </w:r>
      <w:proofErr w:type="spellStart"/>
      <w:r w:rsidRPr="00060CCD">
        <w:t>educat</w:t>
      </w:r>
      <w:proofErr w:type="spellEnd"/>
      <w:r w:rsidRPr="00060CCD">
        <w:t xml:space="preserve">. </w:t>
      </w:r>
      <w:proofErr w:type="spellStart"/>
      <w:r w:rsidRPr="00060CCD">
        <w:t>Pueri</w:t>
      </w:r>
      <w:proofErr w:type="spellEnd"/>
      <w:r w:rsidRPr="00060CCD">
        <w:t xml:space="preserve"> </w:t>
      </w:r>
      <w:proofErr w:type="spellStart"/>
      <w:r w:rsidRPr="00060CCD">
        <w:t>crescunt</w:t>
      </w:r>
      <w:proofErr w:type="spellEnd"/>
      <w:r w:rsidRPr="00060CCD">
        <w:t xml:space="preserve">. </w:t>
      </w:r>
      <w:proofErr w:type="spellStart"/>
      <w:r w:rsidRPr="00060CCD">
        <w:t>Denique</w:t>
      </w:r>
      <w:proofErr w:type="spellEnd"/>
      <w:r w:rsidRPr="00060CCD">
        <w:t xml:space="preserve"> </w:t>
      </w:r>
      <w:proofErr w:type="spellStart"/>
      <w:r w:rsidRPr="00060CCD">
        <w:t>avum</w:t>
      </w:r>
      <w:proofErr w:type="spellEnd"/>
      <w:r w:rsidRPr="00060CCD">
        <w:t xml:space="preserve"> </w:t>
      </w:r>
      <w:proofErr w:type="spellStart"/>
      <w:r w:rsidRPr="00060CCD">
        <w:t>liberant</w:t>
      </w:r>
      <w:proofErr w:type="spellEnd"/>
      <w:r w:rsidRPr="00060CCD">
        <w:t xml:space="preserve">, </w:t>
      </w:r>
      <w:proofErr w:type="spellStart"/>
      <w:r w:rsidRPr="00060CCD">
        <w:t>avunculum</w:t>
      </w:r>
      <w:proofErr w:type="spellEnd"/>
      <w:r w:rsidRPr="00060CCD">
        <w:t xml:space="preserve"> </w:t>
      </w:r>
      <w:proofErr w:type="spellStart"/>
      <w:r w:rsidRPr="00060CCD">
        <w:t>necant</w:t>
      </w:r>
      <w:proofErr w:type="spellEnd"/>
      <w:r w:rsidRPr="00060CCD">
        <w:t xml:space="preserve">. Romulus </w:t>
      </w:r>
      <w:proofErr w:type="spellStart"/>
      <w:r w:rsidRPr="00060CCD">
        <w:t>Romam</w:t>
      </w:r>
      <w:proofErr w:type="spellEnd"/>
      <w:r w:rsidRPr="00060CCD">
        <w:t xml:space="preserve"> </w:t>
      </w:r>
      <w:proofErr w:type="spellStart"/>
      <w:r w:rsidRPr="00060CCD">
        <w:t>condit</w:t>
      </w:r>
      <w:proofErr w:type="spellEnd"/>
      <w:r w:rsidRPr="00060CCD">
        <w:t xml:space="preserve">. </w:t>
      </w:r>
    </w:p>
    <w:p w14:paraId="0B9A2EDD" w14:textId="77777777" w:rsidR="00A70794" w:rsidRPr="00060CCD" w:rsidRDefault="00A70794" w:rsidP="00060CCD">
      <w:pPr>
        <w:spacing w:line="259" w:lineRule="auto"/>
      </w:pPr>
    </w:p>
    <w:p w14:paraId="2E5FBC37" w14:textId="3A56831E" w:rsidR="00435DC7" w:rsidRPr="00060CCD" w:rsidRDefault="007D63FE" w:rsidP="00060CCD">
      <w:pPr>
        <w:spacing w:line="259" w:lineRule="auto"/>
        <w:rPr>
          <w:b/>
          <w:bCs/>
          <w:sz w:val="22"/>
          <w:szCs w:val="22"/>
        </w:rPr>
      </w:pPr>
      <w:bookmarkStart w:id="0" w:name="_Hlk56009798"/>
      <w:r w:rsidRPr="00060CCD">
        <w:rPr>
          <w:b/>
          <w:bCs/>
          <w:sz w:val="22"/>
          <w:szCs w:val="22"/>
        </w:rPr>
        <w:t>Verba</w:t>
      </w:r>
      <w:r w:rsidR="00A70794" w:rsidRPr="00060CCD">
        <w:rPr>
          <w:b/>
          <w:bCs/>
          <w:sz w:val="22"/>
          <w:szCs w:val="22"/>
        </w:rPr>
        <w:t xml:space="preserve"> </w:t>
      </w:r>
    </w:p>
    <w:p w14:paraId="53961AE4" w14:textId="77777777" w:rsidR="00A70794" w:rsidRPr="00060CCD" w:rsidRDefault="00A70794" w:rsidP="00060CCD">
      <w:pPr>
        <w:spacing w:line="259" w:lineRule="auto"/>
        <w:rPr>
          <w:sz w:val="22"/>
          <w:szCs w:val="22"/>
        </w:rPr>
      </w:pPr>
    </w:p>
    <w:p w14:paraId="2C504EC4" w14:textId="21AFB1E6" w:rsidR="00A70794" w:rsidRPr="00060CCD" w:rsidRDefault="00A70794" w:rsidP="00060CCD">
      <w:pPr>
        <w:spacing w:line="259" w:lineRule="auto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filius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Pr="00060CCD">
        <w:rPr>
          <w:sz w:val="22"/>
          <w:szCs w:val="22"/>
        </w:rPr>
        <w:t>ii</w:t>
      </w:r>
      <w:proofErr w:type="spellEnd"/>
      <w:r w:rsidRPr="00060CCD">
        <w:rPr>
          <w:sz w:val="22"/>
          <w:szCs w:val="22"/>
        </w:rPr>
        <w:t>, m. – syn</w:t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  <w:t xml:space="preserve">lupa, </w:t>
      </w:r>
      <w:proofErr w:type="spellStart"/>
      <w:r w:rsidRPr="00060CCD">
        <w:rPr>
          <w:sz w:val="22"/>
          <w:szCs w:val="22"/>
        </w:rPr>
        <w:t>ae</w:t>
      </w:r>
      <w:proofErr w:type="spellEnd"/>
      <w:r w:rsidRPr="00060CCD">
        <w:rPr>
          <w:sz w:val="22"/>
          <w:szCs w:val="22"/>
        </w:rPr>
        <w:t>, f. – vlčice</w:t>
      </w:r>
    </w:p>
    <w:p w14:paraId="0FD80A51" w14:textId="40A7DF47" w:rsidR="00A70794" w:rsidRPr="00060CCD" w:rsidRDefault="00A70794" w:rsidP="00060CCD">
      <w:pPr>
        <w:spacing w:line="259" w:lineRule="auto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avunculus</w:t>
      </w:r>
      <w:proofErr w:type="spellEnd"/>
      <w:r w:rsidRPr="00060CCD">
        <w:rPr>
          <w:sz w:val="22"/>
          <w:szCs w:val="22"/>
        </w:rPr>
        <w:t>, i, m. – strýc</w:t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="00060CCD">
        <w:rPr>
          <w:sz w:val="22"/>
          <w:szCs w:val="22"/>
        </w:rPr>
        <w:tab/>
      </w:r>
      <w:r w:rsidRPr="00060CCD">
        <w:rPr>
          <w:sz w:val="22"/>
          <w:szCs w:val="22"/>
        </w:rPr>
        <w:t xml:space="preserve">alo, </w:t>
      </w:r>
      <w:proofErr w:type="spellStart"/>
      <w:r w:rsidR="00842237" w:rsidRPr="00060CCD">
        <w:rPr>
          <w:sz w:val="22"/>
          <w:szCs w:val="22"/>
        </w:rPr>
        <w:t>al</w:t>
      </w:r>
      <w:r w:rsidRPr="00060CCD">
        <w:rPr>
          <w:sz w:val="22"/>
          <w:szCs w:val="22"/>
        </w:rPr>
        <w:t>is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="00842237" w:rsidRPr="00060CCD">
        <w:rPr>
          <w:sz w:val="22"/>
          <w:szCs w:val="22"/>
        </w:rPr>
        <w:t>al</w:t>
      </w:r>
      <w:r w:rsidRPr="00060CCD">
        <w:rPr>
          <w:sz w:val="22"/>
          <w:szCs w:val="22"/>
        </w:rPr>
        <w:t>ere</w:t>
      </w:r>
      <w:proofErr w:type="spellEnd"/>
      <w:r w:rsidRPr="00060CCD">
        <w:rPr>
          <w:sz w:val="22"/>
          <w:szCs w:val="22"/>
        </w:rPr>
        <w:t xml:space="preserve"> – živit</w:t>
      </w:r>
    </w:p>
    <w:p w14:paraId="007E2B85" w14:textId="01A0B3B1" w:rsidR="00A70794" w:rsidRPr="00060CCD" w:rsidRDefault="00A70794" w:rsidP="00060CCD">
      <w:pPr>
        <w:spacing w:line="259" w:lineRule="auto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timeo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="00842237" w:rsidRPr="00060CCD">
        <w:rPr>
          <w:sz w:val="22"/>
          <w:szCs w:val="22"/>
        </w:rPr>
        <w:t>tim</w:t>
      </w:r>
      <w:r w:rsidRPr="00060CCD">
        <w:rPr>
          <w:sz w:val="22"/>
          <w:szCs w:val="22"/>
        </w:rPr>
        <w:t>es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="00842237" w:rsidRPr="00060CCD">
        <w:rPr>
          <w:sz w:val="22"/>
          <w:szCs w:val="22"/>
        </w:rPr>
        <w:t>tim</w:t>
      </w:r>
      <w:r w:rsidRPr="00060CCD">
        <w:rPr>
          <w:sz w:val="22"/>
          <w:szCs w:val="22"/>
        </w:rPr>
        <w:t>ere</w:t>
      </w:r>
      <w:proofErr w:type="spellEnd"/>
      <w:r w:rsidRPr="00060CCD">
        <w:rPr>
          <w:sz w:val="22"/>
          <w:szCs w:val="22"/>
        </w:rPr>
        <w:t xml:space="preserve"> – bát se</w:t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proofErr w:type="spellStart"/>
      <w:r w:rsidRPr="00060CCD">
        <w:rPr>
          <w:sz w:val="22"/>
          <w:szCs w:val="22"/>
        </w:rPr>
        <w:t>educo</w:t>
      </w:r>
      <w:proofErr w:type="spellEnd"/>
      <w:r w:rsidRPr="00060CCD">
        <w:rPr>
          <w:sz w:val="22"/>
          <w:szCs w:val="22"/>
        </w:rPr>
        <w:t>, as, are – vychovávat</w:t>
      </w:r>
    </w:p>
    <w:p w14:paraId="6F597863" w14:textId="7B63222C" w:rsidR="00A70794" w:rsidRPr="00060CCD" w:rsidRDefault="00A70794" w:rsidP="00060CCD">
      <w:pPr>
        <w:spacing w:line="259" w:lineRule="auto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desidero</w:t>
      </w:r>
      <w:proofErr w:type="spellEnd"/>
      <w:r w:rsidRPr="00060CCD">
        <w:rPr>
          <w:sz w:val="22"/>
          <w:szCs w:val="22"/>
        </w:rPr>
        <w:t>, as, are – toužit (+ infinitiv)</w:t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proofErr w:type="spellStart"/>
      <w:r w:rsidRPr="00060CCD">
        <w:rPr>
          <w:sz w:val="22"/>
          <w:szCs w:val="22"/>
        </w:rPr>
        <w:t>postea</w:t>
      </w:r>
      <w:proofErr w:type="spellEnd"/>
      <w:r w:rsidRPr="00060CCD">
        <w:rPr>
          <w:sz w:val="22"/>
          <w:szCs w:val="22"/>
        </w:rPr>
        <w:t xml:space="preserve"> – později</w:t>
      </w:r>
    </w:p>
    <w:p w14:paraId="2F0C3243" w14:textId="0D1A2FD9" w:rsidR="00A70794" w:rsidRPr="00060CCD" w:rsidRDefault="00A70794" w:rsidP="00060CCD">
      <w:pPr>
        <w:spacing w:line="259" w:lineRule="auto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neco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="00842237" w:rsidRPr="00060CCD">
        <w:rPr>
          <w:sz w:val="22"/>
          <w:szCs w:val="22"/>
        </w:rPr>
        <w:t>nec</w:t>
      </w:r>
      <w:r w:rsidRPr="00060CCD">
        <w:rPr>
          <w:sz w:val="22"/>
          <w:szCs w:val="22"/>
        </w:rPr>
        <w:t>as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="00842237" w:rsidRPr="00060CCD">
        <w:rPr>
          <w:sz w:val="22"/>
          <w:szCs w:val="22"/>
        </w:rPr>
        <w:t>nec</w:t>
      </w:r>
      <w:r w:rsidRPr="00060CCD">
        <w:rPr>
          <w:sz w:val="22"/>
          <w:szCs w:val="22"/>
        </w:rPr>
        <w:t>are</w:t>
      </w:r>
      <w:proofErr w:type="spellEnd"/>
      <w:r w:rsidRPr="00060CCD">
        <w:rPr>
          <w:sz w:val="22"/>
          <w:szCs w:val="22"/>
        </w:rPr>
        <w:t xml:space="preserve"> – zabít</w:t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proofErr w:type="spellStart"/>
      <w:r w:rsidRPr="00060CCD">
        <w:rPr>
          <w:sz w:val="22"/>
          <w:szCs w:val="22"/>
        </w:rPr>
        <w:t>cresco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Pr="00060CCD">
        <w:rPr>
          <w:sz w:val="22"/>
          <w:szCs w:val="22"/>
        </w:rPr>
        <w:t>is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Pr="00060CCD">
        <w:rPr>
          <w:sz w:val="22"/>
          <w:szCs w:val="22"/>
        </w:rPr>
        <w:t>ere</w:t>
      </w:r>
      <w:proofErr w:type="spellEnd"/>
      <w:r w:rsidRPr="00060CCD">
        <w:rPr>
          <w:sz w:val="22"/>
          <w:szCs w:val="22"/>
        </w:rPr>
        <w:t xml:space="preserve"> – růst</w:t>
      </w:r>
    </w:p>
    <w:p w14:paraId="2F45E65A" w14:textId="2E992A40" w:rsidR="00A70794" w:rsidRPr="00060CCD" w:rsidRDefault="00A70794" w:rsidP="00060CCD">
      <w:pPr>
        <w:spacing w:line="259" w:lineRule="auto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minister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="00842237" w:rsidRPr="00060CCD">
        <w:rPr>
          <w:sz w:val="22"/>
          <w:szCs w:val="22"/>
        </w:rPr>
        <w:t>minist</w:t>
      </w:r>
      <w:r w:rsidRPr="00060CCD">
        <w:rPr>
          <w:sz w:val="22"/>
          <w:szCs w:val="22"/>
        </w:rPr>
        <w:t>ri</w:t>
      </w:r>
      <w:proofErr w:type="spellEnd"/>
      <w:r w:rsidRPr="00060CCD">
        <w:rPr>
          <w:sz w:val="22"/>
          <w:szCs w:val="22"/>
        </w:rPr>
        <w:t>, m. – sluha</w:t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proofErr w:type="spellStart"/>
      <w:r w:rsidRPr="00060CCD">
        <w:rPr>
          <w:sz w:val="22"/>
          <w:szCs w:val="22"/>
        </w:rPr>
        <w:t>denique</w:t>
      </w:r>
      <w:proofErr w:type="spellEnd"/>
      <w:r w:rsidRPr="00060CCD">
        <w:rPr>
          <w:sz w:val="22"/>
          <w:szCs w:val="22"/>
        </w:rPr>
        <w:t xml:space="preserve"> – nakonec, konečně </w:t>
      </w:r>
    </w:p>
    <w:p w14:paraId="299A6641" w14:textId="1F7D1374" w:rsidR="00A70794" w:rsidRPr="00060CCD" w:rsidRDefault="00A70794" w:rsidP="00060CCD">
      <w:pPr>
        <w:spacing w:line="259" w:lineRule="auto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silva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Pr="00060CCD">
        <w:rPr>
          <w:sz w:val="22"/>
          <w:szCs w:val="22"/>
        </w:rPr>
        <w:t>ae</w:t>
      </w:r>
      <w:proofErr w:type="spellEnd"/>
      <w:r w:rsidRPr="00060CCD">
        <w:rPr>
          <w:sz w:val="22"/>
          <w:szCs w:val="22"/>
        </w:rPr>
        <w:t>, f. – les</w:t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  <w:t>libero, as, are – osvobodit</w:t>
      </w:r>
    </w:p>
    <w:p w14:paraId="0C14FE60" w14:textId="08FFD3DC" w:rsidR="00842237" w:rsidRPr="00060CCD" w:rsidRDefault="00A70794" w:rsidP="00060CCD">
      <w:pPr>
        <w:spacing w:line="259" w:lineRule="auto"/>
        <w:rPr>
          <w:sz w:val="22"/>
          <w:szCs w:val="22"/>
        </w:rPr>
      </w:pPr>
      <w:r w:rsidRPr="00060CCD">
        <w:rPr>
          <w:sz w:val="22"/>
          <w:szCs w:val="22"/>
        </w:rPr>
        <w:t>porto, as, are – zavést, zanést</w:t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r w:rsidRPr="00060CCD">
        <w:rPr>
          <w:sz w:val="22"/>
          <w:szCs w:val="22"/>
        </w:rPr>
        <w:tab/>
      </w:r>
      <w:proofErr w:type="spellStart"/>
      <w:r w:rsidRPr="00060CCD">
        <w:rPr>
          <w:sz w:val="22"/>
          <w:szCs w:val="22"/>
        </w:rPr>
        <w:t>condo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="00842237" w:rsidRPr="00060CCD">
        <w:rPr>
          <w:sz w:val="22"/>
          <w:szCs w:val="22"/>
        </w:rPr>
        <w:t>cond</w:t>
      </w:r>
      <w:r w:rsidRPr="00060CCD">
        <w:rPr>
          <w:sz w:val="22"/>
          <w:szCs w:val="22"/>
        </w:rPr>
        <w:t>is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="00842237" w:rsidRPr="00060CCD">
        <w:rPr>
          <w:sz w:val="22"/>
          <w:szCs w:val="22"/>
        </w:rPr>
        <w:t>cond</w:t>
      </w:r>
      <w:r w:rsidRPr="00060CCD">
        <w:rPr>
          <w:sz w:val="22"/>
          <w:szCs w:val="22"/>
        </w:rPr>
        <w:t>ere</w:t>
      </w:r>
      <w:proofErr w:type="spellEnd"/>
      <w:r w:rsidRPr="00060CCD">
        <w:rPr>
          <w:sz w:val="22"/>
          <w:szCs w:val="22"/>
        </w:rPr>
        <w:t xml:space="preserve"> – založit</w:t>
      </w:r>
    </w:p>
    <w:p w14:paraId="596F45BC" w14:textId="00A5CE4B" w:rsidR="00842237" w:rsidRPr="00060CCD" w:rsidRDefault="00842237" w:rsidP="00060CCD">
      <w:pPr>
        <w:spacing w:line="259" w:lineRule="auto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avus</w:t>
      </w:r>
      <w:proofErr w:type="spellEnd"/>
      <w:r w:rsidRPr="00060CCD">
        <w:rPr>
          <w:sz w:val="22"/>
          <w:szCs w:val="22"/>
        </w:rPr>
        <w:t xml:space="preserve">, </w:t>
      </w:r>
      <w:proofErr w:type="spellStart"/>
      <w:r w:rsidRPr="00060CCD">
        <w:rPr>
          <w:sz w:val="22"/>
          <w:szCs w:val="22"/>
        </w:rPr>
        <w:t>avi</w:t>
      </w:r>
      <w:proofErr w:type="spellEnd"/>
      <w:r w:rsidRPr="00060CCD">
        <w:rPr>
          <w:sz w:val="22"/>
          <w:szCs w:val="22"/>
        </w:rPr>
        <w:t>, m. - dědeček</w:t>
      </w:r>
    </w:p>
    <w:p w14:paraId="75DDC9E2" w14:textId="5896DEA8" w:rsidR="00842237" w:rsidRPr="00060CCD" w:rsidRDefault="00842237" w:rsidP="00060CCD">
      <w:pPr>
        <w:spacing w:line="259" w:lineRule="auto"/>
        <w:rPr>
          <w:sz w:val="22"/>
          <w:szCs w:val="22"/>
        </w:rPr>
      </w:pPr>
    </w:p>
    <w:p w14:paraId="2EE8C11A" w14:textId="3244D5C4" w:rsidR="00842237" w:rsidRPr="00060CCD" w:rsidRDefault="00842237" w:rsidP="00060CCD">
      <w:pPr>
        <w:spacing w:line="259" w:lineRule="auto"/>
        <w:rPr>
          <w:sz w:val="22"/>
          <w:szCs w:val="22"/>
        </w:rPr>
      </w:pPr>
    </w:p>
    <w:p w14:paraId="02FD4ECD" w14:textId="77777777" w:rsidR="00060CCD" w:rsidRDefault="00060CCD" w:rsidP="00060CCD">
      <w:pPr>
        <w:pStyle w:val="Nadpis2"/>
        <w:spacing w:before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06AB3" w14:textId="032D7C11" w:rsidR="00842237" w:rsidRPr="00060CCD" w:rsidRDefault="00842237" w:rsidP="00060CCD">
      <w:pPr>
        <w:pStyle w:val="Nadpis2"/>
        <w:spacing w:before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CCD">
        <w:rPr>
          <w:rFonts w:ascii="Times New Roman" w:hAnsi="Times New Roman" w:cs="Times New Roman"/>
          <w:b/>
          <w:bCs/>
          <w:sz w:val="24"/>
          <w:szCs w:val="24"/>
        </w:rPr>
        <w:t xml:space="preserve">De Pygmalione </w:t>
      </w:r>
    </w:p>
    <w:p w14:paraId="7ADA4F62" w14:textId="77777777" w:rsidR="00842237" w:rsidRPr="00060CCD" w:rsidRDefault="00842237" w:rsidP="00060CCD">
      <w:pPr>
        <w:spacing w:line="259" w:lineRule="auto"/>
      </w:pPr>
    </w:p>
    <w:p w14:paraId="24245445" w14:textId="0E28AC8E" w:rsidR="00842237" w:rsidRPr="00060CCD" w:rsidRDefault="00842237" w:rsidP="00060CCD">
      <w:pPr>
        <w:spacing w:line="259" w:lineRule="auto"/>
        <w:jc w:val="both"/>
        <w:rPr>
          <w:noProof/>
        </w:rPr>
      </w:pPr>
      <w:r w:rsidRPr="00060CCD">
        <w:rPr>
          <w:noProof/>
        </w:rPr>
        <w:t xml:space="preserve">Aliquando Pygmalion decernebat: „Feminas malas et stultas non amo. Cum femina mala in matrimonio vivere non desidero.“ Idcirco </w:t>
      </w:r>
      <w:r w:rsidRPr="00060CCD">
        <w:rPr>
          <w:noProof/>
        </w:rPr>
        <w:t xml:space="preserve">Pygmalion </w:t>
      </w:r>
      <w:r w:rsidRPr="00060CCD">
        <w:rPr>
          <w:noProof/>
        </w:rPr>
        <w:t>formam eburneam puellae pulchrae creat. Statuam ornamentis aureis ornat. Deinde puellam eburneam amabat et miraculum cupiebat…</w:t>
      </w:r>
      <w:r w:rsidRPr="00060CCD">
        <w:rPr>
          <w:noProof/>
        </w:rPr>
        <w:t>Pygmalion i</w:t>
      </w:r>
      <w:r w:rsidRPr="00060CCD">
        <w:rPr>
          <w:noProof/>
        </w:rPr>
        <w:t xml:space="preserve">n templo Veneri, deae puchrae, multa immolat et ad deam Venerem rogat … </w:t>
      </w:r>
    </w:p>
    <w:p w14:paraId="20C1A3AD" w14:textId="77777777" w:rsidR="00842237" w:rsidRPr="00060CCD" w:rsidRDefault="00842237" w:rsidP="00060CCD">
      <w:pPr>
        <w:spacing w:line="259" w:lineRule="auto"/>
        <w:jc w:val="both"/>
        <w:rPr>
          <w:b/>
          <w:bCs/>
          <w:noProof/>
          <w:sz w:val="22"/>
          <w:szCs w:val="22"/>
        </w:rPr>
      </w:pPr>
    </w:p>
    <w:p w14:paraId="3FB0D7B3" w14:textId="08928F66" w:rsidR="00842237" w:rsidRPr="00060CCD" w:rsidRDefault="00060CCD" w:rsidP="00060CCD">
      <w:pPr>
        <w:spacing w:line="259" w:lineRule="auto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Verba</w:t>
      </w:r>
    </w:p>
    <w:p w14:paraId="7E4FBC2D" w14:textId="77777777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statua, ae, f. – socha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  <w:t>formare – tesat, tvořit</w:t>
      </w:r>
    </w:p>
    <w:p w14:paraId="53F2F57F" w14:textId="77777777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aliquando – jednou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  <w:t>decerno, is, ere – rozmýšlet, uvažovat</w:t>
      </w:r>
    </w:p>
    <w:p w14:paraId="2AC0D963" w14:textId="6B88F63A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stultus, a, um – hloupý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="00060CCD">
        <w:rPr>
          <w:noProof/>
          <w:sz w:val="22"/>
          <w:szCs w:val="22"/>
        </w:rPr>
        <w:t xml:space="preserve">             </w:t>
      </w:r>
      <w:r w:rsidRPr="00060CCD">
        <w:rPr>
          <w:noProof/>
          <w:sz w:val="22"/>
          <w:szCs w:val="22"/>
        </w:rPr>
        <w:t>malus, a, um – zlý</w:t>
      </w:r>
    </w:p>
    <w:p w14:paraId="4360730C" w14:textId="77777777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 xml:space="preserve">matrimonium,ii, n. – manželství                  </w:t>
      </w:r>
      <w:r w:rsidRPr="00060CCD">
        <w:rPr>
          <w:noProof/>
          <w:sz w:val="22"/>
          <w:szCs w:val="22"/>
        </w:rPr>
        <w:tab/>
        <w:t>vivo, is, ere – žít</w:t>
      </w:r>
    </w:p>
    <w:p w14:paraId="662A6328" w14:textId="77777777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desidero, as, are – toužit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  <w:t>eburneus, a, um – ze slonoviny</w:t>
      </w:r>
    </w:p>
    <w:p w14:paraId="032AE088" w14:textId="4B6E9530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 xml:space="preserve">creo, </w:t>
      </w:r>
      <w:r w:rsidRPr="00060CCD">
        <w:rPr>
          <w:noProof/>
          <w:sz w:val="22"/>
          <w:szCs w:val="22"/>
        </w:rPr>
        <w:t>cre</w:t>
      </w:r>
      <w:r w:rsidRPr="00060CCD">
        <w:rPr>
          <w:noProof/>
          <w:sz w:val="22"/>
          <w:szCs w:val="22"/>
        </w:rPr>
        <w:t xml:space="preserve">as, </w:t>
      </w:r>
      <w:r w:rsidRPr="00060CCD">
        <w:rPr>
          <w:noProof/>
          <w:sz w:val="22"/>
          <w:szCs w:val="22"/>
        </w:rPr>
        <w:t>cre</w:t>
      </w:r>
      <w:r w:rsidRPr="00060CCD">
        <w:rPr>
          <w:noProof/>
          <w:sz w:val="22"/>
          <w:szCs w:val="22"/>
        </w:rPr>
        <w:t>are – vytvořit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  <w:t>orno, as, are - ozdobit</w:t>
      </w:r>
    </w:p>
    <w:p w14:paraId="1EF48392" w14:textId="77777777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cupio, is, ere – toužit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  <w:t>aureus, a, um – zlatý</w:t>
      </w:r>
      <w:r w:rsidRPr="00060CCD">
        <w:rPr>
          <w:noProof/>
          <w:sz w:val="22"/>
          <w:szCs w:val="22"/>
        </w:rPr>
        <w:tab/>
      </w:r>
    </w:p>
    <w:p w14:paraId="25683A6E" w14:textId="40E9BF29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miraculum i, n. – zázrak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  <w:t>templum, i, n. – chrám</w:t>
      </w:r>
    </w:p>
    <w:p w14:paraId="2A9655E5" w14:textId="77777777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Venus, Veneris, f. – Venuše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  <w:t>immolo, as, are – obětovat</w:t>
      </w:r>
    </w:p>
    <w:p w14:paraId="6469F40D" w14:textId="005B1100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rogo, as, are – modlit se, prosit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>dea, deae, f. - bohyně</w:t>
      </w:r>
      <w:r w:rsidRPr="00060CCD">
        <w:rPr>
          <w:noProof/>
          <w:sz w:val="22"/>
          <w:szCs w:val="22"/>
        </w:rPr>
        <w:tab/>
      </w:r>
    </w:p>
    <w:p w14:paraId="4FC489F6" w14:textId="77777777" w:rsidR="00842237" w:rsidRPr="00060CCD" w:rsidRDefault="00842237" w:rsidP="00060CCD">
      <w:pPr>
        <w:spacing w:line="259" w:lineRule="auto"/>
        <w:rPr>
          <w:noProof/>
          <w:sz w:val="22"/>
          <w:szCs w:val="22"/>
        </w:rPr>
      </w:pPr>
      <w:r w:rsidRPr="00060CCD">
        <w:rPr>
          <w:noProof/>
          <w:sz w:val="22"/>
          <w:szCs w:val="22"/>
        </w:rPr>
        <w:t>vir, viri, m. – muž</w:t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</w:r>
      <w:r w:rsidRPr="00060CCD">
        <w:rPr>
          <w:noProof/>
          <w:sz w:val="22"/>
          <w:szCs w:val="22"/>
        </w:rPr>
        <w:tab/>
        <w:t>statua, ae, f. – socha</w:t>
      </w:r>
    </w:p>
    <w:p w14:paraId="4636A9D7" w14:textId="51A21813" w:rsidR="00A70794" w:rsidRPr="00060CCD" w:rsidRDefault="00842237" w:rsidP="00060CCD">
      <w:pPr>
        <w:spacing w:line="259" w:lineRule="auto"/>
        <w:rPr>
          <w:sz w:val="22"/>
          <w:szCs w:val="22"/>
        </w:rPr>
      </w:pPr>
      <w:r w:rsidRPr="00060CCD">
        <w:rPr>
          <w:noProof/>
          <w:sz w:val="22"/>
          <w:szCs w:val="22"/>
        </w:rPr>
        <w:t>ornamentum, i, n, – ozdoba</w:t>
      </w:r>
    </w:p>
    <w:p w14:paraId="03EC34EB" w14:textId="77777777" w:rsidR="00A70794" w:rsidRPr="00060CCD" w:rsidRDefault="00A70794" w:rsidP="00060CCD">
      <w:pPr>
        <w:spacing w:line="259" w:lineRule="auto"/>
        <w:rPr>
          <w:sz w:val="22"/>
          <w:szCs w:val="22"/>
        </w:rPr>
      </w:pPr>
    </w:p>
    <w:bookmarkEnd w:id="0"/>
    <w:p w14:paraId="75BB1A26" w14:textId="77777777" w:rsidR="00A70794" w:rsidRDefault="00A70794" w:rsidP="00A70794"/>
    <w:p w14:paraId="67AC63C0" w14:textId="77777777" w:rsidR="00A70794" w:rsidRDefault="00A70794" w:rsidP="00A70794"/>
    <w:p w14:paraId="6B9FEB4A" w14:textId="77777777" w:rsidR="00A70794" w:rsidRPr="00A70794" w:rsidRDefault="00A70794" w:rsidP="00A70794"/>
    <w:sectPr w:rsidR="00A70794" w:rsidRPr="00A7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94"/>
    <w:rsid w:val="00060CCD"/>
    <w:rsid w:val="00435DC7"/>
    <w:rsid w:val="007D63FE"/>
    <w:rsid w:val="00842237"/>
    <w:rsid w:val="00A70794"/>
    <w:rsid w:val="00C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1564"/>
  <w15:chartTrackingRefBased/>
  <w15:docId w15:val="{AD27D20A-EB80-4D88-AC65-72167146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0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22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7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E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EC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22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Pavík</cp:lastModifiedBy>
  <cp:revision>2</cp:revision>
  <dcterms:created xsi:type="dcterms:W3CDTF">2022-04-11T20:37:00Z</dcterms:created>
  <dcterms:modified xsi:type="dcterms:W3CDTF">2022-04-11T20:37:00Z</dcterms:modified>
</cp:coreProperties>
</file>