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D3F6" w14:textId="6FCA9593" w:rsidR="007E0180" w:rsidRDefault="007E0180" w:rsidP="007E0180">
      <w:r>
        <w:t>TVOŘIVOST</w:t>
      </w:r>
    </w:p>
    <w:p w14:paraId="34EB7779" w14:textId="795B41F9" w:rsidR="007E0180" w:rsidRPr="007E0180" w:rsidRDefault="007E0180" w:rsidP="007E0180">
      <w:r w:rsidRPr="007E0180">
        <w:rPr>
          <w:b/>
          <w:bCs/>
        </w:rPr>
        <w:t>Malá tvořivost</w:t>
      </w:r>
      <w:r w:rsidRPr="007E0180">
        <w:t xml:space="preserve"> – každodenní tvořivost, kterou je možné pozorovat v jednacích strategiích jedince, při řešení překážek a v běžných životních situacích vyžadujících improvizaci a tvořivý přístup k problému. Tento druh tvořivosti je zdrojem osobního růstu jedince, prostředkem seberealizace a sebeaktualizace (</w:t>
      </w:r>
      <w:proofErr w:type="spellStart"/>
      <w:r w:rsidRPr="007E0180">
        <w:t>Craft</w:t>
      </w:r>
      <w:proofErr w:type="spellEnd"/>
      <w:r w:rsidRPr="007E0180">
        <w:t xml:space="preserve">, 2003; </w:t>
      </w:r>
      <w:proofErr w:type="spellStart"/>
      <w:r w:rsidRPr="007E0180">
        <w:t>Kozbelt</w:t>
      </w:r>
      <w:proofErr w:type="spellEnd"/>
      <w:r w:rsidRPr="007E0180">
        <w:t xml:space="preserve">, </w:t>
      </w:r>
      <w:proofErr w:type="spellStart"/>
      <w:r w:rsidRPr="007E0180">
        <w:t>Beghetto</w:t>
      </w:r>
      <w:proofErr w:type="spellEnd"/>
      <w:r w:rsidRPr="007E0180">
        <w:t xml:space="preserve"> a </w:t>
      </w:r>
      <w:proofErr w:type="spellStart"/>
      <w:r w:rsidRPr="007E0180">
        <w:t>Runco</w:t>
      </w:r>
      <w:proofErr w:type="spellEnd"/>
      <w:r w:rsidRPr="007E0180">
        <w:t xml:space="preserve">, 2010). </w:t>
      </w:r>
    </w:p>
    <w:p w14:paraId="48532E1B" w14:textId="49D91F03" w:rsidR="007E0180" w:rsidRDefault="007E0180" w:rsidP="007E0180">
      <w:r w:rsidRPr="007E0180">
        <w:t xml:space="preserve">Velká tvořivost – výjimečná, kterou je možné pozorovat v geniálních dílech a zásadních počinech vybraných jedinců, kteří ovlivňují obecnou úroveň poznání v oblasti vědy či umění (Amabile, 1988; </w:t>
      </w:r>
      <w:proofErr w:type="spellStart"/>
      <w:r w:rsidRPr="007E0180">
        <w:t>Crafft</w:t>
      </w:r>
      <w:proofErr w:type="spellEnd"/>
      <w:r w:rsidRPr="007E0180">
        <w:t xml:space="preserve">, 2003). </w:t>
      </w:r>
    </w:p>
    <w:p w14:paraId="2987A49C" w14:textId="6A2FAD16" w:rsidR="007E0180" w:rsidRDefault="007E0180" w:rsidP="007E0180">
      <w:pPr>
        <w:rPr>
          <w:b/>
          <w:bCs/>
        </w:rPr>
      </w:pPr>
      <w:r w:rsidRPr="007E0180">
        <w:rPr>
          <w:b/>
          <w:bCs/>
        </w:rPr>
        <w:t>Podmínky pro rozvoj tvořivosti ve výtvarné výchově</w:t>
      </w:r>
    </w:p>
    <w:p w14:paraId="5A51E61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Experiment</w:t>
      </w:r>
      <w:r w:rsidRPr="007E0180">
        <w:t xml:space="preserve"> nabízí prostor pro svobodnou práci s výtvarnými prostředky, možnost kombinovat je, nalézat vlastní řešení, nová spojení, variace, a to bez reprodukování známého postupu nebo způsobu zobrazení, bez sledování konkrétního cíle a bez zaměření se na koncový produkt. </w:t>
      </w:r>
    </w:p>
    <w:p w14:paraId="12F53157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Hra</w:t>
      </w:r>
      <w:r w:rsidRPr="007E0180">
        <w:t> vytváří příležitost zabývat se činností pro ni samu a pro potěšení z ní. Zaciluje se na proces tvorby, nikoli na výsledný produkt, který si v sobě nese určitou míru stresu a obavu o kvalitu výsledku. Proces hry umožňuje reagovat na nové podněty přicházející během tvorby, měnit koncept i respektovat „pravidla“ hry. Poskytuje příležitost zapojit imaginaci, představivost a expresivitu. Ve hře je snazší uplatnit plnou koncentraci na cíl a rozvíjet rozumové a volní aspekty. Hra umožňuje pocítit zážitek „</w:t>
      </w:r>
      <w:proofErr w:type="spellStart"/>
      <w:r w:rsidRPr="007E0180">
        <w:t>flow</w:t>
      </w:r>
      <w:proofErr w:type="spellEnd"/>
      <w:r w:rsidRPr="007E0180">
        <w:t>“ – plné ponoření se do činnosti, které je jedním z průvodních jevů aktivizace tvořivého potenciálu. (Důležitým rysem hry je přítomnost pravidel a vymezení herního pole, nejedná se tedy o chaotickou činnost, se kterou ji učitelé často spojují.)</w:t>
      </w:r>
    </w:p>
    <w:p w14:paraId="63728B6E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Práce s otevřeným koncem</w:t>
      </w:r>
      <w:r w:rsidRPr="007E0180">
        <w:t> umožňuje dopustit se chyby jako přirozené součásti procesu objevování a učení se. Ve výtvarných činnostech se jedná o hledání vlastní cesty ve způsobu a formě při ztvárnění tématu, objevování osobitého výrazu namísto opakování daného vzoru či postupu. Práce s otevřeným koncem vytváří prostor pro chybu, která je nezbytnou součástí objevování, a generuje příležitosti pro její tvořivé zpracování. Je významná i z hlediska přijímání zodpovědnosti za vlastní rozhodnutí.</w:t>
      </w:r>
    </w:p>
    <w:p w14:paraId="3C5BD6F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Čas</w:t>
      </w:r>
      <w:r w:rsidRPr="007E0180">
        <w:t> definuje rámec, ve kterém se realizuje proces a prožitek. Vytváří prostor pro experiment, rozvíjení vlastní vize, zažití všech fází tvořivého procesu, zažití stavu „excelence“ – tzv. „</w:t>
      </w:r>
      <w:proofErr w:type="spellStart"/>
      <w:r w:rsidRPr="007E0180">
        <w:t>flow</w:t>
      </w:r>
      <w:proofErr w:type="spellEnd"/>
      <w:r w:rsidRPr="007E0180">
        <w:t>“. Čas by tedy měl umožňovat, nikoli omezovat, tvorba sama by měla určovat časový rámec, nikoli naopak.</w:t>
      </w:r>
    </w:p>
    <w:p w14:paraId="2A52EA65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Místo </w:t>
      </w:r>
      <w:r w:rsidRPr="007E0180">
        <w:t>je základní podmínkou, která poskytuje dostatečný a vhodný prostor pro výtvarnou realizaci. Prostor udává i atmosféru, která povzbuzuje k tvorbě, umožňuje soustředění na práci nebo působí protisměrně. Odvaha riskovat, kterou je nutné uplatnit např. při experimentu, je z velké části ovlivněna náladou a charakterem místa.</w:t>
      </w:r>
    </w:p>
    <w:p w14:paraId="49F6F9A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Prostředky</w:t>
      </w:r>
      <w:r w:rsidRPr="007E0180">
        <w:t> zhmotňují myšlenku a demonstrují ji vnímatelným způsobem. Stejně jako je nezbytná určitá míra dovedností, tak i dostatečné kvalitní materiální vybavení ovlivňuje tvořivost. (Pastelky jako základní výtvarný prostředek v MŠ neumožní prožitek z tvorby jako práce s malířskými prostředky.) Významná je i otázka užitých technik, postupů a materiálů. Vizuálně efektní prostředky nevybízejí k improvizaci a často ji ani neumožňují.</w:t>
      </w:r>
    </w:p>
    <w:p w14:paraId="22D4A17D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lastRenderedPageBreak/>
        <w:t>Rozhodování a svobodná vůle. </w:t>
      </w:r>
      <w:r w:rsidRPr="007E0180">
        <w:t>Nabídka samostatnosti při volbě způsobu, formy, materiálu, obsahu, místa realizace, výkladu a prezentace díla dítě aktivizuje. Umožňuje hledání vlastních témat a jejich řešení, poskytuje příležitost k chybným krokům a možnost jejich zpracování, učení se z důsledků, zúročení osobitého vidění a především budování důvěry ve vlastní tvořivé schopnosti. (Neměnná témata, techniky, materiálové kombinace dělají z výtvarné výchovy často pouze výrobu s použitím výtvarných prostředků.)</w:t>
      </w:r>
    </w:p>
    <w:p w14:paraId="42100D29" w14:textId="799EA51A" w:rsidR="007E0180" w:rsidRDefault="007E0180" w:rsidP="007E0180">
      <w:pPr>
        <w:rPr>
          <w:b/>
          <w:bCs/>
        </w:rPr>
      </w:pPr>
      <w:r w:rsidRPr="007E0180">
        <w:rPr>
          <w:b/>
          <w:bCs/>
        </w:rPr>
        <w:t>PĚT faktorů negativně ovlivňujících tvořivost</w:t>
      </w:r>
    </w:p>
    <w:p w14:paraId="4E656032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Nedostatečný formát</w:t>
      </w:r>
      <w:r w:rsidRPr="007E0180">
        <w:t> byl významným handicapem velkého množství prací. Limitující byl zvláště při práci s malířskými prostředky. Formát A4 užitý pro malbu temperou neumožnil uplatnit prostředky malby: práci se skvrnou, míchání barev, ověřování vztahu barevných ploch, práci s proporčním kontrastem, komponování plochy, práce ve více plánech, odlišení tzv. „figury“ a „pozadí“. Neposkytl prostor pro hledání, uvažování o materiálu. Nebere v úvahu motorické dispozice dítěte (plochý štětec vyžaduje prostor pro manipulaci) a potlačuje příležitost k samostatnému rozhodování o velké ploše papíru. Práce na velkém formátu přináší možnost pracovat s prostředky, které přesahují běžnou zkušenost dítěte. Malý formát je limitující i při realizaci s kresebnými prostředky. Nedovolí dítěti vyprávět „příběh“ a nutí jej redukovat výpověď na čitelné „znaky“, obzvláště v předškolním věku, kdy dítě spíše než se zápěstím pracuje tělem a pohybem vycházejícím z ramenního kloubu.</w:t>
      </w:r>
    </w:p>
    <w:p w14:paraId="22283828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Omezené prostředky, nedostatečné a nevhodné prostředky. </w:t>
      </w:r>
      <w:r w:rsidRPr="007E0180">
        <w:t>Maximalistická nabídka výtvarných prostředků není zárukou podpory tvořivosti. Je to především improvizace, která ji aktivně podporuje. Chybějící prostor pro experiment a práci s náhodou redukuje výrazovou škálu a projevuje se v tendenčních zobrazeních, snižuje chuť k tvorbě, způsobuje opadnutí zájmu i motivace a nepřináší možnost vyjádření dětem výtvarně odlišně zaměřeným. Častý jev protěžování jednoho výtvarného prostředku či techniky neumožňují střídání výtvarného výrazu, nenabízí jiné způsoby přemýšlení a významně omezuje tvořivé uvažování. (Jedná se o „nenáročný“ materiál z hlediska požadavků na prostor, přípravu, zpracování, čas i financí – fixy, voskovky, pastelky). Do této kategorie náleží i nekvalitní barvy, které neumožňují namíchat čisté odstíny, pastely nebo pastelky neuvolňující pigment. Patří sem také techniky, které staví na efektu a přitažlivé formě bez obsahu, a prostředky vynucující si způsob svého užití či prezentace, podbízející se prvoplánovou formou, zastupující sama sebe, vytvářející pouze krátká spojení mezi objektem a použitým materiálem (gelová lepidla, třpytky, vlna, vata, nefunkční vlepované dekorativní prvky apod.), nevybízející k uvažování o autentickém způsobu zpracování, hledání tvaru.</w:t>
      </w:r>
    </w:p>
    <w:p w14:paraId="7BFF0FC6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Používání šablon a předloh – </w:t>
      </w:r>
      <w:r w:rsidRPr="007E0180">
        <w:t>jednotné téma, jednotná vizualita, výsledek práce je již na počátku práce předpokladatelný. Hledání tvaru, prostor pro přemýšlení, experiment a osobní volbu je maximálně omezen.  Aktivita je zredukována na mechanickou činnost- vyplňování barvou nebo dekorem. Soubory prací, které opakovaly stejné téma i stejnou formu, potvrdily, že se jedná o stále a často používaný způsob práce, kdy výtvarné prostředky jsou použity pouze účelově a bez vize smyslu a cíle.</w:t>
      </w:r>
    </w:p>
    <w:p w14:paraId="030D1672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Aktivita zaměřená na výrobek a produkt. </w:t>
      </w:r>
      <w:r w:rsidRPr="007E0180">
        <w:t>Práce směřuje k cíli, popírá proces jako zdroj poznání, akcentuje formální aspekty </w:t>
      </w:r>
      <w:r w:rsidRPr="007E0180">
        <w:rPr>
          <w:b/>
          <w:bCs/>
        </w:rPr>
        <w:t>– </w:t>
      </w:r>
      <w:r w:rsidRPr="007E0180">
        <w:t>řemeslné provedení, úhlednost, respekt k pravidlu a důraz na jejich dodržení.</w:t>
      </w:r>
    </w:p>
    <w:p w14:paraId="2822BC1A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Ploché téma. </w:t>
      </w:r>
      <w:r w:rsidRPr="007E0180">
        <w:t>Vyprázdněná témata nabízející nabízejí obecně přijatou normu ztvárnění (jaro </w:t>
      </w:r>
      <w:r w:rsidRPr="007E0180">
        <w:rPr>
          <w:b/>
          <w:bCs/>
        </w:rPr>
        <w:t>– </w:t>
      </w:r>
      <w:r w:rsidRPr="007E0180">
        <w:t>léto </w:t>
      </w:r>
      <w:r w:rsidRPr="007E0180">
        <w:rPr>
          <w:b/>
          <w:bCs/>
        </w:rPr>
        <w:t>– </w:t>
      </w:r>
      <w:r w:rsidRPr="007E0180">
        <w:t>podzim </w:t>
      </w:r>
      <w:r w:rsidRPr="007E0180">
        <w:rPr>
          <w:b/>
          <w:bCs/>
        </w:rPr>
        <w:t>– </w:t>
      </w:r>
      <w:r w:rsidRPr="007E0180">
        <w:t xml:space="preserve">zima a s nimi spojená tematika), ocenění této shody i shody prací </w:t>
      </w:r>
      <w:r w:rsidRPr="007E0180">
        <w:lastRenderedPageBreak/>
        <w:t>navzájem. Téma je zadáno stereotypně, není hledáno, zkoumáno, nenutí přemýšlet, zapojit imaginaci.</w:t>
      </w:r>
    </w:p>
    <w:p w14:paraId="024AE6B1" w14:textId="77777777" w:rsidR="007E0180" w:rsidRDefault="007E0180" w:rsidP="007E0180">
      <w:r w:rsidRPr="007E0180">
        <w:t xml:space="preserve">              (Štěpánková, 2013)</w:t>
      </w:r>
    </w:p>
    <w:p w14:paraId="7B048B6A" w14:textId="77777777" w:rsidR="007E0180" w:rsidRDefault="007E0180" w:rsidP="007E0180"/>
    <w:p w14:paraId="65A7262C" w14:textId="77777777" w:rsidR="007E0180" w:rsidRDefault="007E0180" w:rsidP="007E0180"/>
    <w:p w14:paraId="7784AD23" w14:textId="78656A2D" w:rsidR="007E0180" w:rsidRDefault="007E0180" w:rsidP="007E0180">
      <w:r>
        <w:t>Literatura:</w:t>
      </w:r>
    </w:p>
    <w:p w14:paraId="3E68F21E" w14:textId="77777777" w:rsidR="007E0180" w:rsidRPr="007E0180" w:rsidRDefault="007E0180" w:rsidP="007E0180">
      <w:r w:rsidRPr="007E0180">
        <w:t xml:space="preserve">ŠOBÁŇOVÁ, Petra. </w:t>
      </w:r>
      <w:r w:rsidRPr="007E0180">
        <w:rPr>
          <w:i/>
          <w:iCs/>
        </w:rPr>
        <w:t>Učitelé výtvarné výchovy a jejich znalosti kurikula: sborník</w:t>
      </w:r>
      <w:r w:rsidRPr="007E0180">
        <w:t xml:space="preserve"> </w:t>
      </w:r>
      <w:r w:rsidRPr="007E0180">
        <w:rPr>
          <w:i/>
          <w:iCs/>
        </w:rPr>
        <w:t>anotací příspěvků z 19. výroční konference České asociace pedagogického výzkumu</w:t>
      </w:r>
      <w:r w:rsidRPr="007E0180">
        <w:t>. 1. vyd. Brno: Masarykova univerzita, 2011. ISBN 9788021055537.</w:t>
      </w:r>
    </w:p>
    <w:p w14:paraId="5B1D3EFD" w14:textId="77777777" w:rsidR="007E0180" w:rsidRDefault="007E0180" w:rsidP="007E0180">
      <w:pPr>
        <w:rPr>
          <w:rStyle w:val="Hypertextovodkaz"/>
        </w:rPr>
      </w:pPr>
      <w:r w:rsidRPr="007E0180">
        <w:t>ŠTĚPÁNKOVÁ, K. (2013): Jak „zabít“ tvořivost ve výtvarné výchově</w:t>
      </w:r>
      <w:r w:rsidRPr="007E0180">
        <w:rPr>
          <w:lang w:val="pt-PT"/>
        </w:rPr>
        <w:t>. Kultura, um</w:t>
      </w:r>
      <w:proofErr w:type="spellStart"/>
      <w:r w:rsidRPr="007E0180">
        <w:t>ění</w:t>
      </w:r>
      <w:proofErr w:type="spellEnd"/>
      <w:r w:rsidRPr="007E0180">
        <w:t xml:space="preserve"> a výchova, 1(1) [cit. 2013-10-03]. ISSN 2336-1824. </w:t>
      </w:r>
      <w:proofErr w:type="spellStart"/>
      <w:r w:rsidRPr="007E0180">
        <w:t>Dostupn</w:t>
      </w:r>
      <w:proofErr w:type="spellEnd"/>
      <w:r w:rsidRPr="007E0180">
        <w:rPr>
          <w:lang w:val="pl-PL"/>
        </w:rPr>
        <w:t xml:space="preserve">é </w:t>
      </w:r>
      <w:r w:rsidRPr="007E0180">
        <w:t xml:space="preserve">z: </w:t>
      </w:r>
      <w:hyperlink r:id="rId5" w:history="1">
        <w:r w:rsidRPr="007E0180">
          <w:rPr>
            <w:rStyle w:val="Hypertextovodkaz"/>
          </w:rPr>
          <w:t>http://www.kuv.upol.cz/index.php?seo_url=aktualni-cislo&amp;casopis=3&amp;clanek=21</w:t>
        </w:r>
      </w:hyperlink>
    </w:p>
    <w:p w14:paraId="5EE5A87F" w14:textId="77777777" w:rsidR="00D1267C" w:rsidRPr="00D1267C" w:rsidRDefault="00D1267C" w:rsidP="00D1267C">
      <w:r w:rsidRPr="00D1267C">
        <w:t>ŠTĚPÁNKOVÁ, Kateřina. 2020. Mýty o tvořivosti a jejich vliv na naplňování kurikula ve výtvarné výchově. </w:t>
      </w:r>
      <w:r w:rsidRPr="00D1267C">
        <w:rPr>
          <w:i/>
          <w:iCs/>
        </w:rPr>
        <w:t>Kultura, umění a výchova</w:t>
      </w:r>
      <w:r w:rsidRPr="00D1267C">
        <w:t>, 8(1) [cit. 2020-11-02]. ISSN 2336-1824. Dostupné z: http://www.kuv.upol.cz/index.php?seo_url=aktualni-cislo&amp;casopis=19&amp;clanek=218.</w:t>
      </w:r>
    </w:p>
    <w:p w14:paraId="5C43A405" w14:textId="77777777" w:rsidR="00D1267C" w:rsidRPr="007E0180" w:rsidRDefault="00D1267C" w:rsidP="007E0180"/>
    <w:p w14:paraId="3BAA32DC" w14:textId="77777777" w:rsidR="00121443" w:rsidRDefault="00121443"/>
    <w:sectPr w:rsidR="0012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EE3"/>
    <w:multiLevelType w:val="hybridMultilevel"/>
    <w:tmpl w:val="2430C716"/>
    <w:lvl w:ilvl="0" w:tplc="2F6A4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F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6A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8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2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A4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654938"/>
    <w:multiLevelType w:val="hybridMultilevel"/>
    <w:tmpl w:val="6DC45076"/>
    <w:lvl w:ilvl="0" w:tplc="236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0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E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0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9864096">
    <w:abstractNumId w:val="0"/>
  </w:num>
  <w:num w:numId="2" w16cid:durableId="30331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80"/>
    <w:rsid w:val="00121443"/>
    <w:rsid w:val="007E0180"/>
    <w:rsid w:val="00D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FE5F"/>
  <w15:chartTrackingRefBased/>
  <w15:docId w15:val="{F33C9632-1D82-43D4-9386-6F8DFE6B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3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0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4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2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3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v.upol.cz/index.php?seo_url=aktualni-cislo&amp;casopis=3&amp;clanek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Hana Stadlerová</cp:lastModifiedBy>
  <cp:revision>2</cp:revision>
  <dcterms:created xsi:type="dcterms:W3CDTF">2021-03-11T19:57:00Z</dcterms:created>
  <dcterms:modified xsi:type="dcterms:W3CDTF">2023-04-28T10:32:00Z</dcterms:modified>
</cp:coreProperties>
</file>