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6C1EA" w14:textId="1BE735FC" w:rsidR="001F2E76" w:rsidRPr="001F2E76" w:rsidRDefault="001F2E76" w:rsidP="001F2E76">
      <w:pPr>
        <w:pStyle w:val="Nadpis2"/>
        <w:spacing w:before="0" w:after="0"/>
        <w:jc w:val="center"/>
      </w:pPr>
      <w:r w:rsidRPr="001F2E76">
        <w:t xml:space="preserve">Příprava na </w:t>
      </w:r>
      <w:r w:rsidR="002C7678">
        <w:t>1</w:t>
      </w:r>
      <w:r w:rsidRPr="001F2E76">
        <w:t xml:space="preserve">. </w:t>
      </w:r>
      <w:r w:rsidR="00842655">
        <w:t>konzultaci</w:t>
      </w:r>
    </w:p>
    <w:p w14:paraId="47BA1D47" w14:textId="3B0EE2C2" w:rsidR="00D15223" w:rsidRDefault="005F13E5" w:rsidP="001F2E76">
      <w:pPr>
        <w:pStyle w:val="Nadpis2"/>
        <w:spacing w:before="0" w:after="0"/>
        <w:jc w:val="center"/>
      </w:pPr>
      <w:r>
        <w:t>OV</w:t>
      </w:r>
      <w:r w:rsidR="00842655">
        <w:t xml:space="preserve">2RC_EI </w:t>
      </w:r>
      <w:r>
        <w:t>Evropská integrace a desintegrace</w:t>
      </w:r>
    </w:p>
    <w:p w14:paraId="4A01FC84" w14:textId="77777777" w:rsidR="001F2E76" w:rsidRDefault="001F2E76" w:rsidP="001F2E76">
      <w:pPr>
        <w:rPr>
          <w:lang w:eastAsia="ar-SA"/>
        </w:rPr>
      </w:pPr>
    </w:p>
    <w:p w14:paraId="0AF42A0B" w14:textId="0F12EDFD" w:rsidR="005F13E5" w:rsidRDefault="00D57D0A" w:rsidP="001F2E76">
      <w:pPr>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color w:val="0000DC"/>
          <w:sz w:val="24"/>
          <w:szCs w:val="24"/>
          <w:lang w:eastAsia="ar-SA"/>
        </w:rPr>
        <w:t>Podstata Evropské unie</w:t>
      </w:r>
      <w:r w:rsidR="00164584">
        <w:rPr>
          <w:rFonts w:asciiTheme="majorHAnsi" w:eastAsiaTheme="majorEastAsia" w:hAnsiTheme="majorHAnsi" w:cstheme="majorBidi"/>
          <w:b/>
          <w:color w:val="0000DC"/>
          <w:sz w:val="24"/>
          <w:szCs w:val="24"/>
          <w:lang w:eastAsia="ar-SA"/>
        </w:rPr>
        <w:t xml:space="preserve"> a její specifika</w:t>
      </w:r>
    </w:p>
    <w:p w14:paraId="230ED537" w14:textId="3CE48021" w:rsidR="00164584" w:rsidRDefault="00164584" w:rsidP="00A5241B">
      <w:pPr>
        <w:pStyle w:val="Odstavecseseznamem"/>
        <w:numPr>
          <w:ilvl w:val="0"/>
          <w:numId w:val="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Připomeňte si členské státy Evropské unie. </w:t>
      </w:r>
    </w:p>
    <w:p w14:paraId="143F8741" w14:textId="3BACCC08" w:rsidR="00164584" w:rsidRDefault="00164584" w:rsidP="00A5241B">
      <w:pPr>
        <w:pStyle w:val="Odstavecseseznamem"/>
        <w:numPr>
          <w:ilvl w:val="0"/>
          <w:numId w:val="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Zamyslete se nad výhodami a nevýhodami, které přináší Evropská unie. Výhody a nevýhody můžete vztáhnout i k České republice.</w:t>
      </w:r>
    </w:p>
    <w:p w14:paraId="6F1C32EF" w14:textId="0080AFB2" w:rsidR="00A8345B" w:rsidRDefault="00A8345B" w:rsidP="00A5241B">
      <w:pPr>
        <w:pStyle w:val="Odstavecseseznamem"/>
        <w:numPr>
          <w:ilvl w:val="0"/>
          <w:numId w:val="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Platí v Evropské unii heslo Jednota v rozmanitosti? Třeba i s ohledem na aktuální dění?</w:t>
      </w:r>
    </w:p>
    <w:p w14:paraId="6A2236DE" w14:textId="0ADF967D" w:rsidR="004B1782" w:rsidRDefault="004B1782" w:rsidP="00A5241B">
      <w:pPr>
        <w:pStyle w:val="Odstavecseseznamem"/>
        <w:numPr>
          <w:ilvl w:val="0"/>
          <w:numId w:val="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Proč Evropská unie není státem? Nápověda: Připomeňte si ze státovědy znaky státu – území, obyvatelstvo, státní moc (donucení). Kolik má EU přibližně obyvatel? </w:t>
      </w:r>
    </w:p>
    <w:p w14:paraId="24B17838" w14:textId="1DD353CE" w:rsidR="00A8345B" w:rsidRDefault="00A8345B" w:rsidP="00A8345B">
      <w:pPr>
        <w:pStyle w:val="Odstavecseseznamem"/>
        <w:numPr>
          <w:ilvl w:val="0"/>
          <w:numId w:val="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Tomio Okamura prohlásil v roce 2020 na Facebook stránce SPD následující výrok. Uveďte, zda Věra Jourová jako česká eurokomisařka skutečně pochybuje, když nehájí v Evropské unii zájmy České republiky.</w:t>
      </w:r>
    </w:p>
    <w:p w14:paraId="36C3EF3B" w14:textId="4F42C12E" w:rsidR="00A8345B" w:rsidRDefault="00842655" w:rsidP="00A8345B">
      <w:pPr>
        <w:rPr>
          <w:rFonts w:asciiTheme="majorHAnsi" w:eastAsiaTheme="majorEastAsia" w:hAnsiTheme="majorHAnsi" w:cstheme="majorBidi"/>
          <w:bCs/>
          <w:sz w:val="22"/>
          <w:lang w:eastAsia="ar-SA"/>
        </w:rPr>
      </w:pPr>
      <w:r>
        <w:rPr>
          <w:rFonts w:asciiTheme="majorHAnsi" w:eastAsiaTheme="majorEastAsia" w:hAnsiTheme="majorHAnsi" w:cstheme="majorBidi"/>
          <w:bCs/>
          <w:noProof/>
          <w:sz w:val="22"/>
          <w:lang w:eastAsia="ar-SA"/>
        </w:rPr>
        <w:drawing>
          <wp:anchor distT="0" distB="0" distL="114300" distR="114300" simplePos="0" relativeHeight="251659264" behindDoc="0" locked="0" layoutInCell="1" allowOverlap="1" wp14:anchorId="3DE63082" wp14:editId="74D8E49D">
            <wp:simplePos x="0" y="0"/>
            <wp:positionH relativeFrom="margin">
              <wp:posOffset>1420495</wp:posOffset>
            </wp:positionH>
            <wp:positionV relativeFrom="margin">
              <wp:posOffset>2562225</wp:posOffset>
            </wp:positionV>
            <wp:extent cx="3206750" cy="1421765"/>
            <wp:effectExtent l="0" t="0" r="0" b="698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1"/>
                    <a:stretch>
                      <a:fillRect/>
                    </a:stretch>
                  </pic:blipFill>
                  <pic:spPr>
                    <a:xfrm>
                      <a:off x="0" y="0"/>
                      <a:ext cx="3206750" cy="1421765"/>
                    </a:xfrm>
                    <a:prstGeom prst="rect">
                      <a:avLst/>
                    </a:prstGeom>
                  </pic:spPr>
                </pic:pic>
              </a:graphicData>
            </a:graphic>
          </wp:anchor>
        </w:drawing>
      </w:r>
    </w:p>
    <w:p w14:paraId="0D6CFAFF" w14:textId="0B879912" w:rsidR="00A8345B" w:rsidRDefault="00A8345B" w:rsidP="00A8345B">
      <w:pPr>
        <w:rPr>
          <w:rFonts w:asciiTheme="majorHAnsi" w:eastAsiaTheme="majorEastAsia" w:hAnsiTheme="majorHAnsi" w:cstheme="majorBidi"/>
          <w:bCs/>
          <w:sz w:val="22"/>
          <w:lang w:eastAsia="ar-SA"/>
        </w:rPr>
      </w:pPr>
    </w:p>
    <w:p w14:paraId="136B13CF" w14:textId="0DE3AF90" w:rsidR="00A8345B" w:rsidRDefault="00A8345B" w:rsidP="00A8345B">
      <w:pPr>
        <w:rPr>
          <w:rFonts w:asciiTheme="majorHAnsi" w:eastAsiaTheme="majorEastAsia" w:hAnsiTheme="majorHAnsi" w:cstheme="majorBidi"/>
          <w:bCs/>
          <w:sz w:val="22"/>
          <w:lang w:eastAsia="ar-SA"/>
        </w:rPr>
      </w:pPr>
    </w:p>
    <w:p w14:paraId="72D2E61A" w14:textId="1FD25587" w:rsidR="00A8345B" w:rsidRDefault="00A8345B" w:rsidP="00A8345B">
      <w:pPr>
        <w:rPr>
          <w:rFonts w:asciiTheme="majorHAnsi" w:eastAsiaTheme="majorEastAsia" w:hAnsiTheme="majorHAnsi" w:cstheme="majorBidi"/>
          <w:bCs/>
          <w:sz w:val="22"/>
          <w:lang w:eastAsia="ar-SA"/>
        </w:rPr>
      </w:pPr>
    </w:p>
    <w:p w14:paraId="6327ED0A" w14:textId="77777777" w:rsidR="00A8345B" w:rsidRPr="00A8345B" w:rsidRDefault="00A8345B" w:rsidP="00A8345B">
      <w:pPr>
        <w:rPr>
          <w:rFonts w:asciiTheme="majorHAnsi" w:eastAsiaTheme="majorEastAsia" w:hAnsiTheme="majorHAnsi" w:cstheme="majorBidi"/>
          <w:bCs/>
          <w:sz w:val="22"/>
          <w:lang w:eastAsia="ar-SA"/>
        </w:rPr>
      </w:pPr>
    </w:p>
    <w:p w14:paraId="3E9CE95D" w14:textId="77777777" w:rsidR="00A8345B" w:rsidRPr="00164584" w:rsidRDefault="00A8345B" w:rsidP="00A8345B">
      <w:pPr>
        <w:pStyle w:val="Odstavecseseznamem"/>
        <w:numPr>
          <w:ilvl w:val="0"/>
          <w:numId w:val="0"/>
        </w:numPr>
        <w:ind w:left="720"/>
        <w:jc w:val="both"/>
        <w:rPr>
          <w:rFonts w:asciiTheme="majorHAnsi" w:eastAsiaTheme="majorEastAsia" w:hAnsiTheme="majorHAnsi" w:cstheme="majorBidi"/>
          <w:bCs/>
          <w:sz w:val="22"/>
          <w:lang w:eastAsia="ar-SA"/>
        </w:rPr>
      </w:pPr>
    </w:p>
    <w:p w14:paraId="6A0D8227" w14:textId="12EA02B6" w:rsidR="00164584" w:rsidRPr="00164584" w:rsidRDefault="00482EF3" w:rsidP="00A5241B">
      <w:pPr>
        <w:pStyle w:val="Odstavecseseznamem"/>
        <w:numPr>
          <w:ilvl w:val="0"/>
          <w:numId w:val="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Evropská unie je specifickou mezinárodní organizací, která se od jiných mezinárodních organizací liší. Jedním ze základních rozdílů je, že Evropská unie je nadřazena svým členským státům. Co si pod tím představíte? </w:t>
      </w:r>
    </w:p>
    <w:p w14:paraId="25E56774" w14:textId="2C6899A0" w:rsidR="00482EF3" w:rsidRDefault="00482EF3" w:rsidP="00A5241B">
      <w:pPr>
        <w:pStyle w:val="Odstavecseseznamem"/>
        <w:numPr>
          <w:ilvl w:val="0"/>
          <w:numId w:val="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Dalším základním rozdílem je, že zatímco v klasické mezinárodní organizaci jsou si členské státy rovny, v Evropské unii si členské státy rovny nejsou. Zamyslete se, v čem spočívá uvedená nerovnost mezi členskými státy EU.</w:t>
      </w:r>
    </w:p>
    <w:p w14:paraId="1BBECFA0" w14:textId="6C76F324" w:rsidR="00482EF3" w:rsidRPr="00482EF3" w:rsidRDefault="00482EF3" w:rsidP="00A5241B">
      <w:pPr>
        <w:pStyle w:val="Odstavecseseznamem"/>
        <w:numPr>
          <w:ilvl w:val="0"/>
          <w:numId w:val="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Abychom rozdíly lépe pochopili a fungování Evropské unie si více uvědomili, vyřešíme následující úkol. Tento úkol</w:t>
      </w:r>
      <w:r w:rsidR="00842655">
        <w:rPr>
          <w:rFonts w:asciiTheme="majorHAnsi" w:eastAsiaTheme="majorEastAsia" w:hAnsiTheme="majorHAnsi" w:cstheme="majorBidi"/>
          <w:bCs/>
          <w:sz w:val="22"/>
          <w:lang w:eastAsia="ar-SA"/>
        </w:rPr>
        <w:t xml:space="preserve"> patří mezi ty obtížené</w:t>
      </w:r>
      <w:r>
        <w:rPr>
          <w:rFonts w:asciiTheme="majorHAnsi" w:eastAsiaTheme="majorEastAsia" w:hAnsiTheme="majorHAnsi" w:cstheme="majorBidi"/>
          <w:bCs/>
          <w:sz w:val="22"/>
          <w:lang w:eastAsia="ar-SA"/>
        </w:rPr>
        <w:t xml:space="preserve">. </w:t>
      </w:r>
      <w:r w:rsidRPr="00482EF3">
        <w:rPr>
          <w:rFonts w:asciiTheme="majorHAnsi" w:eastAsiaTheme="majorEastAsia" w:hAnsiTheme="majorHAnsi" w:cstheme="majorBidi"/>
          <w:bCs/>
          <w:sz w:val="22"/>
          <w:lang w:eastAsia="ar-SA"/>
        </w:rPr>
        <w:t>Uveďte, pro kterou mezinárodní organizaci – „klasickou“</w:t>
      </w:r>
      <w:r>
        <w:rPr>
          <w:rFonts w:asciiTheme="majorHAnsi" w:eastAsiaTheme="majorEastAsia" w:hAnsiTheme="majorHAnsi" w:cstheme="majorBidi"/>
          <w:bCs/>
          <w:sz w:val="22"/>
          <w:lang w:eastAsia="ar-SA"/>
        </w:rPr>
        <w:t xml:space="preserve">, </w:t>
      </w:r>
      <w:r w:rsidRPr="00482EF3">
        <w:rPr>
          <w:rFonts w:asciiTheme="majorHAnsi" w:eastAsiaTheme="majorEastAsia" w:hAnsiTheme="majorHAnsi" w:cstheme="majorBidi"/>
          <w:bCs/>
          <w:sz w:val="22"/>
          <w:lang w:eastAsia="ar-SA"/>
        </w:rPr>
        <w:t>nebo nadstátní (EU) – jsou typické následující znaky:</w:t>
      </w:r>
      <w:r w:rsidR="001A1D63">
        <w:rPr>
          <w:rFonts w:asciiTheme="majorHAnsi" w:eastAsiaTheme="majorEastAsia" w:hAnsiTheme="majorHAnsi" w:cstheme="majorBidi"/>
          <w:bCs/>
          <w:sz w:val="22"/>
          <w:lang w:eastAsia="ar-SA"/>
        </w:rPr>
        <w:t xml:space="preserve"> </w:t>
      </w:r>
      <w:r w:rsidRPr="00482EF3">
        <w:rPr>
          <w:rFonts w:asciiTheme="majorHAnsi" w:eastAsiaTheme="majorEastAsia" w:hAnsiTheme="majorHAnsi" w:cstheme="majorBidi"/>
          <w:bCs/>
          <w:sz w:val="22"/>
          <w:lang w:eastAsia="ar-SA"/>
        </w:rPr>
        <w:t>(Pozn: některé mohou být společné pro oba typy mezinárodních organizací, jiné naopak nemusí být typické ani pro jednu kategorii):</w:t>
      </w:r>
      <w:r w:rsidRPr="00482EF3">
        <w:rPr>
          <w:rFonts w:asciiTheme="majorHAnsi" w:eastAsiaTheme="majorEastAsia" w:hAnsiTheme="majorHAnsi" w:cstheme="majorBidi"/>
          <w:bCs/>
          <w:i/>
          <w:iCs/>
          <w:sz w:val="22"/>
          <w:lang w:eastAsia="ar-SA"/>
        </w:rPr>
        <w:t> </w:t>
      </w:r>
    </w:p>
    <w:p w14:paraId="022FDC8F" w14:textId="77777777" w:rsidR="00482EF3" w:rsidRPr="00482EF3" w:rsidRDefault="00482EF3" w:rsidP="00A5241B">
      <w:pPr>
        <w:pStyle w:val="Odstavecseseznamem"/>
        <w:numPr>
          <w:ilvl w:val="0"/>
          <w:numId w:val="6"/>
        </w:numPr>
        <w:rPr>
          <w:rFonts w:asciiTheme="majorHAnsi" w:eastAsiaTheme="majorEastAsia" w:hAnsiTheme="majorHAnsi" w:cstheme="majorBidi"/>
          <w:bCs/>
          <w:sz w:val="22"/>
          <w:lang w:eastAsia="ar-SA"/>
        </w:rPr>
      </w:pPr>
      <w:r w:rsidRPr="00482EF3">
        <w:rPr>
          <w:rFonts w:asciiTheme="majorHAnsi" w:eastAsiaTheme="majorEastAsia" w:hAnsiTheme="majorHAnsi" w:cstheme="majorBidi"/>
          <w:bCs/>
          <w:sz w:val="22"/>
          <w:lang w:eastAsia="ar-SA"/>
        </w:rPr>
        <w:t>možnost většinového rozhodování na úrovni představitelů států </w:t>
      </w:r>
    </w:p>
    <w:p w14:paraId="384941B2" w14:textId="7811F1CD" w:rsidR="00482EF3" w:rsidRPr="00482EF3" w:rsidRDefault="00482EF3" w:rsidP="00A5241B">
      <w:pPr>
        <w:pStyle w:val="Odstavecseseznamem"/>
        <w:numPr>
          <w:ilvl w:val="0"/>
          <w:numId w:val="6"/>
        </w:numPr>
        <w:rPr>
          <w:rFonts w:asciiTheme="majorHAnsi" w:eastAsiaTheme="majorEastAsia" w:hAnsiTheme="majorHAnsi" w:cstheme="majorBidi"/>
          <w:bCs/>
          <w:sz w:val="22"/>
          <w:lang w:eastAsia="ar-SA"/>
        </w:rPr>
      </w:pPr>
      <w:r w:rsidRPr="00482EF3">
        <w:rPr>
          <w:rFonts w:asciiTheme="majorHAnsi" w:eastAsiaTheme="majorEastAsia" w:hAnsiTheme="majorHAnsi" w:cstheme="majorBidi"/>
          <w:bCs/>
          <w:sz w:val="22"/>
          <w:lang w:eastAsia="ar-SA"/>
        </w:rPr>
        <w:t>vlastní, na členských státech nezávislé orgány </w:t>
      </w:r>
    </w:p>
    <w:p w14:paraId="6D6A1AA7" w14:textId="4C795CAC" w:rsidR="00482EF3" w:rsidRPr="00482EF3" w:rsidRDefault="00482EF3" w:rsidP="00A5241B">
      <w:pPr>
        <w:pStyle w:val="Odstavecseseznamem"/>
        <w:numPr>
          <w:ilvl w:val="0"/>
          <w:numId w:val="6"/>
        </w:numPr>
        <w:rPr>
          <w:rFonts w:asciiTheme="majorHAnsi" w:eastAsiaTheme="majorEastAsia" w:hAnsiTheme="majorHAnsi" w:cstheme="majorBidi"/>
          <w:bCs/>
          <w:sz w:val="22"/>
          <w:lang w:eastAsia="ar-SA"/>
        </w:rPr>
      </w:pPr>
      <w:r w:rsidRPr="00482EF3">
        <w:rPr>
          <w:rFonts w:asciiTheme="majorHAnsi" w:eastAsiaTheme="majorEastAsia" w:hAnsiTheme="majorHAnsi" w:cstheme="majorBidi"/>
          <w:bCs/>
          <w:sz w:val="22"/>
          <w:lang w:eastAsia="ar-SA"/>
        </w:rPr>
        <w:t>existence orgánu, který je volený přímo občany </w:t>
      </w:r>
    </w:p>
    <w:p w14:paraId="1A8D7354" w14:textId="77777777" w:rsidR="00482EF3" w:rsidRPr="00482EF3" w:rsidRDefault="00482EF3" w:rsidP="00A5241B">
      <w:pPr>
        <w:pStyle w:val="Odstavecseseznamem"/>
        <w:numPr>
          <w:ilvl w:val="0"/>
          <w:numId w:val="6"/>
        </w:numPr>
        <w:rPr>
          <w:rFonts w:asciiTheme="majorHAnsi" w:eastAsiaTheme="majorEastAsia" w:hAnsiTheme="majorHAnsi" w:cstheme="majorBidi"/>
          <w:bCs/>
          <w:sz w:val="22"/>
          <w:lang w:eastAsia="ar-SA"/>
        </w:rPr>
      </w:pPr>
      <w:r w:rsidRPr="00482EF3">
        <w:rPr>
          <w:rFonts w:asciiTheme="majorHAnsi" w:eastAsiaTheme="majorEastAsia" w:hAnsiTheme="majorHAnsi" w:cstheme="majorBidi"/>
          <w:bCs/>
          <w:sz w:val="22"/>
          <w:lang w:eastAsia="ar-SA"/>
        </w:rPr>
        <w:t>vlastní legislativa upravující práva a povinnosti občanů </w:t>
      </w:r>
    </w:p>
    <w:p w14:paraId="3F8E1E54" w14:textId="3AE5C721" w:rsidR="00482EF3" w:rsidRPr="00482EF3" w:rsidRDefault="00482EF3" w:rsidP="00A5241B">
      <w:pPr>
        <w:pStyle w:val="Odstavecseseznamem"/>
        <w:numPr>
          <w:ilvl w:val="0"/>
          <w:numId w:val="6"/>
        </w:numPr>
        <w:rPr>
          <w:rFonts w:asciiTheme="majorHAnsi" w:eastAsiaTheme="majorEastAsia" w:hAnsiTheme="majorHAnsi" w:cstheme="majorBidi"/>
          <w:bCs/>
          <w:sz w:val="22"/>
          <w:lang w:eastAsia="ar-SA"/>
        </w:rPr>
      </w:pPr>
      <w:r w:rsidRPr="00482EF3">
        <w:rPr>
          <w:rFonts w:asciiTheme="majorHAnsi" w:eastAsiaTheme="majorEastAsia" w:hAnsiTheme="majorHAnsi" w:cstheme="majorBidi"/>
          <w:bCs/>
          <w:sz w:val="22"/>
          <w:lang w:eastAsia="ar-SA"/>
        </w:rPr>
        <w:t>přednostně použitelná legislativa (před vnitrostátním právem) </w:t>
      </w:r>
    </w:p>
    <w:p w14:paraId="4A2E5AED" w14:textId="72397E49" w:rsidR="00482EF3" w:rsidRPr="00482EF3" w:rsidRDefault="00482EF3" w:rsidP="00A5241B">
      <w:pPr>
        <w:pStyle w:val="Odstavecseseznamem"/>
        <w:numPr>
          <w:ilvl w:val="0"/>
          <w:numId w:val="6"/>
        </w:numPr>
        <w:rPr>
          <w:rFonts w:asciiTheme="majorHAnsi" w:eastAsiaTheme="majorEastAsia" w:hAnsiTheme="majorHAnsi" w:cstheme="majorBidi"/>
          <w:bCs/>
          <w:sz w:val="22"/>
          <w:lang w:eastAsia="ar-SA"/>
        </w:rPr>
      </w:pPr>
      <w:r w:rsidRPr="00482EF3">
        <w:rPr>
          <w:rFonts w:asciiTheme="majorHAnsi" w:eastAsiaTheme="majorEastAsia" w:hAnsiTheme="majorHAnsi" w:cstheme="majorBidi"/>
          <w:bCs/>
          <w:sz w:val="22"/>
          <w:lang w:eastAsia="ar-SA"/>
        </w:rPr>
        <w:t>efektivní nástroje vynucování práva a dodržování povinností </w:t>
      </w:r>
    </w:p>
    <w:p w14:paraId="6F630AD7" w14:textId="5BE5C8BF" w:rsidR="00482EF3" w:rsidRPr="00482EF3" w:rsidRDefault="00482EF3" w:rsidP="00A5241B">
      <w:pPr>
        <w:pStyle w:val="Odstavecseseznamem"/>
        <w:numPr>
          <w:ilvl w:val="0"/>
          <w:numId w:val="6"/>
        </w:numPr>
        <w:rPr>
          <w:rFonts w:asciiTheme="majorHAnsi" w:eastAsiaTheme="majorEastAsia" w:hAnsiTheme="majorHAnsi" w:cstheme="majorBidi"/>
          <w:bCs/>
          <w:sz w:val="22"/>
          <w:lang w:eastAsia="ar-SA"/>
        </w:rPr>
      </w:pPr>
      <w:r w:rsidRPr="00482EF3">
        <w:rPr>
          <w:rFonts w:asciiTheme="majorHAnsi" w:eastAsiaTheme="majorEastAsia" w:hAnsiTheme="majorHAnsi" w:cstheme="majorBidi"/>
          <w:bCs/>
          <w:sz w:val="22"/>
          <w:lang w:eastAsia="ar-SA"/>
        </w:rPr>
        <w:t>možnost státu vystoupit z této MO </w:t>
      </w:r>
    </w:p>
    <w:p w14:paraId="45A3C4A7" w14:textId="79466688" w:rsidR="00482EF3" w:rsidRPr="00482EF3" w:rsidRDefault="00482EF3" w:rsidP="00A5241B">
      <w:pPr>
        <w:pStyle w:val="Odstavecseseznamem"/>
        <w:numPr>
          <w:ilvl w:val="0"/>
          <w:numId w:val="6"/>
        </w:numPr>
        <w:rPr>
          <w:rFonts w:asciiTheme="majorHAnsi" w:eastAsiaTheme="majorEastAsia" w:hAnsiTheme="majorHAnsi" w:cstheme="majorBidi"/>
          <w:bCs/>
          <w:sz w:val="22"/>
          <w:lang w:eastAsia="ar-SA"/>
        </w:rPr>
      </w:pPr>
      <w:r w:rsidRPr="00482EF3">
        <w:rPr>
          <w:rFonts w:asciiTheme="majorHAnsi" w:eastAsiaTheme="majorEastAsia" w:hAnsiTheme="majorHAnsi" w:cstheme="majorBidi"/>
          <w:bCs/>
          <w:sz w:val="22"/>
          <w:lang w:eastAsia="ar-SA"/>
        </w:rPr>
        <w:t>možnost států upravit fungování této MO </w:t>
      </w:r>
    </w:p>
    <w:p w14:paraId="36BC1FE6" w14:textId="0D016BEF" w:rsidR="00482EF3" w:rsidRPr="00482EF3" w:rsidRDefault="00482EF3" w:rsidP="00A5241B">
      <w:pPr>
        <w:pStyle w:val="Odstavecseseznamem"/>
        <w:numPr>
          <w:ilvl w:val="0"/>
          <w:numId w:val="6"/>
        </w:numPr>
        <w:rPr>
          <w:rFonts w:asciiTheme="majorHAnsi" w:eastAsiaTheme="majorEastAsia" w:hAnsiTheme="majorHAnsi" w:cstheme="majorBidi"/>
          <w:bCs/>
          <w:sz w:val="22"/>
          <w:lang w:eastAsia="ar-SA"/>
        </w:rPr>
      </w:pPr>
      <w:r w:rsidRPr="00482EF3">
        <w:rPr>
          <w:rFonts w:asciiTheme="majorHAnsi" w:eastAsiaTheme="majorEastAsia" w:hAnsiTheme="majorHAnsi" w:cstheme="majorBidi"/>
          <w:bCs/>
          <w:sz w:val="22"/>
          <w:lang w:eastAsia="ar-SA"/>
        </w:rPr>
        <w:t>rozhodování o některých otázkách namísto členských států </w:t>
      </w:r>
    </w:p>
    <w:p w14:paraId="5A7E3F74" w14:textId="3FC7529F" w:rsidR="00842655" w:rsidRDefault="00842655" w:rsidP="001F2E76">
      <w:pPr>
        <w:rPr>
          <w:rFonts w:asciiTheme="majorHAnsi" w:eastAsiaTheme="majorEastAsia" w:hAnsiTheme="majorHAnsi" w:cstheme="majorBidi"/>
          <w:b/>
          <w:color w:val="0000DC"/>
          <w:sz w:val="24"/>
          <w:szCs w:val="24"/>
          <w:lang w:eastAsia="ar-SA"/>
        </w:rPr>
      </w:pPr>
    </w:p>
    <w:p w14:paraId="5CB973B4" w14:textId="5198A757" w:rsidR="00963490" w:rsidRDefault="00963490" w:rsidP="001F2E76">
      <w:pPr>
        <w:rPr>
          <w:rFonts w:asciiTheme="majorHAnsi" w:eastAsiaTheme="majorEastAsia" w:hAnsiTheme="majorHAnsi" w:cstheme="majorBidi"/>
          <w:b/>
          <w:color w:val="0000DC"/>
          <w:sz w:val="24"/>
          <w:szCs w:val="24"/>
          <w:lang w:eastAsia="ar-SA"/>
        </w:rPr>
      </w:pPr>
    </w:p>
    <w:p w14:paraId="6858A479" w14:textId="77777777" w:rsidR="00963490" w:rsidRDefault="00963490" w:rsidP="001F2E76">
      <w:pPr>
        <w:rPr>
          <w:rFonts w:asciiTheme="majorHAnsi" w:eastAsiaTheme="majorEastAsia" w:hAnsiTheme="majorHAnsi" w:cstheme="majorBidi"/>
          <w:b/>
          <w:color w:val="0000DC"/>
          <w:sz w:val="24"/>
          <w:szCs w:val="24"/>
          <w:lang w:eastAsia="ar-SA"/>
        </w:rPr>
      </w:pPr>
    </w:p>
    <w:p w14:paraId="46139DBD" w14:textId="61998B34" w:rsidR="005F13E5" w:rsidRDefault="005F13E5" w:rsidP="001F2E76">
      <w:pPr>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color w:val="0000DC"/>
          <w:sz w:val="24"/>
          <w:szCs w:val="24"/>
          <w:lang w:eastAsia="ar-SA"/>
        </w:rPr>
        <w:lastRenderedPageBreak/>
        <w:t xml:space="preserve">Nejvýznamnější milníky </w:t>
      </w:r>
    </w:p>
    <w:p w14:paraId="0459A5B6" w14:textId="155302CD" w:rsidR="00852443" w:rsidRPr="00D57D0A" w:rsidRDefault="00852443" w:rsidP="00A5241B">
      <w:pPr>
        <w:pStyle w:val="Odstavecseseznamem"/>
        <w:numPr>
          <w:ilvl w:val="0"/>
          <w:numId w:val="4"/>
        </w:numPr>
        <w:jc w:val="both"/>
        <w:rPr>
          <w:rFonts w:asciiTheme="majorHAnsi" w:eastAsiaTheme="majorEastAsia" w:hAnsiTheme="majorHAnsi" w:cstheme="majorBidi"/>
          <w:bCs/>
          <w:sz w:val="22"/>
          <w:lang w:eastAsia="ar-SA"/>
        </w:rPr>
      </w:pPr>
      <w:r w:rsidRPr="00D57D0A">
        <w:rPr>
          <w:rFonts w:asciiTheme="majorHAnsi" w:eastAsiaTheme="majorEastAsia" w:hAnsiTheme="majorHAnsi" w:cstheme="majorBidi"/>
          <w:bCs/>
          <w:sz w:val="22"/>
          <w:lang w:eastAsia="ar-SA"/>
        </w:rPr>
        <w:t>Pospojujte výrazy, které spolu sedí z levé a pravé části tabulky. Následně přiřaďte data k těmto milníkům z historie evropské integrace. Co u většiny znamenají dva různé roky před a za lomítkem?</w:t>
      </w:r>
      <w:r w:rsidR="00FA7E25">
        <w:rPr>
          <w:rFonts w:asciiTheme="majorHAnsi" w:eastAsiaTheme="majorEastAsia" w:hAnsiTheme="majorHAnsi" w:cstheme="majorBidi"/>
          <w:bCs/>
          <w:sz w:val="22"/>
          <w:lang w:eastAsia="ar-SA"/>
        </w:rPr>
        <w:t xml:space="preserve"> Milníků je mnohem více, neméně důležitých. Ty budete brát </w:t>
      </w:r>
      <w:r w:rsidR="00842655">
        <w:rPr>
          <w:rFonts w:asciiTheme="majorHAnsi" w:eastAsiaTheme="majorEastAsia" w:hAnsiTheme="majorHAnsi" w:cstheme="majorBidi"/>
          <w:bCs/>
          <w:sz w:val="22"/>
          <w:lang w:eastAsia="ar-SA"/>
        </w:rPr>
        <w:t>v rámci samostudia</w:t>
      </w:r>
      <w:r w:rsidR="00FA7E25">
        <w:rPr>
          <w:rFonts w:asciiTheme="majorHAnsi" w:eastAsiaTheme="majorEastAsia" w:hAnsiTheme="majorHAnsi" w:cstheme="majorBidi"/>
          <w:bCs/>
          <w:sz w:val="22"/>
          <w:lang w:eastAsia="ar-SA"/>
        </w:rPr>
        <w:t xml:space="preserve">. </w:t>
      </w:r>
    </w:p>
    <w:tbl>
      <w:tblPr>
        <w:tblStyle w:val="Mkatabulky"/>
        <w:tblW w:w="0" w:type="auto"/>
        <w:tblInd w:w="694" w:type="dxa"/>
        <w:tblLook w:val="04A0" w:firstRow="1" w:lastRow="0" w:firstColumn="1" w:lastColumn="0" w:noHBand="0" w:noVBand="1"/>
      </w:tblPr>
      <w:tblGrid>
        <w:gridCol w:w="4820"/>
        <w:gridCol w:w="3543"/>
      </w:tblGrid>
      <w:tr w:rsidR="00852443" w14:paraId="47225EF3" w14:textId="77777777" w:rsidTr="00151D4B">
        <w:tc>
          <w:tcPr>
            <w:tcW w:w="4820" w:type="dxa"/>
            <w:tcBorders>
              <w:top w:val="single" w:sz="12" w:space="0" w:color="4F81BD" w:themeColor="accent1"/>
              <w:left w:val="single" w:sz="12" w:space="0" w:color="4F81BD" w:themeColor="accent1"/>
              <w:right w:val="single" w:sz="12" w:space="0" w:color="4F81BD" w:themeColor="accent1"/>
            </w:tcBorders>
            <w:shd w:val="clear" w:color="auto" w:fill="B8CCE4" w:themeFill="accent1" w:themeFillTint="66"/>
          </w:tcPr>
          <w:p w14:paraId="249838E1" w14:textId="58D0EAC7"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ESUO</w:t>
            </w:r>
          </w:p>
        </w:tc>
        <w:tc>
          <w:tcPr>
            <w:tcW w:w="3543" w:type="dxa"/>
            <w:tcBorders>
              <w:top w:val="single" w:sz="12" w:space="0" w:color="4F81BD" w:themeColor="accent1"/>
              <w:left w:val="single" w:sz="12" w:space="0" w:color="4F81BD" w:themeColor="accent1"/>
              <w:right w:val="single" w:sz="12" w:space="0" w:color="4F81BD" w:themeColor="accent1"/>
            </w:tcBorders>
            <w:shd w:val="clear" w:color="auto" w:fill="DBE5F1" w:themeFill="accent1" w:themeFillTint="33"/>
          </w:tcPr>
          <w:p w14:paraId="7ECADA37" w14:textId="73EBA864"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revizní smlouvy</w:t>
            </w:r>
          </w:p>
        </w:tc>
      </w:tr>
      <w:tr w:rsidR="00852443" w14:paraId="29B3343B" w14:textId="77777777" w:rsidTr="00151D4B">
        <w:tc>
          <w:tcPr>
            <w:tcW w:w="4820" w:type="dxa"/>
            <w:tcBorders>
              <w:left w:val="single" w:sz="12" w:space="0" w:color="4F81BD" w:themeColor="accent1"/>
              <w:right w:val="single" w:sz="12" w:space="0" w:color="4F81BD" w:themeColor="accent1"/>
            </w:tcBorders>
            <w:shd w:val="clear" w:color="auto" w:fill="B8CCE4" w:themeFill="accent1" w:themeFillTint="66"/>
          </w:tcPr>
          <w:p w14:paraId="79E14619" w14:textId="2F1FC7D7"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EHS a EURATOM</w:t>
            </w:r>
          </w:p>
        </w:tc>
        <w:tc>
          <w:tcPr>
            <w:tcW w:w="3543" w:type="dxa"/>
            <w:tcBorders>
              <w:left w:val="single" w:sz="12" w:space="0" w:color="4F81BD" w:themeColor="accent1"/>
              <w:right w:val="single" w:sz="12" w:space="0" w:color="4F81BD" w:themeColor="accent1"/>
            </w:tcBorders>
            <w:shd w:val="clear" w:color="auto" w:fill="DBE5F1" w:themeFill="accent1" w:themeFillTint="33"/>
          </w:tcPr>
          <w:p w14:paraId="524B3168" w14:textId="643F452C"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Římské smlouvy</w:t>
            </w:r>
          </w:p>
        </w:tc>
      </w:tr>
      <w:tr w:rsidR="00852443" w14:paraId="7F2492AE" w14:textId="77777777" w:rsidTr="00151D4B">
        <w:tc>
          <w:tcPr>
            <w:tcW w:w="4820" w:type="dxa"/>
            <w:tcBorders>
              <w:left w:val="single" w:sz="12" w:space="0" w:color="4F81BD" w:themeColor="accent1"/>
              <w:right w:val="single" w:sz="12" w:space="0" w:color="4F81BD" w:themeColor="accent1"/>
            </w:tcBorders>
            <w:shd w:val="clear" w:color="auto" w:fill="B8CCE4" w:themeFill="accent1" w:themeFillTint="66"/>
          </w:tcPr>
          <w:p w14:paraId="27B38BFF" w14:textId="2A5E3A9A"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Smlouva o založení EHS (2 možnosti)</w:t>
            </w:r>
          </w:p>
        </w:tc>
        <w:tc>
          <w:tcPr>
            <w:tcW w:w="3543" w:type="dxa"/>
            <w:tcBorders>
              <w:left w:val="single" w:sz="12" w:space="0" w:color="4F81BD" w:themeColor="accent1"/>
              <w:right w:val="single" w:sz="12" w:space="0" w:color="4F81BD" w:themeColor="accent1"/>
            </w:tcBorders>
            <w:shd w:val="clear" w:color="auto" w:fill="DBE5F1" w:themeFill="accent1" w:themeFillTint="33"/>
          </w:tcPr>
          <w:p w14:paraId="2E0E8C2E" w14:textId="02ECCFE0"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Pařížská smlouva</w:t>
            </w:r>
          </w:p>
        </w:tc>
      </w:tr>
      <w:tr w:rsidR="00852443" w14:paraId="0E8F62F0" w14:textId="77777777" w:rsidTr="00151D4B">
        <w:tc>
          <w:tcPr>
            <w:tcW w:w="4820" w:type="dxa"/>
            <w:tcBorders>
              <w:left w:val="single" w:sz="12" w:space="0" w:color="4F81BD" w:themeColor="accent1"/>
              <w:right w:val="single" w:sz="12" w:space="0" w:color="4F81BD" w:themeColor="accent1"/>
            </w:tcBorders>
            <w:shd w:val="clear" w:color="auto" w:fill="B8CCE4" w:themeFill="accent1" w:themeFillTint="66"/>
          </w:tcPr>
          <w:p w14:paraId="391C1279" w14:textId="75B55DB3"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Smlouva o EU</w:t>
            </w:r>
          </w:p>
        </w:tc>
        <w:tc>
          <w:tcPr>
            <w:tcW w:w="3543" w:type="dxa"/>
            <w:tcBorders>
              <w:left w:val="single" w:sz="12" w:space="0" w:color="4F81BD" w:themeColor="accent1"/>
              <w:right w:val="single" w:sz="12" w:space="0" w:color="4F81BD" w:themeColor="accent1"/>
            </w:tcBorders>
            <w:shd w:val="clear" w:color="auto" w:fill="DBE5F1" w:themeFill="accent1" w:themeFillTint="33"/>
          </w:tcPr>
          <w:p w14:paraId="04FD9024" w14:textId="1A5C07AB"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Smlouva o fungování EU</w:t>
            </w:r>
          </w:p>
        </w:tc>
      </w:tr>
      <w:tr w:rsidR="00852443" w14:paraId="11766E7C" w14:textId="77777777" w:rsidTr="00151D4B">
        <w:tc>
          <w:tcPr>
            <w:tcW w:w="4820" w:type="dxa"/>
            <w:tcBorders>
              <w:left w:val="single" w:sz="12" w:space="0" w:color="4F81BD" w:themeColor="accent1"/>
              <w:bottom w:val="single" w:sz="12" w:space="0" w:color="4F81BD" w:themeColor="accent1"/>
              <w:right w:val="single" w:sz="12" w:space="0" w:color="4F81BD" w:themeColor="accent1"/>
            </w:tcBorders>
            <w:shd w:val="clear" w:color="auto" w:fill="B8CCE4" w:themeFill="accent1" w:themeFillTint="66"/>
          </w:tcPr>
          <w:p w14:paraId="0657B72C" w14:textId="3130AEAC"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Amsterdamská, Niceská, Lisabonská smlouv</w:t>
            </w:r>
            <w:r>
              <w:rPr>
                <w:rFonts w:asciiTheme="majorHAnsi" w:eastAsiaTheme="majorEastAsia" w:hAnsiTheme="majorHAnsi" w:cstheme="majorBidi"/>
                <w:bCs/>
                <w:sz w:val="22"/>
                <w:lang w:eastAsia="ar-SA"/>
              </w:rPr>
              <w:t>a</w:t>
            </w:r>
          </w:p>
        </w:tc>
        <w:tc>
          <w:tcPr>
            <w:tcW w:w="3543" w:type="dxa"/>
            <w:tcBorders>
              <w:left w:val="single" w:sz="12" w:space="0" w:color="4F81BD" w:themeColor="accent1"/>
              <w:bottom w:val="single" w:sz="12" w:space="0" w:color="4F81BD" w:themeColor="accent1"/>
              <w:right w:val="single" w:sz="12" w:space="0" w:color="4F81BD" w:themeColor="accent1"/>
            </w:tcBorders>
            <w:shd w:val="clear" w:color="auto" w:fill="DBE5F1" w:themeFill="accent1" w:themeFillTint="33"/>
          </w:tcPr>
          <w:p w14:paraId="6E1AB3F3" w14:textId="25B37DA4" w:rsidR="00852443" w:rsidRPr="00852443" w:rsidRDefault="00852443" w:rsidP="001F2E76">
            <w:pPr>
              <w:rPr>
                <w:rFonts w:asciiTheme="majorHAnsi" w:eastAsiaTheme="majorEastAsia" w:hAnsiTheme="majorHAnsi" w:cstheme="majorBidi"/>
                <w:bCs/>
                <w:sz w:val="22"/>
                <w:lang w:eastAsia="ar-SA"/>
              </w:rPr>
            </w:pPr>
            <w:r w:rsidRPr="00852443">
              <w:rPr>
                <w:rFonts w:asciiTheme="majorHAnsi" w:eastAsiaTheme="majorEastAsia" w:hAnsiTheme="majorHAnsi" w:cstheme="majorBidi"/>
                <w:bCs/>
                <w:sz w:val="22"/>
                <w:lang w:eastAsia="ar-SA"/>
              </w:rPr>
              <w:t>Maastrichtská smlouva</w:t>
            </w:r>
          </w:p>
        </w:tc>
      </w:tr>
      <w:tr w:rsidR="00852443" w14:paraId="6CE06CC8" w14:textId="77777777" w:rsidTr="00151D4B">
        <w:tc>
          <w:tcPr>
            <w:tcW w:w="8363" w:type="dxa"/>
            <w:gridSpan w:val="2"/>
            <w:tcBorders>
              <w:top w:val="single" w:sz="12" w:space="0" w:color="4F81BD" w:themeColor="accent1"/>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5462C9B1" w14:textId="6BDC3C86" w:rsidR="00852443" w:rsidRPr="00852443" w:rsidRDefault="00852443" w:rsidP="001F2E76">
            <w:pPr>
              <w:rPr>
                <w:rFonts w:asciiTheme="majorHAnsi" w:eastAsiaTheme="majorEastAsia" w:hAnsiTheme="majorHAnsi" w:cstheme="majorBidi"/>
                <w:bCs/>
                <w:color w:val="0000DC"/>
                <w:sz w:val="22"/>
                <w:lang w:eastAsia="ar-SA"/>
              </w:rPr>
            </w:pPr>
            <w:r>
              <w:t xml:space="preserve">1997/1999     </w:t>
            </w:r>
            <w:r w:rsidR="00151D4B">
              <w:t xml:space="preserve"> </w:t>
            </w:r>
            <w:r>
              <w:t xml:space="preserve">    1952-2002       </w:t>
            </w:r>
            <w:r w:rsidR="00151D4B">
              <w:t xml:space="preserve"> </w:t>
            </w:r>
            <w:r>
              <w:t xml:space="preserve">  2007/2009          1957/1958           1992/1993           2000/2003</w:t>
            </w:r>
          </w:p>
        </w:tc>
      </w:tr>
    </w:tbl>
    <w:p w14:paraId="315DEEC3" w14:textId="33DC98A6" w:rsidR="005F13E5" w:rsidRPr="00D57D0A" w:rsidRDefault="005F13E5" w:rsidP="001F2E76">
      <w:pPr>
        <w:rPr>
          <w:rFonts w:asciiTheme="majorHAnsi" w:eastAsiaTheme="majorEastAsia" w:hAnsiTheme="majorHAnsi" w:cstheme="majorBidi"/>
          <w:b/>
          <w:sz w:val="24"/>
          <w:szCs w:val="24"/>
          <w:lang w:eastAsia="ar-SA"/>
        </w:rPr>
      </w:pPr>
    </w:p>
    <w:p w14:paraId="30D8FA50" w14:textId="48CCB7DC" w:rsidR="00D57D0A" w:rsidRPr="00AA28F3" w:rsidRDefault="00FA7E25" w:rsidP="00A5241B">
      <w:pPr>
        <w:pStyle w:val="Odstavecseseznamem"/>
        <w:numPr>
          <w:ilvl w:val="0"/>
          <w:numId w:val="4"/>
        </w:numPr>
        <w:jc w:val="both"/>
        <w:rPr>
          <w:rFonts w:asciiTheme="majorHAnsi" w:eastAsiaTheme="majorEastAsia" w:hAnsiTheme="majorHAnsi" w:cstheme="majorBidi"/>
          <w:b/>
          <w:sz w:val="24"/>
          <w:szCs w:val="24"/>
          <w:lang w:eastAsia="ar-SA"/>
        </w:rPr>
      </w:pPr>
      <w:r>
        <w:rPr>
          <w:rFonts w:asciiTheme="majorHAnsi" w:eastAsiaTheme="majorEastAsia" w:hAnsiTheme="majorHAnsi" w:cstheme="majorBidi"/>
          <w:bCs/>
          <w:sz w:val="22"/>
          <w:lang w:eastAsia="ar-SA"/>
        </w:rPr>
        <w:t xml:space="preserve">Jedním z takových historických bodů ve vývoji evropské integrace je Lisabonská smlouva. Na ní si ukážeme něco málo z fungování Evropské unie. </w:t>
      </w:r>
      <w:r w:rsidR="00D57D0A" w:rsidRPr="00D57D0A">
        <w:rPr>
          <w:rFonts w:asciiTheme="majorHAnsi" w:eastAsiaTheme="majorEastAsia" w:hAnsiTheme="majorHAnsi" w:cstheme="majorBidi"/>
          <w:bCs/>
          <w:sz w:val="22"/>
          <w:lang w:eastAsia="ar-SA"/>
        </w:rPr>
        <w:t>Lisabonskou smlouvu muselo ratifikovat všech tehdejších 27 členských států EU. Stát, který otálel s ratifikací mezinárodní smlouvy a byl posledním, který ratifikoval, byla Česká republika. Tehdy prezident Václav Klaus, který smlouvu ratifikoval, prohlásil uvedený výrok. Znamená to, že Česká republika skutečně ztratila suverenitu?</w:t>
      </w:r>
    </w:p>
    <w:p w14:paraId="0FB5F335" w14:textId="23414845" w:rsidR="00AA28F3" w:rsidRDefault="00AA28F3" w:rsidP="00AA28F3">
      <w:pPr>
        <w:rPr>
          <w:rFonts w:asciiTheme="majorHAnsi" w:eastAsiaTheme="majorEastAsia" w:hAnsiTheme="majorHAnsi" w:cstheme="majorBidi"/>
          <w:b/>
          <w:sz w:val="24"/>
          <w:szCs w:val="24"/>
          <w:lang w:eastAsia="ar-SA"/>
        </w:rPr>
      </w:pPr>
      <w:r>
        <w:rPr>
          <w:noProof/>
        </w:rPr>
        <w:drawing>
          <wp:inline distT="0" distB="0" distL="0" distR="0" wp14:anchorId="1A7E498C" wp14:editId="3EF0897E">
            <wp:extent cx="6032500" cy="1515745"/>
            <wp:effectExtent l="0" t="0" r="635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2500" cy="1515745"/>
                    </a:xfrm>
                    <a:prstGeom prst="rect">
                      <a:avLst/>
                    </a:prstGeom>
                    <a:noFill/>
                    <a:ln>
                      <a:noFill/>
                    </a:ln>
                  </pic:spPr>
                </pic:pic>
              </a:graphicData>
            </a:graphic>
          </wp:inline>
        </w:drawing>
      </w:r>
    </w:p>
    <w:p w14:paraId="2CA2937A" w14:textId="2CD76F01" w:rsidR="00AA28F3" w:rsidRDefault="00AA28F3" w:rsidP="00AA28F3">
      <w:pPr>
        <w:rPr>
          <w:rFonts w:asciiTheme="majorHAnsi" w:eastAsiaTheme="majorEastAsia" w:hAnsiTheme="majorHAnsi" w:cstheme="majorBidi"/>
          <w:b/>
          <w:sz w:val="24"/>
          <w:szCs w:val="24"/>
          <w:lang w:eastAsia="ar-SA"/>
        </w:rPr>
      </w:pPr>
    </w:p>
    <w:p w14:paraId="5FCA5719" w14:textId="4B3E0277" w:rsidR="00AA28F3" w:rsidRPr="00164584" w:rsidRDefault="00AA28F3" w:rsidP="00A5241B">
      <w:pPr>
        <w:pStyle w:val="Odstavecseseznamem"/>
        <w:numPr>
          <w:ilvl w:val="0"/>
          <w:numId w:val="4"/>
        </w:numPr>
        <w:jc w:val="both"/>
        <w:rPr>
          <w:rFonts w:asciiTheme="majorHAnsi" w:eastAsiaTheme="majorEastAsia" w:hAnsiTheme="majorHAnsi" w:cstheme="majorBidi"/>
          <w:b/>
          <w:sz w:val="24"/>
          <w:szCs w:val="24"/>
          <w:lang w:eastAsia="ar-SA"/>
        </w:rPr>
      </w:pPr>
      <w:r>
        <w:rPr>
          <w:rFonts w:asciiTheme="majorHAnsi" w:eastAsiaTheme="majorEastAsia" w:hAnsiTheme="majorHAnsi" w:cstheme="majorBidi"/>
          <w:bCs/>
          <w:sz w:val="22"/>
          <w:lang w:eastAsia="ar-SA"/>
        </w:rPr>
        <w:t xml:space="preserve">Lisabonská smlouva zásadně změnila fungování Evropské unie. To si blíže stručně pro naše účely vysvětlíme na </w:t>
      </w:r>
      <w:r w:rsidR="00842655">
        <w:rPr>
          <w:rFonts w:asciiTheme="majorHAnsi" w:eastAsiaTheme="majorEastAsia" w:hAnsiTheme="majorHAnsi" w:cstheme="majorBidi"/>
          <w:bCs/>
          <w:sz w:val="22"/>
          <w:lang w:eastAsia="ar-SA"/>
        </w:rPr>
        <w:t>konzultaci</w:t>
      </w:r>
      <w:r>
        <w:rPr>
          <w:rFonts w:asciiTheme="majorHAnsi" w:eastAsiaTheme="majorEastAsia" w:hAnsiTheme="majorHAnsi" w:cstheme="majorBidi"/>
          <w:bCs/>
          <w:sz w:val="22"/>
          <w:lang w:eastAsia="ar-SA"/>
        </w:rPr>
        <w:t xml:space="preserve">. Lisabonská smlouva vešla do podvědomí také v souvislosti s vystoupením </w:t>
      </w:r>
      <w:r w:rsidR="00164584">
        <w:rPr>
          <w:rFonts w:asciiTheme="majorHAnsi" w:eastAsiaTheme="majorEastAsia" w:hAnsiTheme="majorHAnsi" w:cstheme="majorBidi"/>
          <w:bCs/>
          <w:sz w:val="22"/>
          <w:lang w:eastAsia="ar-SA"/>
        </w:rPr>
        <w:t>Spojeného království Velké Británie a Severního Irska z EU. V médiích se skloňoval článek 50 Lisabonské smlouvy (</w:t>
      </w:r>
      <w:r w:rsidR="00164584" w:rsidRPr="00A5241B">
        <w:rPr>
          <w:rFonts w:asciiTheme="majorHAnsi" w:eastAsiaTheme="majorEastAsia" w:hAnsiTheme="majorHAnsi" w:cstheme="majorBidi"/>
          <w:bCs/>
          <w:sz w:val="22"/>
          <w:u w:val="single"/>
          <w:lang w:eastAsia="ar-SA"/>
        </w:rPr>
        <w:t xml:space="preserve">viz </w:t>
      </w:r>
      <w:r w:rsidR="00A5241B" w:rsidRPr="00A5241B">
        <w:rPr>
          <w:rFonts w:asciiTheme="majorHAnsi" w:eastAsiaTheme="majorEastAsia" w:hAnsiTheme="majorHAnsi" w:cstheme="majorBidi"/>
          <w:bCs/>
          <w:sz w:val="22"/>
          <w:u w:val="single"/>
          <w:lang w:eastAsia="ar-SA"/>
        </w:rPr>
        <w:t>obrázek na další stránce</w:t>
      </w:r>
      <w:r w:rsidR="00164584">
        <w:rPr>
          <w:rFonts w:asciiTheme="majorHAnsi" w:eastAsiaTheme="majorEastAsia" w:hAnsiTheme="majorHAnsi" w:cstheme="majorBidi"/>
          <w:bCs/>
          <w:sz w:val="22"/>
          <w:lang w:eastAsia="ar-SA"/>
        </w:rPr>
        <w:t xml:space="preserve">). Dohledejte článek 50 Lisabonské smlouvy a seznamte se s jeho zněním. </w:t>
      </w:r>
      <w:r w:rsidR="00A8345B">
        <w:rPr>
          <w:rFonts w:asciiTheme="majorHAnsi" w:eastAsiaTheme="majorEastAsia" w:hAnsiTheme="majorHAnsi" w:cstheme="majorBidi"/>
          <w:bCs/>
          <w:sz w:val="22"/>
          <w:lang w:eastAsia="ar-SA"/>
        </w:rPr>
        <w:t xml:space="preserve">Nepřijde Vám něco zvláštního? </w:t>
      </w:r>
    </w:p>
    <w:p w14:paraId="672A3ADA" w14:textId="55DED653" w:rsidR="00164584" w:rsidRDefault="00164584" w:rsidP="00164584">
      <w:pPr>
        <w:rPr>
          <w:rFonts w:asciiTheme="majorHAnsi" w:eastAsiaTheme="majorEastAsia" w:hAnsiTheme="majorHAnsi" w:cstheme="majorBidi"/>
          <w:b/>
          <w:sz w:val="24"/>
          <w:szCs w:val="24"/>
          <w:lang w:eastAsia="ar-SA"/>
        </w:rPr>
      </w:pPr>
      <w:r>
        <w:rPr>
          <w:rFonts w:asciiTheme="majorHAnsi" w:eastAsiaTheme="majorEastAsia" w:hAnsiTheme="majorHAnsi" w:cstheme="majorBidi"/>
          <w:b/>
          <w:noProof/>
          <w:sz w:val="24"/>
          <w:szCs w:val="24"/>
          <w:lang w:eastAsia="ar-SA"/>
        </w:rPr>
        <w:lastRenderedPageBreak/>
        <w:drawing>
          <wp:inline distT="0" distB="0" distL="0" distR="0" wp14:anchorId="60D12151" wp14:editId="2E981915">
            <wp:extent cx="4933950" cy="3768154"/>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3"/>
                    <a:stretch>
                      <a:fillRect/>
                    </a:stretch>
                  </pic:blipFill>
                  <pic:spPr>
                    <a:xfrm>
                      <a:off x="0" y="0"/>
                      <a:ext cx="4933950" cy="3768154"/>
                    </a:xfrm>
                    <a:prstGeom prst="rect">
                      <a:avLst/>
                    </a:prstGeom>
                  </pic:spPr>
                </pic:pic>
              </a:graphicData>
            </a:graphic>
          </wp:inline>
        </w:drawing>
      </w:r>
    </w:p>
    <w:p w14:paraId="2F26A533" w14:textId="5C4302DF" w:rsidR="00AA28F3" w:rsidRDefault="003151F5" w:rsidP="00AA28F3">
      <w:pPr>
        <w:rPr>
          <w:rFonts w:asciiTheme="majorHAnsi" w:eastAsiaTheme="majorEastAsia" w:hAnsiTheme="majorHAnsi" w:cstheme="majorBidi"/>
          <w:b/>
          <w:sz w:val="24"/>
          <w:szCs w:val="24"/>
          <w:lang w:eastAsia="ar-SA"/>
        </w:rPr>
      </w:pPr>
      <w:r>
        <w:rPr>
          <w:rFonts w:asciiTheme="majorHAnsi" w:eastAsiaTheme="majorEastAsia" w:hAnsiTheme="majorHAnsi" w:cstheme="majorBidi"/>
          <w:b/>
          <w:sz w:val="24"/>
          <w:szCs w:val="24"/>
          <w:lang w:eastAsia="ar-SA"/>
        </w:rPr>
        <w:t>-----------------------------------------------------</w:t>
      </w:r>
    </w:p>
    <w:p w14:paraId="75DA7285" w14:textId="77777777" w:rsidR="00842655" w:rsidRDefault="00842655" w:rsidP="00842655">
      <w:pPr>
        <w:jc w:val="left"/>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color w:val="0000DC"/>
          <w:sz w:val="24"/>
          <w:szCs w:val="24"/>
          <w:lang w:eastAsia="ar-SA"/>
        </w:rPr>
        <w:t>Právo EU – co může a co nemůže EU regulovat a jakými prostředky</w:t>
      </w:r>
    </w:p>
    <w:p w14:paraId="58685A51" w14:textId="06A2B10D" w:rsidR="00842655" w:rsidRDefault="00842655" w:rsidP="00842655">
      <w:pPr>
        <w:jc w:val="center"/>
        <w:rPr>
          <w:noProof/>
        </w:rPr>
      </w:pPr>
      <w:r>
        <w:rPr>
          <w:rFonts w:asciiTheme="majorHAnsi" w:eastAsiaTheme="majorEastAsia" w:hAnsiTheme="majorHAnsi" w:cstheme="majorBidi"/>
          <w:b/>
          <w:noProof/>
          <w:color w:val="0000DC"/>
          <w:sz w:val="24"/>
          <w:szCs w:val="24"/>
          <w:lang w:eastAsia="ar-SA"/>
        </w:rPr>
        <w:drawing>
          <wp:inline distT="0" distB="0" distL="0" distR="0" wp14:anchorId="36879F54" wp14:editId="289210FE">
            <wp:extent cx="3295650" cy="622300"/>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622300"/>
                    </a:xfrm>
                    <a:prstGeom prst="rect">
                      <a:avLst/>
                    </a:prstGeom>
                    <a:noFill/>
                    <a:ln>
                      <a:noFill/>
                    </a:ln>
                  </pic:spPr>
                </pic:pic>
              </a:graphicData>
            </a:graphic>
          </wp:inline>
        </w:drawing>
      </w:r>
      <w:r>
        <w:rPr>
          <w:rFonts w:asciiTheme="majorHAnsi" w:eastAsiaTheme="majorEastAsia" w:hAnsiTheme="majorHAnsi" w:cstheme="majorBidi"/>
          <w:b/>
          <w:noProof/>
          <w:color w:val="0000DC"/>
          <w:sz w:val="24"/>
          <w:szCs w:val="24"/>
          <w:lang w:eastAsia="ar-SA"/>
        </w:rPr>
        <w:drawing>
          <wp:inline distT="0" distB="0" distL="0" distR="0" wp14:anchorId="0BF83B60" wp14:editId="1C42DA42">
            <wp:extent cx="1111250" cy="5016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0" cy="501650"/>
                    </a:xfrm>
                    <a:prstGeom prst="rect">
                      <a:avLst/>
                    </a:prstGeom>
                    <a:noFill/>
                    <a:ln>
                      <a:noFill/>
                    </a:ln>
                  </pic:spPr>
                </pic:pic>
              </a:graphicData>
            </a:graphic>
          </wp:inline>
        </w:drawing>
      </w:r>
    </w:p>
    <w:p w14:paraId="365DB4F6" w14:textId="47994EEF" w:rsidR="00842655" w:rsidRDefault="00842655" w:rsidP="00842655">
      <w:pPr>
        <w:jc w:val="center"/>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noProof/>
          <w:color w:val="0000DC"/>
          <w:sz w:val="24"/>
          <w:szCs w:val="24"/>
          <w:lang w:eastAsia="ar-SA"/>
        </w:rPr>
        <w:drawing>
          <wp:inline distT="0" distB="0" distL="0" distR="0" wp14:anchorId="4D0A8DE4" wp14:editId="65B0B840">
            <wp:extent cx="4152900" cy="7302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730250"/>
                    </a:xfrm>
                    <a:prstGeom prst="rect">
                      <a:avLst/>
                    </a:prstGeom>
                    <a:noFill/>
                    <a:ln>
                      <a:noFill/>
                    </a:ln>
                  </pic:spPr>
                </pic:pic>
              </a:graphicData>
            </a:graphic>
          </wp:inline>
        </w:drawing>
      </w:r>
      <w:r>
        <w:t xml:space="preserve"> </w:t>
      </w:r>
      <w:r>
        <w:rPr>
          <w:rFonts w:asciiTheme="majorHAnsi" w:eastAsiaTheme="majorEastAsia" w:hAnsiTheme="majorHAnsi" w:cstheme="majorBidi"/>
          <w:b/>
          <w:noProof/>
          <w:color w:val="0000DC"/>
          <w:sz w:val="24"/>
          <w:szCs w:val="24"/>
          <w:lang w:eastAsia="ar-SA"/>
        </w:rPr>
        <w:drawing>
          <wp:inline distT="0" distB="0" distL="0" distR="0" wp14:anchorId="28F250A0" wp14:editId="2610532B">
            <wp:extent cx="1346200" cy="895350"/>
            <wp:effectExtent l="0" t="0" r="6350" b="0"/>
            <wp:docPr id="5" name="Obrázek 5" descr="Tomio Okamura - SPD - To je skandální. Evropská komise by chtěla mít  možnost rozhodovat o úpravách krátkodobých klimatických cílů Evropské unie  bez přímého souhlasu členských států a Evropského parlamentu. Počítá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Tomio Okamura - SPD - To je skandální. Evropská komise by chtěla mít  možnost rozhodovat o úpravách krátkodobých klimatických cílů Evropské unie  bez přímého souhlasu členských států a Evropského parlamentu. Počítá 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0" cy="895350"/>
                    </a:xfrm>
                    <a:prstGeom prst="rect">
                      <a:avLst/>
                    </a:prstGeom>
                    <a:noFill/>
                    <a:ln>
                      <a:noFill/>
                    </a:ln>
                  </pic:spPr>
                </pic:pic>
              </a:graphicData>
            </a:graphic>
          </wp:inline>
        </w:drawing>
      </w:r>
    </w:p>
    <w:p w14:paraId="43F40B8C" w14:textId="16C1A7D9" w:rsidR="00842655" w:rsidRDefault="00842655" w:rsidP="00842655">
      <w:pPr>
        <w:jc w:val="center"/>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noProof/>
          <w:color w:val="0000DC"/>
          <w:sz w:val="40"/>
          <w:szCs w:val="40"/>
          <w:lang w:eastAsia="ar-SA"/>
        </w:rPr>
        <w:drawing>
          <wp:inline distT="0" distB="0" distL="0" distR="0" wp14:anchorId="730BDA12" wp14:editId="58AD9889">
            <wp:extent cx="4241800" cy="254000"/>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1800" cy="254000"/>
                    </a:xfrm>
                    <a:prstGeom prst="rect">
                      <a:avLst/>
                    </a:prstGeom>
                    <a:noFill/>
                    <a:ln>
                      <a:noFill/>
                    </a:ln>
                  </pic:spPr>
                </pic:pic>
              </a:graphicData>
            </a:graphic>
          </wp:inline>
        </w:drawing>
      </w:r>
    </w:p>
    <w:p w14:paraId="046BCCF5" w14:textId="1DF6DC84" w:rsidR="00842655" w:rsidRDefault="00842655" w:rsidP="00842655">
      <w:pPr>
        <w:jc w:val="left"/>
        <w:rPr>
          <w:rFonts w:asciiTheme="majorHAnsi" w:eastAsiaTheme="majorEastAsia" w:hAnsiTheme="majorHAnsi" w:cstheme="majorBidi"/>
          <w:bCs/>
          <w:color w:val="0000DC"/>
          <w:sz w:val="24"/>
          <w:szCs w:val="24"/>
          <w:lang w:eastAsia="ar-SA"/>
        </w:rPr>
      </w:pPr>
      <w:r>
        <w:rPr>
          <w:rFonts w:asciiTheme="majorHAnsi" w:eastAsiaTheme="majorEastAsia" w:hAnsiTheme="majorHAnsi" w:cstheme="majorBidi"/>
          <w:bCs/>
          <w:color w:val="0000DC"/>
          <w:sz w:val="24"/>
          <w:szCs w:val="24"/>
          <w:lang w:eastAsia="ar-SA"/>
        </w:rPr>
        <w:t xml:space="preserve">Brainstorming </w:t>
      </w:r>
      <w:r w:rsidR="00963490">
        <w:rPr>
          <w:rFonts w:asciiTheme="majorHAnsi" w:eastAsiaTheme="majorEastAsia" w:hAnsiTheme="majorHAnsi" w:cstheme="majorBidi"/>
          <w:bCs/>
          <w:color w:val="0000DC"/>
          <w:sz w:val="24"/>
          <w:szCs w:val="24"/>
          <w:lang w:eastAsia="ar-SA"/>
        </w:rPr>
        <w:t>k právu EU</w:t>
      </w:r>
    </w:p>
    <w:p w14:paraId="36A29757" w14:textId="77777777" w:rsidR="00842655" w:rsidRDefault="00842655" w:rsidP="00842655">
      <w:pPr>
        <w:pStyle w:val="Odstavecseseznamem"/>
        <w:numPr>
          <w:ilvl w:val="0"/>
          <w:numId w:val="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Zamyslete se nad tím, zda znáte nějaký unijní právní předpis, se kterým jste se setkali v běžném životě a který ovlivňuje Váš každodenní život.</w:t>
      </w:r>
    </w:p>
    <w:p w14:paraId="1694B143" w14:textId="77777777" w:rsidR="00842655" w:rsidRDefault="00842655" w:rsidP="00842655">
      <w:pPr>
        <w:pStyle w:val="Odstavecseseznamem"/>
        <w:numPr>
          <w:ilvl w:val="0"/>
          <w:numId w:val="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Jaké mohou být výhody a nevýhody toho, že nějakou oblast upravuje (reguluje) Evropská unie a nikoliv její členské státy samostatně?</w:t>
      </w:r>
    </w:p>
    <w:p w14:paraId="616103D8" w14:textId="77777777" w:rsidR="00842655" w:rsidRDefault="00842655" w:rsidP="00842655">
      <w:pPr>
        <w:pStyle w:val="Odstavecseseznamem"/>
        <w:numPr>
          <w:ilvl w:val="0"/>
          <w:numId w:val="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Jeden český politik pravidelně prohlašuje výrok </w:t>
      </w:r>
      <w:r>
        <w:rPr>
          <w:rFonts w:asciiTheme="majorHAnsi" w:eastAsiaTheme="majorEastAsia" w:hAnsiTheme="majorHAnsi" w:cstheme="majorBidi"/>
          <w:bCs/>
          <w:i/>
          <w:iCs/>
          <w:sz w:val="22"/>
          <w:lang w:eastAsia="ar-SA"/>
        </w:rPr>
        <w:t>„Stop diktátu z Bruselu.“</w:t>
      </w:r>
      <w:r>
        <w:rPr>
          <w:rFonts w:asciiTheme="majorHAnsi" w:eastAsiaTheme="majorEastAsia" w:hAnsiTheme="majorHAnsi" w:cstheme="majorBidi"/>
          <w:bCs/>
          <w:sz w:val="22"/>
          <w:lang w:eastAsia="ar-SA"/>
        </w:rPr>
        <w:t xml:space="preserve"> Jak tomuto výroku rozumíte? Jedná se skutečně o diktát z Bruselu? Může být na tomto výroku něco pravdy? „Diktuje“ skutečně EU něco členským státům?</w:t>
      </w:r>
    </w:p>
    <w:p w14:paraId="61DD71A0" w14:textId="77777777" w:rsidR="00842655" w:rsidRDefault="00842655" w:rsidP="00842655">
      <w:pPr>
        <w:pStyle w:val="Odstavecseseznamem"/>
        <w:numPr>
          <w:ilvl w:val="0"/>
          <w:numId w:val="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Proč EU může regulovat například oblast spotřebitele (spotřebitelem jste Vy, když si například něco kupujete v obchodě) nebo oblast zemědělství či hospodářské soutěže a nemůže regulovat například oblast průmyslu či sportu?  </w:t>
      </w:r>
    </w:p>
    <w:p w14:paraId="075CE025" w14:textId="77777777" w:rsidR="00842655" w:rsidRDefault="00842655" w:rsidP="00842655">
      <w:pPr>
        <w:jc w:val="left"/>
        <w:rPr>
          <w:rFonts w:asciiTheme="majorHAnsi" w:eastAsiaTheme="majorEastAsia" w:hAnsiTheme="majorHAnsi" w:cstheme="majorBidi"/>
          <w:bCs/>
          <w:color w:val="0000DC"/>
          <w:sz w:val="24"/>
          <w:szCs w:val="24"/>
          <w:lang w:eastAsia="ar-SA"/>
        </w:rPr>
      </w:pPr>
      <w:r>
        <w:rPr>
          <w:rFonts w:asciiTheme="majorHAnsi" w:eastAsiaTheme="majorEastAsia" w:hAnsiTheme="majorHAnsi" w:cstheme="majorBidi"/>
          <w:bCs/>
          <w:color w:val="0000DC"/>
          <w:sz w:val="24"/>
          <w:szCs w:val="24"/>
          <w:lang w:eastAsia="ar-SA"/>
        </w:rPr>
        <w:lastRenderedPageBreak/>
        <w:t>Teoretické otázky</w:t>
      </w:r>
    </w:p>
    <w:p w14:paraId="110F96D4" w14:textId="77777777" w:rsidR="00842655" w:rsidRDefault="00842655" w:rsidP="00842655">
      <w:pPr>
        <w:pStyle w:val="Odstavecseseznamem"/>
        <w:numPr>
          <w:ilvl w:val="0"/>
          <w:numId w:val="10"/>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Co si představíte pod pojmem právo EU? Co rozumíte pod pojmem primární a sekundární právo EU?</w:t>
      </w:r>
    </w:p>
    <w:p w14:paraId="1E19FD03" w14:textId="77777777" w:rsidR="00842655" w:rsidRDefault="00842655" w:rsidP="00842655">
      <w:pPr>
        <w:pStyle w:val="Odstavecseseznamem"/>
        <w:numPr>
          <w:ilvl w:val="0"/>
          <w:numId w:val="10"/>
        </w:numPr>
        <w:rPr>
          <w:rFonts w:asciiTheme="majorHAnsi" w:eastAsiaTheme="majorEastAsia" w:hAnsiTheme="majorHAnsi" w:cstheme="majorBidi"/>
          <w:bCs/>
          <w:color w:val="0000DC"/>
          <w:sz w:val="24"/>
          <w:szCs w:val="24"/>
          <w:lang w:eastAsia="ar-SA"/>
        </w:rPr>
      </w:pPr>
      <w:r>
        <w:rPr>
          <w:rFonts w:asciiTheme="majorHAnsi" w:eastAsiaTheme="majorEastAsia" w:hAnsiTheme="majorHAnsi" w:cstheme="majorBidi"/>
          <w:bCs/>
          <w:sz w:val="22"/>
          <w:lang w:eastAsia="ar-SA"/>
        </w:rPr>
        <w:t xml:space="preserve">Z následujícího textu zkuste odpovědět otázky položené níže. Jedná se o znění článku 288 Smlouvy o fungování Evropské unie a týká se tzv. sekundárních pramenů práva.  </w:t>
      </w:r>
    </w:p>
    <w:p w14:paraId="660C2631" w14:textId="7D3093FB" w:rsidR="00842655" w:rsidRDefault="00842655" w:rsidP="00842655">
      <w:pPr>
        <w:jc w:val="center"/>
        <w:rPr>
          <w:rFonts w:asciiTheme="majorHAnsi" w:eastAsiaTheme="majorEastAsia" w:hAnsiTheme="majorHAnsi" w:cstheme="majorBidi"/>
          <w:bCs/>
          <w:color w:val="0000DC"/>
          <w:sz w:val="24"/>
          <w:szCs w:val="24"/>
          <w:lang w:eastAsia="ar-SA"/>
        </w:rPr>
      </w:pPr>
      <w:r>
        <w:rPr>
          <w:noProof/>
        </w:rPr>
        <w:drawing>
          <wp:anchor distT="0" distB="0" distL="114300" distR="114300" simplePos="0" relativeHeight="251662336" behindDoc="0" locked="0" layoutInCell="1" allowOverlap="1" wp14:anchorId="0CA284C5" wp14:editId="1E389ECB">
            <wp:simplePos x="0" y="0"/>
            <wp:positionH relativeFrom="column">
              <wp:posOffset>532765</wp:posOffset>
            </wp:positionH>
            <wp:positionV relativeFrom="paragraph">
              <wp:posOffset>3357245</wp:posOffset>
            </wp:positionV>
            <wp:extent cx="5171440" cy="944880"/>
            <wp:effectExtent l="0" t="0" r="0" b="762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1440" cy="94488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0000DC"/>
          <w:sz w:val="24"/>
          <w:szCs w:val="24"/>
          <w:lang w:eastAsia="ar-SA"/>
        </w:rPr>
        <w:drawing>
          <wp:inline distT="0" distB="0" distL="0" distR="0" wp14:anchorId="28B9DD7A" wp14:editId="26ADF366">
            <wp:extent cx="4349750" cy="3359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9750" cy="3359150"/>
                    </a:xfrm>
                    <a:prstGeom prst="rect">
                      <a:avLst/>
                    </a:prstGeom>
                    <a:noFill/>
                    <a:ln>
                      <a:noFill/>
                    </a:ln>
                  </pic:spPr>
                </pic:pic>
              </a:graphicData>
            </a:graphic>
          </wp:inline>
        </w:drawing>
      </w:r>
    </w:p>
    <w:p w14:paraId="7B22184A" w14:textId="77777777" w:rsidR="00842655" w:rsidRDefault="00842655" w:rsidP="00842655">
      <w:pPr>
        <w:pStyle w:val="Odstavecseseznamem"/>
        <w:numPr>
          <w:ilvl w:val="0"/>
          <w:numId w:val="0"/>
        </w:numPr>
        <w:ind w:left="720"/>
        <w:rPr>
          <w:rFonts w:asciiTheme="majorHAnsi" w:eastAsiaTheme="majorEastAsia" w:hAnsiTheme="majorHAnsi" w:cstheme="majorBidi"/>
          <w:b/>
          <w:color w:val="0000DC"/>
          <w:sz w:val="22"/>
          <w:lang w:eastAsia="ar-SA"/>
        </w:rPr>
      </w:pPr>
    </w:p>
    <w:p w14:paraId="660ABDB3" w14:textId="77777777" w:rsidR="00842655" w:rsidRDefault="00842655" w:rsidP="00842655">
      <w:pPr>
        <w:rPr>
          <w:rFonts w:asciiTheme="majorHAnsi" w:eastAsiaTheme="majorEastAsia" w:hAnsiTheme="majorHAnsi" w:cstheme="majorBidi"/>
          <w:b/>
          <w:color w:val="0000DC"/>
          <w:sz w:val="22"/>
          <w:lang w:eastAsia="ar-SA"/>
        </w:rPr>
      </w:pPr>
    </w:p>
    <w:p w14:paraId="451C6EBE" w14:textId="77777777" w:rsidR="00842655" w:rsidRDefault="00842655" w:rsidP="00842655">
      <w:pPr>
        <w:rPr>
          <w:rFonts w:asciiTheme="majorHAnsi" w:eastAsiaTheme="majorEastAsia" w:hAnsiTheme="majorHAnsi" w:cstheme="majorBidi"/>
          <w:b/>
          <w:color w:val="0000DC"/>
          <w:sz w:val="22"/>
          <w:lang w:eastAsia="ar-SA"/>
        </w:rPr>
      </w:pPr>
    </w:p>
    <w:p w14:paraId="6ED14C62" w14:textId="77777777" w:rsidR="00842655" w:rsidRDefault="00842655" w:rsidP="00842655">
      <w:pPr>
        <w:pStyle w:val="Odstavecseseznamem"/>
        <w:numPr>
          <w:ilvl w:val="0"/>
          <w:numId w:val="0"/>
        </w:numPr>
        <w:ind w:left="720"/>
        <w:jc w:val="both"/>
        <w:rPr>
          <w:rFonts w:asciiTheme="majorHAnsi" w:eastAsiaTheme="majorEastAsia" w:hAnsiTheme="majorHAnsi" w:cstheme="majorBidi"/>
          <w:b/>
          <w:color w:val="0000DC"/>
          <w:sz w:val="22"/>
          <w:lang w:eastAsia="ar-SA"/>
        </w:rPr>
      </w:pPr>
    </w:p>
    <w:p w14:paraId="6E6C31E0" w14:textId="77777777" w:rsidR="00842655" w:rsidRDefault="00842655" w:rsidP="00842655">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Jaké druhy legislativních aktů mohou orgány EU přijímat pro výkon pravomocí?</w:t>
      </w:r>
    </w:p>
    <w:p w14:paraId="47C25C54" w14:textId="77777777" w:rsidR="00842655" w:rsidRDefault="00842655" w:rsidP="00842655">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Kterými z nich se nemusí členské státy řídit? </w:t>
      </w:r>
    </w:p>
    <w:p w14:paraId="065CE965" w14:textId="77777777" w:rsidR="00842655" w:rsidRDefault="00842655" w:rsidP="00842655">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V jakých jazycích se vydávají legislativní akty, zejména nařízení? (Vyjděte z obrázku pod textem).</w:t>
      </w:r>
    </w:p>
    <w:p w14:paraId="35728A3B" w14:textId="77777777" w:rsidR="00842655" w:rsidRDefault="00842655" w:rsidP="00842655">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Kde se legislativní akty publikují? (Dovoďte z přiloženého printscreenu textu). </w:t>
      </w:r>
    </w:p>
    <w:p w14:paraId="062DB84D" w14:textId="77777777" w:rsidR="00842655" w:rsidRDefault="00842655" w:rsidP="00842655">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Jak byste popsali základní rozdíl mezi nařízením a směrnicí? Zkuste rozdílů najít co nejvíce z uvedeného textu. </w:t>
      </w:r>
    </w:p>
    <w:p w14:paraId="230424A9" w14:textId="77777777" w:rsidR="00842655" w:rsidRDefault="00842655" w:rsidP="00842655">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Pokuste se také vymezit rozdíl mezi nařízením a rozhodnutím na základě textu. </w:t>
      </w:r>
    </w:p>
    <w:p w14:paraId="70FF3432" w14:textId="77777777" w:rsidR="00842655" w:rsidRDefault="00842655" w:rsidP="00842655">
      <w:pPr>
        <w:pStyle w:val="Odstavecseseznamem"/>
        <w:numPr>
          <w:ilvl w:val="0"/>
          <w:numId w:val="0"/>
        </w:numPr>
        <w:ind w:left="720"/>
        <w:jc w:val="both"/>
        <w:rPr>
          <w:rFonts w:asciiTheme="majorHAnsi" w:eastAsiaTheme="majorEastAsia" w:hAnsiTheme="majorHAnsi" w:cstheme="majorBidi"/>
          <w:b/>
          <w:color w:val="0000DC"/>
          <w:sz w:val="22"/>
          <w:lang w:eastAsia="ar-SA"/>
        </w:rPr>
      </w:pPr>
    </w:p>
    <w:p w14:paraId="098242FA" w14:textId="77777777" w:rsidR="00842655" w:rsidRDefault="00842655" w:rsidP="00842655">
      <w:pPr>
        <w:pStyle w:val="Odstavecseseznamem"/>
        <w:numPr>
          <w:ilvl w:val="0"/>
          <w:numId w:val="12"/>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Co rozumíte pod pojmy pravomoc či kompetence EU? Zkuste na základě selského rozumu svými slovy popsat, co si představíte pod termíny výlučná pravomoc, sdílená pravomoc a podpůrná pravomoc. </w:t>
      </w:r>
    </w:p>
    <w:p w14:paraId="65501802" w14:textId="51F16922" w:rsidR="00842655" w:rsidRDefault="00842655" w:rsidP="00842655">
      <w:pPr>
        <w:rPr>
          <w:rFonts w:asciiTheme="majorHAnsi" w:eastAsiaTheme="majorEastAsia" w:hAnsiTheme="majorHAnsi" w:cstheme="majorBidi"/>
          <w:b/>
          <w:sz w:val="24"/>
          <w:szCs w:val="24"/>
          <w:lang w:eastAsia="ar-SA"/>
        </w:rPr>
      </w:pPr>
      <w:r>
        <w:rPr>
          <w:noProof/>
        </w:rPr>
        <mc:AlternateContent>
          <mc:Choice Requires="wps">
            <w:drawing>
              <wp:anchor distT="0" distB="0" distL="114300" distR="114300" simplePos="0" relativeHeight="251661312" behindDoc="0" locked="0" layoutInCell="1" allowOverlap="1" wp14:anchorId="51CC441F" wp14:editId="47F0DF8E">
                <wp:simplePos x="0" y="0"/>
                <wp:positionH relativeFrom="margin">
                  <wp:align>right</wp:align>
                </wp:positionH>
                <wp:positionV relativeFrom="paragraph">
                  <wp:posOffset>5080</wp:posOffset>
                </wp:positionV>
                <wp:extent cx="5372100" cy="1016000"/>
                <wp:effectExtent l="0" t="0" r="19050" b="12700"/>
                <wp:wrapNone/>
                <wp:docPr id="13" name="Obdélník 1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72100" cy="1016000"/>
                        </a:xfrm>
                        <a:prstGeom prst="rect">
                          <a:avLst/>
                        </a:prstGeom>
                        <a:solidFill>
                          <a:schemeClr val="accent2">
                            <a:lumMod val="20000"/>
                            <a:lumOff val="80000"/>
                          </a:schemeClr>
                        </a:solidFill>
                        <a:ln>
                          <a:solidFill>
                            <a:srgbClr val="C00000"/>
                          </a:solidFill>
                        </a:ln>
                      </wps:spPr>
                      <wps:txbx>
                        <w:txbxContent>
                          <w:p w14:paraId="24C30C67"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Unie má </w:t>
                            </w:r>
                            <w:r>
                              <w:rPr>
                                <w:rFonts w:asciiTheme="majorHAnsi" w:hAnsiTheme="majorHAnsi" w:cstheme="majorHAnsi"/>
                                <w:b/>
                                <w:bCs/>
                                <w:i/>
                                <w:iCs/>
                                <w:color w:val="000000" w:themeColor="text1"/>
                                <w:sz w:val="22"/>
                              </w:rPr>
                              <w:t>výlučnou pravomoc</w:t>
                            </w:r>
                            <w:r>
                              <w:rPr>
                                <w:rFonts w:asciiTheme="majorHAnsi" w:hAnsiTheme="majorHAnsi" w:cstheme="majorHAnsi"/>
                                <w:i/>
                                <w:iCs/>
                                <w:color w:val="000000" w:themeColor="text1"/>
                                <w:sz w:val="22"/>
                              </w:rPr>
                              <w:t xml:space="preserve"> v těchto oblastech: </w:t>
                            </w:r>
                          </w:p>
                          <w:p w14:paraId="69BF9392"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a) celní unie; </w:t>
                            </w:r>
                          </w:p>
                          <w:p w14:paraId="758D452B"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b) stanovení pravidel hospodářské soutěže nezbytných pro fungování vnitřního trhu; </w:t>
                            </w:r>
                          </w:p>
                          <w:p w14:paraId="47A3697F"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c) měnová politika pro členské státy, jejichž měnou je euro; </w:t>
                            </w:r>
                          </w:p>
                          <w:p w14:paraId="6313161C"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d) zachování biologických mořských zdrojů v rámci společné rybářské politiky; </w:t>
                            </w:r>
                          </w:p>
                          <w:p w14:paraId="6E441C5E" w14:textId="77777777" w:rsidR="00842655" w:rsidRDefault="00842655" w:rsidP="00842655">
                            <w:pPr>
                              <w:spacing w:line="240" w:lineRule="auto"/>
                              <w:ind w:left="115"/>
                              <w:textAlignment w:val="baseline"/>
                              <w:rPr>
                                <w:rFonts w:asciiTheme="minorHAnsi" w:cstheme="minorBidi"/>
                                <w:i/>
                                <w:iCs/>
                                <w:color w:val="000000" w:themeColor="text1"/>
                                <w:sz w:val="24"/>
                                <w:szCs w:val="24"/>
                              </w:rPr>
                            </w:pPr>
                            <w:r>
                              <w:rPr>
                                <w:rFonts w:asciiTheme="majorHAnsi" w:hAnsiTheme="majorHAnsi" w:cstheme="majorHAnsi"/>
                                <w:i/>
                                <w:iCs/>
                                <w:color w:val="000000" w:themeColor="text1"/>
                                <w:sz w:val="22"/>
                              </w:rPr>
                              <w:t>e) společná obchodní politika</w:t>
                            </w:r>
                            <w:r>
                              <w:rPr>
                                <w:rFonts w:asciiTheme="minorHAnsi" w:cstheme="minorBidi"/>
                                <w:i/>
                                <w:iCs/>
                                <w:color w:val="000000" w:themeColor="text1"/>
                                <w:sz w:val="24"/>
                                <w:szCs w:val="24"/>
                              </w:rPr>
                              <w:t>.</w:t>
                            </w:r>
                          </w:p>
                        </w:txbxContent>
                      </wps:txbx>
                      <wps:bodyPr vertOverflow="clip" horzOverflow="clip"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1CC441F" id="Obdélník 13" o:spid="_x0000_s1026" style="position:absolute;left:0;text-align:left;margin-left:371.8pt;margin-top:.4pt;width:423pt;height:8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" fillcolor="#f2dbdb [661]" strokecolor="#c00000">
                <v:path arrowok="t"/>
                <o:lock v:ext="edit" grouping="t"/>
                <v:textbox inset="0,0,0,0">
                  <w:txbxContent>
                    <w:p w14:paraId="24C30C67"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Unie má </w:t>
                      </w:r>
                      <w:r>
                        <w:rPr>
                          <w:rFonts w:asciiTheme="majorHAnsi" w:hAnsiTheme="majorHAnsi" w:cstheme="majorHAnsi"/>
                          <w:b/>
                          <w:bCs/>
                          <w:i/>
                          <w:iCs/>
                          <w:color w:val="000000" w:themeColor="text1"/>
                          <w:sz w:val="22"/>
                        </w:rPr>
                        <w:t>výlučnou pravomoc</w:t>
                      </w:r>
                      <w:r>
                        <w:rPr>
                          <w:rFonts w:asciiTheme="majorHAnsi" w:hAnsiTheme="majorHAnsi" w:cstheme="majorHAnsi"/>
                          <w:i/>
                          <w:iCs/>
                          <w:color w:val="000000" w:themeColor="text1"/>
                          <w:sz w:val="22"/>
                        </w:rPr>
                        <w:t xml:space="preserve"> v těchto oblastech: </w:t>
                      </w:r>
                    </w:p>
                    <w:p w14:paraId="69BF9392"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a) celní unie; </w:t>
                      </w:r>
                    </w:p>
                    <w:p w14:paraId="758D452B"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b) stanovení pravidel hospodářské soutěže nezbytných pro fungování vnitřního trhu; </w:t>
                      </w:r>
                    </w:p>
                    <w:p w14:paraId="47A3697F"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c) měnová politika pro členské státy, jejichž měnou je euro; </w:t>
                      </w:r>
                    </w:p>
                    <w:p w14:paraId="6313161C" w14:textId="77777777" w:rsidR="00842655" w:rsidRDefault="00842655" w:rsidP="00842655">
                      <w:pPr>
                        <w:spacing w:after="0" w:line="240" w:lineRule="auto"/>
                        <w:ind w:left="115"/>
                        <w:textAlignment w:val="baseline"/>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 xml:space="preserve">d) zachování biologických mořských zdrojů v rámci společné rybářské politiky; </w:t>
                      </w:r>
                    </w:p>
                    <w:p w14:paraId="6E441C5E" w14:textId="77777777" w:rsidR="00842655" w:rsidRDefault="00842655" w:rsidP="00842655">
                      <w:pPr>
                        <w:spacing w:line="240" w:lineRule="auto"/>
                        <w:ind w:left="115"/>
                        <w:textAlignment w:val="baseline"/>
                        <w:rPr>
                          <w:rFonts w:asciiTheme="minorHAnsi" w:cstheme="minorBidi"/>
                          <w:i/>
                          <w:iCs/>
                          <w:color w:val="000000" w:themeColor="text1"/>
                          <w:sz w:val="24"/>
                          <w:szCs w:val="24"/>
                        </w:rPr>
                      </w:pPr>
                      <w:r>
                        <w:rPr>
                          <w:rFonts w:asciiTheme="majorHAnsi" w:hAnsiTheme="majorHAnsi" w:cstheme="majorHAnsi"/>
                          <w:i/>
                          <w:iCs/>
                          <w:color w:val="000000" w:themeColor="text1"/>
                          <w:sz w:val="22"/>
                        </w:rPr>
                        <w:t>e) společná obchodní politika</w:t>
                      </w:r>
                      <w:r>
                        <w:rPr>
                          <w:rFonts w:asciiTheme="minorHAnsi" w:cstheme="minorBidi"/>
                          <w:i/>
                          <w:iCs/>
                          <w:color w:val="000000" w:themeColor="text1"/>
                          <w:sz w:val="24"/>
                          <w:szCs w:val="24"/>
                        </w:rPr>
                        <w:t>.</w:t>
                      </w:r>
                    </w:p>
                  </w:txbxContent>
                </v:textbox>
                <w10:wrap anchorx="margin"/>
              </v:rect>
            </w:pict>
          </mc:Fallback>
        </mc:AlternateContent>
      </w:r>
    </w:p>
    <w:p w14:paraId="4CB5DE7D" w14:textId="77777777" w:rsidR="00842655" w:rsidRDefault="00842655" w:rsidP="00842655">
      <w:pPr>
        <w:rPr>
          <w:rFonts w:asciiTheme="majorHAnsi" w:eastAsiaTheme="majorEastAsia" w:hAnsiTheme="majorHAnsi" w:cstheme="majorBidi"/>
          <w:b/>
          <w:sz w:val="24"/>
          <w:szCs w:val="24"/>
          <w:lang w:eastAsia="ar-SA"/>
        </w:rPr>
      </w:pPr>
    </w:p>
    <w:p w14:paraId="78255279" w14:textId="77777777" w:rsidR="00842655" w:rsidRDefault="00842655" w:rsidP="00842655">
      <w:pPr>
        <w:rPr>
          <w:rFonts w:asciiTheme="majorHAnsi" w:eastAsiaTheme="majorEastAsia" w:hAnsiTheme="majorHAnsi" w:cstheme="majorBidi"/>
          <w:b/>
          <w:sz w:val="24"/>
          <w:szCs w:val="24"/>
          <w:lang w:eastAsia="ar-SA"/>
        </w:rPr>
      </w:pPr>
    </w:p>
    <w:p w14:paraId="4AD9EFD5" w14:textId="2C1D0A32" w:rsidR="00842655" w:rsidRDefault="00842655" w:rsidP="00842655">
      <w:pPr>
        <w:rPr>
          <w:rFonts w:asciiTheme="majorHAnsi" w:eastAsiaTheme="majorEastAsia" w:hAnsiTheme="majorHAnsi" w:cstheme="majorBidi"/>
          <w:b/>
          <w:sz w:val="24"/>
          <w:szCs w:val="24"/>
          <w:lang w:eastAsia="ar-SA"/>
        </w:rPr>
      </w:pPr>
    </w:p>
    <w:p w14:paraId="25D28C3B" w14:textId="52F8B8F9"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195A82B6" w14:textId="5F6D2191"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r>
        <w:rPr>
          <w:noProof/>
        </w:rPr>
        <w:lastRenderedPageBreak/>
        <mc:AlternateContent>
          <mc:Choice Requires="wps">
            <w:drawing>
              <wp:anchor distT="0" distB="0" distL="114300" distR="114300" simplePos="0" relativeHeight="251663360" behindDoc="0" locked="0" layoutInCell="1" allowOverlap="1" wp14:anchorId="245E28D6" wp14:editId="384F289F">
                <wp:simplePos x="0" y="0"/>
                <wp:positionH relativeFrom="margin">
                  <wp:posOffset>345440</wp:posOffset>
                </wp:positionH>
                <wp:positionV relativeFrom="paragraph">
                  <wp:posOffset>-622935</wp:posOffset>
                </wp:positionV>
                <wp:extent cx="5346700" cy="2197100"/>
                <wp:effectExtent l="0" t="0" r="25400" b="1270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0" cy="2197100"/>
                        </a:xfrm>
                        <a:prstGeom prst="rect">
                          <a:avLst/>
                        </a:prstGeom>
                        <a:solidFill>
                          <a:schemeClr val="accent2">
                            <a:lumMod val="60000"/>
                            <a:lumOff val="40000"/>
                          </a:schemeClr>
                        </a:solidFill>
                        <a:ln>
                          <a:solidFill>
                            <a:srgbClr val="C00000"/>
                          </a:solidFill>
                        </a:ln>
                      </wps:spPr>
                      <wps:txbx>
                        <w:txbxContent>
                          <w:p w14:paraId="3544F785" w14:textId="77777777" w:rsidR="00842655" w:rsidRDefault="00842655" w:rsidP="00842655">
                            <w:pPr>
                              <w:spacing w:after="0"/>
                              <w:ind w:left="115"/>
                              <w:textAlignment w:val="baseline"/>
                              <w:rPr>
                                <w:rFonts w:asciiTheme="majorHAnsi" w:hAnsiTheme="majorHAnsi" w:cstheme="majorHAnsi"/>
                                <w:i/>
                                <w:iCs/>
                                <w:color w:val="000000" w:themeColor="text1"/>
                                <w:kern w:val="24"/>
                                <w:sz w:val="22"/>
                              </w:rPr>
                            </w:pPr>
                            <w:r>
                              <w:rPr>
                                <w:rFonts w:asciiTheme="majorHAnsi" w:hAnsiTheme="majorHAnsi" w:cstheme="majorHAnsi"/>
                                <w:b/>
                                <w:bCs/>
                                <w:i/>
                                <w:iCs/>
                                <w:color w:val="000000" w:themeColor="text1"/>
                                <w:kern w:val="24"/>
                                <w:sz w:val="22"/>
                              </w:rPr>
                              <w:t>Sdílená pravomoc</w:t>
                            </w:r>
                            <w:r>
                              <w:rPr>
                                <w:rFonts w:asciiTheme="majorHAnsi" w:hAnsiTheme="majorHAnsi" w:cstheme="majorHAnsi"/>
                                <w:i/>
                                <w:iCs/>
                                <w:color w:val="000000" w:themeColor="text1"/>
                                <w:kern w:val="24"/>
                                <w:sz w:val="22"/>
                              </w:rPr>
                              <w:t xml:space="preserve"> Unie a členských států se uplatňuje v těchto hlavních oblastech: </w:t>
                            </w:r>
                          </w:p>
                          <w:p w14:paraId="31D86735"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vnitřní trh; </w:t>
                            </w:r>
                          </w:p>
                          <w:p w14:paraId="55FC3771"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sociální politika, pokud jde o hlediska vymezená v této smlouvě; </w:t>
                            </w:r>
                          </w:p>
                          <w:p w14:paraId="47E7C610"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hospodářská, sociální a územní soudržnost; </w:t>
                            </w:r>
                          </w:p>
                          <w:p w14:paraId="21A62FC0"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zemědělství a rybolov, vyjma zachování biologických mořských zdrojů; </w:t>
                            </w:r>
                          </w:p>
                          <w:p w14:paraId="7F82ADB7"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životní prostředí; </w:t>
                            </w:r>
                          </w:p>
                          <w:p w14:paraId="534F44EF"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ochrana spotřebitele; </w:t>
                            </w:r>
                          </w:p>
                          <w:p w14:paraId="23145D9E"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doprava; </w:t>
                            </w:r>
                          </w:p>
                          <w:p w14:paraId="5F58333D"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4"/>
                                <w:szCs w:val="24"/>
                              </w:rPr>
                              <w:t xml:space="preserve">transevropské sítě; </w:t>
                            </w:r>
                          </w:p>
                          <w:p w14:paraId="55B297E1"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4"/>
                                <w:szCs w:val="24"/>
                              </w:rPr>
                              <w:t xml:space="preserve">energetika; </w:t>
                            </w:r>
                          </w:p>
                          <w:p w14:paraId="3F798215"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4"/>
                                <w:szCs w:val="24"/>
                              </w:rPr>
                              <w:t xml:space="preserve">prostor svobody, bezpečnosti a práva; </w:t>
                            </w:r>
                          </w:p>
                          <w:p w14:paraId="33803652"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4"/>
                                <w:szCs w:val="24"/>
                              </w:rPr>
                              <w:t>společné otázky bezpečnosti v oblasti veřejného zdraví, pokud jde o hlediska vymezená v této smlouvě.</w:t>
                            </w:r>
                          </w:p>
                        </w:txbxContent>
                      </wps:txbx>
                      <wps:bodyPr vertOverflow="clip" horzOverflow="clip"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45E28D6" id="_x0000_t202" coordsize="21600,21600" o:spt="202" path="m,l,21600r21600,l21600,xe">
                <v:stroke joinstyle="miter"/>
                <v:path gradientshapeok="t" o:connecttype="rect"/>
              </v:shapetype>
              <v:shape id="Textové pole 14" o:spid="_x0000_s1027" type="#_x0000_t202" style="position:absolute;left:0;text-align:left;margin-left:27.2pt;margin-top:-49.05pt;width:421pt;height:17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" fillcolor="#d99594 [1941]" strokecolor="#c00000">
                <v:path arrowok="t"/>
                <v:textbox inset="0,0,0,0">
                  <w:txbxContent>
                    <w:p w14:paraId="3544F785" w14:textId="77777777" w:rsidR="00842655" w:rsidRDefault="00842655" w:rsidP="00842655">
                      <w:pPr>
                        <w:spacing w:after="0"/>
                        <w:ind w:left="115"/>
                        <w:textAlignment w:val="baseline"/>
                        <w:rPr>
                          <w:rFonts w:asciiTheme="majorHAnsi" w:hAnsiTheme="majorHAnsi" w:cstheme="majorHAnsi"/>
                          <w:i/>
                          <w:iCs/>
                          <w:color w:val="000000" w:themeColor="text1"/>
                          <w:kern w:val="24"/>
                          <w:sz w:val="22"/>
                        </w:rPr>
                      </w:pPr>
                      <w:r>
                        <w:rPr>
                          <w:rFonts w:asciiTheme="majorHAnsi" w:hAnsiTheme="majorHAnsi" w:cstheme="majorHAnsi"/>
                          <w:b/>
                          <w:bCs/>
                          <w:i/>
                          <w:iCs/>
                          <w:color w:val="000000" w:themeColor="text1"/>
                          <w:kern w:val="24"/>
                          <w:sz w:val="22"/>
                        </w:rPr>
                        <w:t>Sdílená pravomoc</w:t>
                      </w:r>
                      <w:r>
                        <w:rPr>
                          <w:rFonts w:asciiTheme="majorHAnsi" w:hAnsiTheme="majorHAnsi" w:cstheme="majorHAnsi"/>
                          <w:i/>
                          <w:iCs/>
                          <w:color w:val="000000" w:themeColor="text1"/>
                          <w:kern w:val="24"/>
                          <w:sz w:val="22"/>
                        </w:rPr>
                        <w:t xml:space="preserve"> Unie a členských států se uplatňuje v těchto hlavních oblastech: </w:t>
                      </w:r>
                    </w:p>
                    <w:p w14:paraId="31D86735"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vnitřní trh; </w:t>
                      </w:r>
                    </w:p>
                    <w:p w14:paraId="55FC3771"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sociální politika, pokud jde o hlediska vymezená v této smlouvě; </w:t>
                      </w:r>
                    </w:p>
                    <w:p w14:paraId="47E7C610"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hospodářská, sociální a územní soudržnost; </w:t>
                      </w:r>
                    </w:p>
                    <w:p w14:paraId="21A62FC0"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zemědělství a rybolov, vyjma zachování biologických mořských zdrojů; </w:t>
                      </w:r>
                    </w:p>
                    <w:p w14:paraId="7F82ADB7"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životní prostředí; </w:t>
                      </w:r>
                    </w:p>
                    <w:p w14:paraId="534F44EF"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ochrana spotřebitele; </w:t>
                      </w:r>
                    </w:p>
                    <w:p w14:paraId="23145D9E"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doprava; </w:t>
                      </w:r>
                    </w:p>
                    <w:p w14:paraId="5F58333D"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4"/>
                          <w:szCs w:val="24"/>
                        </w:rPr>
                        <w:t xml:space="preserve">transevropské sítě; </w:t>
                      </w:r>
                    </w:p>
                    <w:p w14:paraId="55B297E1"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4"/>
                          <w:szCs w:val="24"/>
                        </w:rPr>
                        <w:t xml:space="preserve">energetika; </w:t>
                      </w:r>
                    </w:p>
                    <w:p w14:paraId="3F798215"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4"/>
                          <w:szCs w:val="24"/>
                        </w:rPr>
                        <w:t xml:space="preserve">prostor svobody, bezpečnosti a práva; </w:t>
                      </w:r>
                    </w:p>
                    <w:p w14:paraId="33803652" w14:textId="77777777" w:rsidR="00842655" w:rsidRDefault="00842655" w:rsidP="00842655">
                      <w:pPr>
                        <w:pStyle w:val="Odstavecseseznamem"/>
                        <w:numPr>
                          <w:ilvl w:val="0"/>
                          <w:numId w:val="13"/>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4"/>
                          <w:szCs w:val="24"/>
                        </w:rPr>
                        <w:t>společné otázky bezpečnosti v oblasti veřejného zdraví, pokud jde o hlediska vymezená v této smlouvě.</w:t>
                      </w:r>
                    </w:p>
                  </w:txbxContent>
                </v:textbox>
                <w10:wrap anchorx="margin"/>
              </v:shape>
            </w:pict>
          </mc:Fallback>
        </mc:AlternateContent>
      </w:r>
    </w:p>
    <w:p w14:paraId="40553A56" w14:textId="5CA550B5"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20ABD441" w14:textId="77777777"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7AFA8160" w14:textId="5D08F938"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77422FD1" w14:textId="77777777"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41314D27" w14:textId="5BA0DA5E"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1B699E1F" w14:textId="77777777"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3DE3D3A5" w14:textId="64C47E37"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683B263F" w14:textId="5FA95F9C"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40373FC4" w14:textId="5BDA00B3"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229605DE" w14:textId="562AF648"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706BC9F2" w14:textId="355B262D"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r>
        <w:rPr>
          <w:noProof/>
        </w:rPr>
        <mc:AlternateContent>
          <mc:Choice Requires="wps">
            <w:drawing>
              <wp:anchor distT="0" distB="0" distL="114300" distR="114300" simplePos="0" relativeHeight="251664384" behindDoc="0" locked="0" layoutInCell="1" allowOverlap="1" wp14:anchorId="4B516FD6" wp14:editId="7125B9E5">
                <wp:simplePos x="0" y="0"/>
                <wp:positionH relativeFrom="margin">
                  <wp:posOffset>354330</wp:posOffset>
                </wp:positionH>
                <wp:positionV relativeFrom="paragraph">
                  <wp:posOffset>3810</wp:posOffset>
                </wp:positionV>
                <wp:extent cx="5346700" cy="1549400"/>
                <wp:effectExtent l="0" t="0" r="25400" b="1270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0" cy="1549400"/>
                        </a:xfrm>
                        <a:prstGeom prst="rect">
                          <a:avLst/>
                        </a:prstGeom>
                        <a:solidFill>
                          <a:schemeClr val="accent2">
                            <a:lumMod val="75000"/>
                          </a:schemeClr>
                        </a:solidFill>
                        <a:ln>
                          <a:solidFill>
                            <a:srgbClr val="C00000"/>
                          </a:solidFill>
                        </a:ln>
                      </wps:spPr>
                      <wps:txbx>
                        <w:txbxContent>
                          <w:p w14:paraId="10E9E4B0" w14:textId="77777777" w:rsidR="00842655" w:rsidRDefault="00842655" w:rsidP="00842655">
                            <w:pPr>
                              <w:spacing w:after="0"/>
                              <w:ind w:left="115"/>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Unie má pravomoc provádět činnosti, jimiž </w:t>
                            </w:r>
                            <w:r>
                              <w:rPr>
                                <w:rFonts w:asciiTheme="majorHAnsi" w:hAnsiTheme="majorHAnsi" w:cstheme="majorHAnsi"/>
                                <w:b/>
                                <w:bCs/>
                                <w:i/>
                                <w:iCs/>
                                <w:color w:val="000000" w:themeColor="text1"/>
                                <w:kern w:val="24"/>
                                <w:sz w:val="22"/>
                              </w:rPr>
                              <w:t>podporuje, koordinuje nebo doplňuje</w:t>
                            </w:r>
                            <w:r>
                              <w:rPr>
                                <w:rFonts w:asciiTheme="majorHAnsi" w:hAnsiTheme="majorHAnsi" w:cstheme="majorHAnsi"/>
                                <w:i/>
                                <w:iCs/>
                                <w:color w:val="000000" w:themeColor="text1"/>
                                <w:kern w:val="24"/>
                                <w:sz w:val="22"/>
                              </w:rPr>
                              <w:t xml:space="preserve"> činnosti členských států. Oblasti těchto činností na evropské úrovni jsou: </w:t>
                            </w:r>
                          </w:p>
                          <w:p w14:paraId="77F6F26D"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ochrana a zlepšování lidského zdraví; </w:t>
                            </w:r>
                          </w:p>
                          <w:p w14:paraId="57BF2C2B"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průmysl; </w:t>
                            </w:r>
                          </w:p>
                          <w:p w14:paraId="5C0E4F1A"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kultura; </w:t>
                            </w:r>
                          </w:p>
                          <w:p w14:paraId="2BFD7E59"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cestovní ruch; </w:t>
                            </w:r>
                          </w:p>
                          <w:p w14:paraId="36E4F75F"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všeobecné vzdělávání, odborné vzdělávání, mládež a sport;</w:t>
                            </w:r>
                          </w:p>
                          <w:p w14:paraId="08F2C597"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civilní ochrana; </w:t>
                            </w:r>
                          </w:p>
                          <w:p w14:paraId="6492EFAB"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2"/>
                              </w:rPr>
                              <w:t>správní spolupráce</w:t>
                            </w:r>
                            <w:r>
                              <w:rPr>
                                <w:rFonts w:asciiTheme="majorHAnsi" w:hAnsiTheme="majorHAnsi" w:cstheme="majorHAnsi"/>
                                <w:i/>
                                <w:iCs/>
                                <w:color w:val="000000" w:themeColor="text1"/>
                                <w:kern w:val="24"/>
                                <w:sz w:val="24"/>
                                <w:szCs w:val="24"/>
                              </w:rPr>
                              <w:t>.</w:t>
                            </w:r>
                          </w:p>
                        </w:txbxContent>
                      </wps:txbx>
                      <wps:bodyPr vertOverflow="clip" horzOverflow="clip"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516FD6" id="Textové pole 15" o:spid="_x0000_s1028" type="#_x0000_t202" style="position:absolute;left:0;text-align:left;margin-left:27.9pt;margin-top:.3pt;width:421pt;height:1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" fillcolor="#943634 [2405]" strokecolor="#c00000">
                <v:path arrowok="t"/>
                <v:textbox inset="0,0,0,0">
                  <w:txbxContent>
                    <w:p w14:paraId="10E9E4B0" w14:textId="77777777" w:rsidR="00842655" w:rsidRDefault="00842655" w:rsidP="00842655">
                      <w:pPr>
                        <w:spacing w:after="0"/>
                        <w:ind w:left="115"/>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Unie má pravomoc provádět činnosti, jimiž </w:t>
                      </w:r>
                      <w:r>
                        <w:rPr>
                          <w:rFonts w:asciiTheme="majorHAnsi" w:hAnsiTheme="majorHAnsi" w:cstheme="majorHAnsi"/>
                          <w:b/>
                          <w:bCs/>
                          <w:i/>
                          <w:iCs/>
                          <w:color w:val="000000" w:themeColor="text1"/>
                          <w:kern w:val="24"/>
                          <w:sz w:val="22"/>
                        </w:rPr>
                        <w:t>podporuje, koordinuje nebo doplňuje</w:t>
                      </w:r>
                      <w:r>
                        <w:rPr>
                          <w:rFonts w:asciiTheme="majorHAnsi" w:hAnsiTheme="majorHAnsi" w:cstheme="majorHAnsi"/>
                          <w:i/>
                          <w:iCs/>
                          <w:color w:val="000000" w:themeColor="text1"/>
                          <w:kern w:val="24"/>
                          <w:sz w:val="22"/>
                        </w:rPr>
                        <w:t xml:space="preserve"> činnosti členských států. Oblasti těchto činností na evropské úrovni jsou: </w:t>
                      </w:r>
                    </w:p>
                    <w:p w14:paraId="77F6F26D"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ochrana a zlepšování lidského zdraví; </w:t>
                      </w:r>
                    </w:p>
                    <w:p w14:paraId="57BF2C2B"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průmysl; </w:t>
                      </w:r>
                    </w:p>
                    <w:p w14:paraId="5C0E4F1A"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kultura; </w:t>
                      </w:r>
                    </w:p>
                    <w:p w14:paraId="2BFD7E59"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cestovní ruch; </w:t>
                      </w:r>
                    </w:p>
                    <w:p w14:paraId="36E4F75F"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všeobecné vzdělávání, odborné vzdělávání, mládež a sport;</w:t>
                      </w:r>
                    </w:p>
                    <w:p w14:paraId="08F2C597"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2"/>
                        </w:rPr>
                      </w:pPr>
                      <w:r>
                        <w:rPr>
                          <w:rFonts w:asciiTheme="majorHAnsi" w:hAnsiTheme="majorHAnsi" w:cstheme="majorHAnsi"/>
                          <w:i/>
                          <w:iCs/>
                          <w:color w:val="000000" w:themeColor="text1"/>
                          <w:kern w:val="24"/>
                          <w:sz w:val="22"/>
                        </w:rPr>
                        <w:t xml:space="preserve">civilní ochrana; </w:t>
                      </w:r>
                    </w:p>
                    <w:p w14:paraId="6492EFAB" w14:textId="77777777" w:rsidR="00842655" w:rsidRDefault="00842655" w:rsidP="00842655">
                      <w:pPr>
                        <w:pStyle w:val="Odstavecseseznamem"/>
                        <w:numPr>
                          <w:ilvl w:val="0"/>
                          <w:numId w:val="14"/>
                        </w:numPr>
                        <w:spacing w:before="0" w:after="0" w:line="240" w:lineRule="auto"/>
                        <w:textAlignment w:val="baseline"/>
                        <w:rPr>
                          <w:rFonts w:asciiTheme="majorHAnsi" w:hAnsiTheme="majorHAnsi" w:cstheme="majorHAnsi"/>
                          <w:i/>
                          <w:iCs/>
                          <w:color w:val="000000" w:themeColor="text1"/>
                          <w:kern w:val="24"/>
                          <w:sz w:val="24"/>
                          <w:szCs w:val="24"/>
                        </w:rPr>
                      </w:pPr>
                      <w:r>
                        <w:rPr>
                          <w:rFonts w:asciiTheme="majorHAnsi" w:hAnsiTheme="majorHAnsi" w:cstheme="majorHAnsi"/>
                          <w:i/>
                          <w:iCs/>
                          <w:color w:val="000000" w:themeColor="text1"/>
                          <w:kern w:val="24"/>
                          <w:sz w:val="22"/>
                        </w:rPr>
                        <w:t>správní spolupráce</w:t>
                      </w:r>
                      <w:r>
                        <w:rPr>
                          <w:rFonts w:asciiTheme="majorHAnsi" w:hAnsiTheme="majorHAnsi" w:cstheme="majorHAnsi"/>
                          <w:i/>
                          <w:iCs/>
                          <w:color w:val="000000" w:themeColor="text1"/>
                          <w:kern w:val="24"/>
                          <w:sz w:val="24"/>
                          <w:szCs w:val="24"/>
                        </w:rPr>
                        <w:t>.</w:t>
                      </w:r>
                    </w:p>
                  </w:txbxContent>
                </v:textbox>
                <w10:wrap anchorx="margin"/>
              </v:shape>
            </w:pict>
          </mc:Fallback>
        </mc:AlternateContent>
      </w:r>
    </w:p>
    <w:p w14:paraId="722F40DF" w14:textId="77777777" w:rsidR="00842655" w:rsidRDefault="00842655" w:rsidP="00842655">
      <w:pPr>
        <w:pStyle w:val="Odstavecseseznamem"/>
        <w:numPr>
          <w:ilvl w:val="0"/>
          <w:numId w:val="0"/>
        </w:numPr>
        <w:ind w:left="720"/>
        <w:jc w:val="both"/>
        <w:rPr>
          <w:rFonts w:asciiTheme="majorHAnsi" w:eastAsiaTheme="majorEastAsia" w:hAnsiTheme="majorHAnsi" w:cstheme="majorBidi"/>
          <w:bCs/>
          <w:sz w:val="22"/>
          <w:lang w:eastAsia="ar-SA"/>
        </w:rPr>
      </w:pPr>
    </w:p>
    <w:p w14:paraId="19D8A3E0" w14:textId="566B00DD"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620D1019" w14:textId="2A2F8BEA"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7D175B02" w14:textId="040B551D"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41CCF6E7" w14:textId="6F28CCB0"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0B4174CD" w14:textId="692A8F7F"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20CFEFBA" w14:textId="642C7E52"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19F70222" w14:textId="34198CDF"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533E1B88" w14:textId="10B3060D"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3EFBEBCD" w14:textId="6191F176"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36E91B7A" w14:textId="77777777" w:rsidR="00842655" w:rsidRDefault="00842655" w:rsidP="00842655">
      <w:pPr>
        <w:pStyle w:val="Odstavecseseznamem"/>
        <w:numPr>
          <w:ilvl w:val="0"/>
          <w:numId w:val="0"/>
        </w:numPr>
        <w:ind w:left="720"/>
        <w:jc w:val="both"/>
        <w:rPr>
          <w:rFonts w:asciiTheme="majorHAnsi" w:eastAsiaTheme="majorEastAsia" w:hAnsiTheme="majorHAnsi" w:cstheme="majorBidi"/>
          <w:bCs/>
          <w:szCs w:val="20"/>
          <w:lang w:eastAsia="ar-SA"/>
        </w:rPr>
      </w:pPr>
    </w:p>
    <w:p w14:paraId="27137B67" w14:textId="6BEAAEA7" w:rsidR="00842655" w:rsidRPr="00842655" w:rsidRDefault="00842655" w:rsidP="00842655">
      <w:pPr>
        <w:pStyle w:val="Odstavecseseznamem"/>
        <w:numPr>
          <w:ilvl w:val="0"/>
          <w:numId w:val="12"/>
        </w:numPr>
        <w:jc w:val="both"/>
        <w:rPr>
          <w:rFonts w:asciiTheme="majorHAnsi" w:eastAsiaTheme="majorEastAsia" w:hAnsiTheme="majorHAnsi" w:cstheme="majorBidi"/>
          <w:b/>
          <w:sz w:val="22"/>
          <w:lang w:eastAsia="ar-SA"/>
        </w:rPr>
      </w:pPr>
      <w:r w:rsidRPr="00842655">
        <w:rPr>
          <w:rFonts w:asciiTheme="majorHAnsi" w:eastAsiaTheme="majorEastAsia" w:hAnsiTheme="majorHAnsi" w:cstheme="majorBidi"/>
          <w:bCs/>
          <w:sz w:val="22"/>
          <w:lang w:eastAsia="ar-SA"/>
        </w:rPr>
        <w:t xml:space="preserve">Uveďte, zda EU mohla vydat následující předpisy. Pokud ano, vyberte, do jaké oblasti pravomoci daná regulace spadá. </w:t>
      </w:r>
    </w:p>
    <w:p w14:paraId="3171ECA5" w14:textId="77777777" w:rsidR="00842655" w:rsidRDefault="00842655" w:rsidP="00842655">
      <w:pPr>
        <w:pStyle w:val="Odstavecseseznamem"/>
        <w:numPr>
          <w:ilvl w:val="1"/>
          <w:numId w:val="12"/>
        </w:numPr>
        <w:jc w:val="both"/>
        <w:rPr>
          <w:rFonts w:asciiTheme="majorHAnsi" w:eastAsiaTheme="majorEastAsia" w:hAnsiTheme="majorHAnsi" w:cstheme="majorBidi"/>
          <w:b/>
          <w:sz w:val="22"/>
          <w:lang w:eastAsia="ar-SA"/>
        </w:rPr>
      </w:pPr>
      <w:r>
        <w:rPr>
          <w:rFonts w:asciiTheme="majorHAnsi" w:eastAsiaTheme="majorEastAsia" w:hAnsiTheme="majorHAnsi" w:cstheme="majorBidi"/>
          <w:bCs/>
          <w:sz w:val="22"/>
          <w:lang w:eastAsia="ar-SA"/>
        </w:rPr>
        <w:t xml:space="preserve">směrnice Evropského parlamentu a Rady 2011/83/EU ze dne 25. října 2011 o </w:t>
      </w:r>
      <w:r>
        <w:rPr>
          <w:rFonts w:asciiTheme="majorHAnsi" w:eastAsiaTheme="majorEastAsia" w:hAnsiTheme="majorHAnsi" w:cstheme="majorBidi"/>
          <w:bCs/>
          <w:sz w:val="22"/>
          <w:u w:val="single"/>
          <w:lang w:eastAsia="ar-SA"/>
        </w:rPr>
        <w:t>právech spotřebitelů</w:t>
      </w:r>
    </w:p>
    <w:p w14:paraId="7A9041B1" w14:textId="77777777" w:rsidR="00842655" w:rsidRDefault="00842655" w:rsidP="00842655">
      <w:pPr>
        <w:pStyle w:val="Odstavecseseznamem"/>
        <w:numPr>
          <w:ilvl w:val="1"/>
          <w:numId w:val="12"/>
        </w:numPr>
        <w:jc w:val="both"/>
        <w:rPr>
          <w:rFonts w:asciiTheme="majorHAnsi" w:eastAsiaTheme="majorEastAsia" w:hAnsiTheme="majorHAnsi" w:cstheme="majorBidi"/>
          <w:b/>
          <w:sz w:val="22"/>
          <w:u w:val="single"/>
          <w:lang w:eastAsia="ar-SA"/>
        </w:rPr>
      </w:pPr>
      <w:r>
        <w:rPr>
          <w:rFonts w:asciiTheme="majorHAnsi" w:eastAsiaTheme="majorEastAsia" w:hAnsiTheme="majorHAnsi" w:cstheme="majorBidi"/>
          <w:bCs/>
          <w:sz w:val="22"/>
          <w:lang w:eastAsia="ar-SA"/>
        </w:rPr>
        <w:t xml:space="preserve">nařízení Komise (EU) č. 666/2013 ze dne 8. července 2013, kterým se provádí směrnice Evropského parlamentu a Rady 2009/125/ES, pokud jde o </w:t>
      </w:r>
      <w:r>
        <w:rPr>
          <w:rFonts w:asciiTheme="majorHAnsi" w:eastAsiaTheme="majorEastAsia" w:hAnsiTheme="majorHAnsi" w:cstheme="majorBidi"/>
          <w:bCs/>
          <w:sz w:val="22"/>
          <w:u w:val="single"/>
          <w:lang w:eastAsia="ar-SA"/>
        </w:rPr>
        <w:t>požadavky na ekodesign vysavačů</w:t>
      </w:r>
    </w:p>
    <w:p w14:paraId="0B3515A5" w14:textId="77777777" w:rsidR="00842655" w:rsidRDefault="00842655" w:rsidP="00842655">
      <w:pPr>
        <w:pStyle w:val="Odstavecseseznamem"/>
        <w:numPr>
          <w:ilvl w:val="1"/>
          <w:numId w:val="12"/>
        </w:numPr>
        <w:jc w:val="both"/>
        <w:rPr>
          <w:rFonts w:asciiTheme="majorHAnsi" w:eastAsiaTheme="majorEastAsia" w:hAnsiTheme="majorHAnsi" w:cstheme="majorBidi"/>
          <w:b/>
          <w:sz w:val="22"/>
          <w:lang w:eastAsia="ar-SA"/>
        </w:rPr>
      </w:pPr>
      <w:r>
        <w:rPr>
          <w:rFonts w:asciiTheme="majorHAnsi" w:eastAsiaTheme="majorEastAsia" w:hAnsiTheme="majorHAnsi" w:cstheme="majorBidi"/>
          <w:bCs/>
          <w:sz w:val="22"/>
          <w:lang w:eastAsia="ar-SA"/>
        </w:rPr>
        <w:t xml:space="preserve">směrnice Evropského parlamentu a Rady (EU) 2019/904 ze dne 5. června 2019 o </w:t>
      </w:r>
      <w:r>
        <w:rPr>
          <w:rFonts w:asciiTheme="majorHAnsi" w:eastAsiaTheme="majorEastAsia" w:hAnsiTheme="majorHAnsi" w:cstheme="majorBidi"/>
          <w:bCs/>
          <w:sz w:val="22"/>
          <w:u w:val="single"/>
          <w:lang w:eastAsia="ar-SA"/>
        </w:rPr>
        <w:t>omezení dopadu některých plastových výrobků na životní prostředí</w:t>
      </w:r>
      <w:r>
        <w:rPr>
          <w:rFonts w:asciiTheme="majorHAnsi" w:eastAsiaTheme="majorEastAsia" w:hAnsiTheme="majorHAnsi" w:cstheme="majorBidi"/>
          <w:bCs/>
          <w:sz w:val="22"/>
          <w:lang w:eastAsia="ar-SA"/>
        </w:rPr>
        <w:t xml:space="preserve"> </w:t>
      </w:r>
    </w:p>
    <w:p w14:paraId="0E8C159D" w14:textId="77777777" w:rsidR="00842655" w:rsidRDefault="00842655" w:rsidP="00842655">
      <w:pPr>
        <w:pStyle w:val="Odstavecseseznamem"/>
        <w:numPr>
          <w:ilvl w:val="1"/>
          <w:numId w:val="12"/>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doporučení Rady </w:t>
      </w:r>
      <w:r>
        <w:rPr>
          <w:rFonts w:asciiTheme="majorHAnsi" w:eastAsiaTheme="majorEastAsia" w:hAnsiTheme="majorHAnsi" w:cstheme="majorBidi"/>
          <w:bCs/>
          <w:sz w:val="22"/>
          <w:u w:val="single"/>
          <w:lang w:eastAsia="ar-SA"/>
        </w:rPr>
        <w:t>o smíšeném učení v zájmu vysoce kvalitního a inkluzivního primárního a sekundárního vzdělávání</w:t>
      </w:r>
      <w:r>
        <w:rPr>
          <w:rFonts w:asciiTheme="majorHAnsi" w:eastAsiaTheme="majorEastAsia" w:hAnsiTheme="majorHAnsi" w:cstheme="majorBidi"/>
          <w:bCs/>
          <w:sz w:val="22"/>
          <w:lang w:eastAsia="ar-SA"/>
        </w:rPr>
        <w:t xml:space="preserve"> (prozatím návrh)</w:t>
      </w:r>
    </w:p>
    <w:p w14:paraId="2F25E421" w14:textId="77777777" w:rsidR="00842655" w:rsidRDefault="00842655" w:rsidP="00842655">
      <w:pPr>
        <w:pStyle w:val="Odstavecseseznamem"/>
        <w:numPr>
          <w:ilvl w:val="1"/>
          <w:numId w:val="12"/>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nařízení Evropského parlamentu a Rady (EU) č. 952/2013 ze dne 9. října 2013, kterým se stanoví </w:t>
      </w:r>
      <w:r>
        <w:rPr>
          <w:rFonts w:asciiTheme="majorHAnsi" w:eastAsiaTheme="majorEastAsia" w:hAnsiTheme="majorHAnsi" w:cstheme="majorBidi"/>
          <w:bCs/>
          <w:sz w:val="22"/>
          <w:u w:val="single"/>
          <w:lang w:eastAsia="ar-SA"/>
        </w:rPr>
        <w:t>celní kodex Unie</w:t>
      </w:r>
    </w:p>
    <w:p w14:paraId="5BAD9363" w14:textId="77777777" w:rsidR="00842655" w:rsidRDefault="00842655" w:rsidP="00842655">
      <w:pPr>
        <w:pStyle w:val="Odstavecseseznamem"/>
        <w:numPr>
          <w:ilvl w:val="1"/>
          <w:numId w:val="12"/>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nařízení Evropského parlamentu a Rady (EU) č. 24/2018 ze dne 3. února 2018 </w:t>
      </w:r>
      <w:r>
        <w:rPr>
          <w:rFonts w:asciiTheme="majorHAnsi" w:eastAsiaTheme="majorEastAsia" w:hAnsiTheme="majorHAnsi" w:cstheme="majorBidi"/>
          <w:bCs/>
          <w:sz w:val="22"/>
          <w:u w:val="single"/>
          <w:lang w:eastAsia="ar-SA"/>
        </w:rPr>
        <w:t>o požadavcích na barvu dresů při fotbalových utkání na úrovni druhé a vyšší ligy</w:t>
      </w:r>
    </w:p>
    <w:p w14:paraId="2CFC2F28" w14:textId="77777777" w:rsidR="00842655" w:rsidRDefault="00842655" w:rsidP="00842655">
      <w:pPr>
        <w:pStyle w:val="Odstavecseseznamem"/>
        <w:numPr>
          <w:ilvl w:val="1"/>
          <w:numId w:val="12"/>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nařízení Evropského parlamentu a Rady (EU) č. 1151/2012 ze dne 21. listopadu 2012 o </w:t>
      </w:r>
      <w:r>
        <w:rPr>
          <w:rFonts w:asciiTheme="majorHAnsi" w:eastAsiaTheme="majorEastAsia" w:hAnsiTheme="majorHAnsi" w:cstheme="majorBidi"/>
          <w:bCs/>
          <w:sz w:val="22"/>
          <w:u w:val="single"/>
          <w:lang w:eastAsia="ar-SA"/>
        </w:rPr>
        <w:t>režimech jakosti zemědělských produktů a potravin</w:t>
      </w:r>
    </w:p>
    <w:p w14:paraId="61A9E47A" w14:textId="77777777" w:rsidR="00842655" w:rsidRDefault="00842655" w:rsidP="00842655">
      <w:pPr>
        <w:pStyle w:val="Odstavecseseznamem"/>
        <w:numPr>
          <w:ilvl w:val="1"/>
          <w:numId w:val="12"/>
        </w:numPr>
        <w:jc w:val="both"/>
        <w:rPr>
          <w:rFonts w:asciiTheme="majorHAnsi" w:eastAsiaTheme="majorEastAsia" w:hAnsiTheme="majorHAnsi" w:cstheme="majorBidi"/>
          <w:bCs/>
          <w:sz w:val="22"/>
          <w:u w:val="single"/>
          <w:lang w:eastAsia="ar-SA"/>
        </w:rPr>
      </w:pPr>
      <w:r>
        <w:rPr>
          <w:rFonts w:asciiTheme="majorHAnsi" w:eastAsiaTheme="majorEastAsia" w:hAnsiTheme="majorHAnsi" w:cstheme="majorBidi"/>
          <w:bCs/>
          <w:sz w:val="22"/>
          <w:lang w:eastAsia="ar-SA"/>
        </w:rPr>
        <w:t xml:space="preserve">nařízení Evropského parlamentu a Rady (EU) č. 1143/2014 ze dne 22. října 2014 </w:t>
      </w:r>
      <w:r>
        <w:rPr>
          <w:rFonts w:asciiTheme="majorHAnsi" w:eastAsiaTheme="majorEastAsia" w:hAnsiTheme="majorHAnsi" w:cstheme="majorBidi"/>
          <w:bCs/>
          <w:sz w:val="22"/>
          <w:u w:val="single"/>
          <w:lang w:eastAsia="ar-SA"/>
        </w:rPr>
        <w:t>o prevenci a regulaci zavlékání či vysazování a šíření invazních nepůvodních druhů</w:t>
      </w:r>
    </w:p>
    <w:p w14:paraId="4DAEF915" w14:textId="77777777" w:rsidR="00842655" w:rsidRDefault="00842655" w:rsidP="00842655">
      <w:pPr>
        <w:pStyle w:val="Odstavecseseznamem"/>
        <w:numPr>
          <w:ilvl w:val="1"/>
          <w:numId w:val="12"/>
        </w:numPr>
        <w:jc w:val="both"/>
        <w:rPr>
          <w:rFonts w:asciiTheme="majorHAnsi" w:eastAsiaTheme="majorEastAsia" w:hAnsiTheme="majorHAnsi" w:cstheme="majorBidi"/>
          <w:bCs/>
          <w:sz w:val="22"/>
          <w:u w:val="single"/>
          <w:lang w:eastAsia="ar-SA"/>
        </w:rPr>
      </w:pPr>
      <w:r>
        <w:rPr>
          <w:rFonts w:asciiTheme="majorHAnsi" w:eastAsiaTheme="majorEastAsia" w:hAnsiTheme="majorHAnsi" w:cstheme="majorBidi"/>
          <w:bCs/>
          <w:sz w:val="22"/>
          <w:lang w:eastAsia="ar-SA"/>
        </w:rPr>
        <w:t xml:space="preserve">nařízení Evropského parlamentu a Rady (ES) č. 261/2004 ze dne 11. února 2004, kterým se stanoví </w:t>
      </w:r>
      <w:r>
        <w:rPr>
          <w:rFonts w:asciiTheme="majorHAnsi" w:eastAsiaTheme="majorEastAsia" w:hAnsiTheme="majorHAnsi" w:cstheme="majorBidi"/>
          <w:bCs/>
          <w:sz w:val="22"/>
          <w:u w:val="single"/>
          <w:lang w:eastAsia="ar-SA"/>
        </w:rPr>
        <w:t>společná pravidla náhrad a pomoci cestujícím v letecké dopravě v případě odepření nástupu na palubu, zrušení nebo významného zpoždění letů</w:t>
      </w:r>
    </w:p>
    <w:p w14:paraId="4C966F86" w14:textId="77777777" w:rsidR="00842655" w:rsidRDefault="00842655" w:rsidP="00842655">
      <w:pPr>
        <w:pStyle w:val="Odstavecseseznamem"/>
        <w:numPr>
          <w:ilvl w:val="1"/>
          <w:numId w:val="12"/>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směrnice Evropského parlamentu a Rady 2010/40/EU ze dne 7. července 2010 o </w:t>
      </w:r>
      <w:r>
        <w:rPr>
          <w:rFonts w:asciiTheme="majorHAnsi" w:eastAsiaTheme="majorEastAsia" w:hAnsiTheme="majorHAnsi" w:cstheme="majorBidi"/>
          <w:bCs/>
          <w:sz w:val="22"/>
          <w:u w:val="single"/>
          <w:lang w:eastAsia="ar-SA"/>
        </w:rPr>
        <w:t>rámci pro zavedení inteligentních dopravních systémů v oblasti silniční dopravy</w:t>
      </w:r>
    </w:p>
    <w:p w14:paraId="424139CD" w14:textId="77777777" w:rsidR="00842655" w:rsidRDefault="00842655" w:rsidP="00842655">
      <w:pPr>
        <w:pStyle w:val="Odstavecseseznamem"/>
        <w:numPr>
          <w:ilvl w:val="0"/>
          <w:numId w:val="0"/>
        </w:numPr>
        <w:ind w:left="1440"/>
        <w:jc w:val="both"/>
        <w:rPr>
          <w:rFonts w:asciiTheme="majorHAnsi" w:eastAsiaTheme="majorEastAsia" w:hAnsiTheme="majorHAnsi" w:cstheme="majorBidi"/>
          <w:bCs/>
          <w:sz w:val="22"/>
          <w:lang w:eastAsia="ar-SA"/>
        </w:rPr>
      </w:pPr>
    </w:p>
    <w:p w14:paraId="5B534A4F" w14:textId="77777777" w:rsidR="00842655" w:rsidRDefault="00842655" w:rsidP="00842655">
      <w:pPr>
        <w:pStyle w:val="Odstavecseseznamem"/>
        <w:numPr>
          <w:ilvl w:val="0"/>
          <w:numId w:val="12"/>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Víte, jakým způsobem se přijímají legislativní akty EU (nařízení, směrnice)? Který orgán EU má onu iniciativní funkci (a navrhuje) a které orgány a jakým způsobem přijímají? </w:t>
      </w:r>
    </w:p>
    <w:p w14:paraId="25569490" w14:textId="27CFE878" w:rsidR="00842655" w:rsidRDefault="00842655" w:rsidP="00842655">
      <w:pPr>
        <w:jc w:val="left"/>
        <w:rPr>
          <w:rFonts w:asciiTheme="majorHAnsi" w:eastAsiaTheme="majorEastAsia" w:hAnsiTheme="majorHAnsi" w:cstheme="majorBidi"/>
          <w:bCs/>
          <w:color w:val="0000DC"/>
          <w:sz w:val="22"/>
          <w:lang w:eastAsia="ar-SA"/>
        </w:rPr>
      </w:pPr>
    </w:p>
    <w:p w14:paraId="6E161291" w14:textId="5FD32FBF" w:rsidR="00842655" w:rsidRDefault="00842655" w:rsidP="00842655">
      <w:pPr>
        <w:jc w:val="left"/>
        <w:rPr>
          <w:rFonts w:asciiTheme="majorHAnsi" w:eastAsiaTheme="majorEastAsia" w:hAnsiTheme="majorHAnsi" w:cstheme="majorBidi"/>
          <w:bCs/>
          <w:color w:val="0000DC"/>
          <w:sz w:val="22"/>
          <w:lang w:eastAsia="ar-SA"/>
        </w:rPr>
      </w:pPr>
    </w:p>
    <w:p w14:paraId="43DBA1F4" w14:textId="77777777" w:rsidR="00842655" w:rsidRDefault="00842655" w:rsidP="00842655">
      <w:pPr>
        <w:jc w:val="left"/>
        <w:rPr>
          <w:rFonts w:asciiTheme="majorHAnsi" w:eastAsiaTheme="majorEastAsia" w:hAnsiTheme="majorHAnsi" w:cstheme="majorBidi"/>
          <w:bCs/>
          <w:color w:val="0000DC"/>
          <w:sz w:val="22"/>
          <w:lang w:eastAsia="ar-SA"/>
        </w:rPr>
      </w:pPr>
    </w:p>
    <w:p w14:paraId="058E2651" w14:textId="77777777" w:rsidR="00842655" w:rsidRDefault="00842655" w:rsidP="00842655">
      <w:pPr>
        <w:jc w:val="left"/>
        <w:rPr>
          <w:rFonts w:asciiTheme="majorHAnsi" w:eastAsiaTheme="majorEastAsia" w:hAnsiTheme="majorHAnsi" w:cstheme="majorBidi"/>
          <w:bCs/>
          <w:color w:val="0000DC"/>
          <w:sz w:val="22"/>
          <w:lang w:eastAsia="ar-SA"/>
        </w:rPr>
      </w:pPr>
      <w:r>
        <w:rPr>
          <w:rFonts w:asciiTheme="majorHAnsi" w:eastAsiaTheme="majorEastAsia" w:hAnsiTheme="majorHAnsi" w:cstheme="majorBidi"/>
          <w:bCs/>
          <w:color w:val="0000DC"/>
          <w:sz w:val="22"/>
          <w:lang w:eastAsia="ar-SA"/>
        </w:rPr>
        <w:lastRenderedPageBreak/>
        <w:t>Pro pokročilé (náročný úkol) jdoucí nad rámec toho, co máme probírat</w:t>
      </w:r>
    </w:p>
    <w:p w14:paraId="3960A846" w14:textId="0694B1D7" w:rsidR="00842655" w:rsidRDefault="00842655" w:rsidP="0084265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Zde vidíte systém pramenů práva v České republice – právní řád ČR. </w:t>
      </w:r>
      <w:r w:rsidR="00963490">
        <w:rPr>
          <w:rFonts w:asciiTheme="majorHAnsi" w:eastAsiaTheme="majorEastAsia" w:hAnsiTheme="majorHAnsi" w:cstheme="majorBidi"/>
          <w:bCs/>
          <w:sz w:val="22"/>
          <w:lang w:eastAsia="ar-SA"/>
        </w:rPr>
        <w:t>Znáte jej z jara z předmětu Občan a právo</w:t>
      </w:r>
      <w:r>
        <w:rPr>
          <w:rFonts w:asciiTheme="majorHAnsi" w:eastAsiaTheme="majorEastAsia" w:hAnsiTheme="majorHAnsi" w:cstheme="majorBidi"/>
          <w:bCs/>
          <w:sz w:val="22"/>
          <w:lang w:eastAsia="ar-SA"/>
        </w:rPr>
        <w:t>. Otázka zní, na jakou úroveň – kam do této hierarchie – byste zařadili prameny práva EU. Systém je jednoduchý – Ústava a ústavní zákony stojí nejvýše, vše, co je v tabulce níž, musí být v souladu s ústavou. Pod ní jsou zákony a zákonná opatření – ty musí být v souladu s ústavou a ústavními zákony. Nařízení vlády musí být v souladu s tím, co je uvedeno výše atd. Kam bychom zařadili například nařízení či směrnice EU? Úkol je to vskutku náročný a odpověď Vás možná překvapí.</w:t>
      </w:r>
    </w:p>
    <w:p w14:paraId="4C245DC5" w14:textId="630832EC" w:rsidR="00842655" w:rsidRDefault="00842655" w:rsidP="00842655">
      <w:pPr>
        <w:rPr>
          <w:rFonts w:asciiTheme="majorHAnsi" w:eastAsiaTheme="majorEastAsia" w:hAnsiTheme="majorHAnsi" w:cstheme="majorBidi"/>
          <w:b/>
          <w:sz w:val="22"/>
          <w:lang w:eastAsia="ar-SA"/>
        </w:rPr>
      </w:pPr>
      <w:r>
        <w:rPr>
          <w:rFonts w:asciiTheme="majorHAnsi" w:eastAsiaTheme="majorEastAsia" w:hAnsiTheme="majorHAnsi" w:cstheme="majorBidi"/>
          <w:b/>
          <w:noProof/>
          <w:sz w:val="22"/>
          <w:lang w:eastAsia="ar-SA"/>
        </w:rPr>
        <w:drawing>
          <wp:inline distT="0" distB="0" distL="0" distR="0" wp14:anchorId="7D724B63" wp14:editId="28190602">
            <wp:extent cx="5194300" cy="2844800"/>
            <wp:effectExtent l="0" t="57150" r="25400" b="12700"/>
            <wp:docPr id="1" name="Diagram 1">
              <a:extLst xmlns:a="http://schemas.openxmlformats.org/drawingml/2006/main">
                <a:ext uri="{FF2B5EF4-FFF2-40B4-BE49-F238E27FC236}">
                  <a16:creationId xmlns:a16="http://schemas.microsoft.com/office/drawing/2014/main" id="{029F43A6-6D18-4F4D-BF31-A4124A2447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A2E2E54" w14:textId="764C01DF" w:rsidR="00842655" w:rsidRPr="003151F5" w:rsidRDefault="003151F5" w:rsidP="00842655">
      <w:pPr>
        <w:rPr>
          <w:rFonts w:asciiTheme="majorHAnsi" w:eastAsiaTheme="majorEastAsia" w:hAnsiTheme="majorHAnsi" w:cstheme="majorBidi"/>
          <w:b/>
          <w:sz w:val="24"/>
          <w:szCs w:val="24"/>
          <w:lang w:eastAsia="ar-SA"/>
        </w:rPr>
      </w:pPr>
      <w:r>
        <w:rPr>
          <w:rFonts w:asciiTheme="majorHAnsi" w:eastAsiaTheme="majorEastAsia" w:hAnsiTheme="majorHAnsi" w:cstheme="majorBidi"/>
          <w:b/>
          <w:sz w:val="24"/>
          <w:szCs w:val="24"/>
          <w:lang w:eastAsia="ar-SA"/>
        </w:rPr>
        <w:t>-----------------------------------------------------</w:t>
      </w:r>
    </w:p>
    <w:p w14:paraId="6401D7A6" w14:textId="77777777" w:rsidR="00963490" w:rsidRPr="00BA59B7" w:rsidRDefault="00963490" w:rsidP="00963490">
      <w:pPr>
        <w:spacing w:before="240"/>
        <w:rPr>
          <w:rFonts w:asciiTheme="majorHAnsi" w:eastAsiaTheme="majorEastAsia" w:hAnsiTheme="majorHAnsi" w:cstheme="majorHAnsi"/>
          <w:b/>
          <w:color w:val="0000DC"/>
          <w:sz w:val="24"/>
          <w:szCs w:val="24"/>
          <w:lang w:eastAsia="ar-SA"/>
        </w:rPr>
      </w:pPr>
      <w:r w:rsidRPr="00BA59B7">
        <w:rPr>
          <w:rFonts w:asciiTheme="majorHAnsi" w:eastAsiaTheme="majorEastAsia" w:hAnsiTheme="majorHAnsi" w:cstheme="majorHAnsi"/>
          <w:b/>
          <w:color w:val="0000DC"/>
          <w:sz w:val="24"/>
          <w:szCs w:val="24"/>
          <w:lang w:eastAsia="ar-SA"/>
        </w:rPr>
        <w:t>Občanství EU</w:t>
      </w:r>
    </w:p>
    <w:p w14:paraId="35BAE494" w14:textId="15258FE0" w:rsidR="00963490" w:rsidRPr="00E8506D" w:rsidRDefault="00963490" w:rsidP="00963490">
      <w:pPr>
        <w:rPr>
          <w:rFonts w:asciiTheme="majorHAnsi" w:eastAsiaTheme="majorEastAsia" w:hAnsiTheme="majorHAnsi" w:cstheme="majorBidi"/>
          <w:bCs/>
          <w:sz w:val="22"/>
          <w:lang w:eastAsia="ar-SA"/>
        </w:rPr>
      </w:pPr>
      <w:r w:rsidRPr="00E8506D">
        <w:rPr>
          <w:rFonts w:asciiTheme="majorHAnsi" w:eastAsiaTheme="majorEastAsia" w:hAnsiTheme="majorHAnsi" w:cstheme="majorBidi"/>
          <w:bCs/>
          <w:sz w:val="22"/>
          <w:lang w:eastAsia="ar-SA"/>
        </w:rPr>
        <w:t xml:space="preserve">Výchozí text </w:t>
      </w:r>
      <w:r>
        <w:rPr>
          <w:rFonts w:asciiTheme="majorHAnsi" w:eastAsiaTheme="majorEastAsia" w:hAnsiTheme="majorHAnsi" w:cstheme="majorBidi"/>
          <w:bCs/>
          <w:sz w:val="22"/>
          <w:lang w:eastAsia="ar-SA"/>
        </w:rPr>
        <w:t>je zněním článku 20 Smlouvy o fungování Evropské unie, který upravuje občanství Evropské unie. Pod ním najdete otázky, které byste měli být schopni odpovědět na základě textu. Projdeme si je spolu na hodině</w:t>
      </w:r>
    </w:p>
    <w:tbl>
      <w:tblPr>
        <w:tblStyle w:val="Mkatabulky"/>
        <w:tblW w:w="0" w:type="auto"/>
        <w:tblLook w:val="04A0" w:firstRow="1" w:lastRow="0" w:firstColumn="1" w:lastColumn="0" w:noHBand="0" w:noVBand="1"/>
      </w:tblPr>
      <w:tblGrid>
        <w:gridCol w:w="9138"/>
      </w:tblGrid>
      <w:tr w:rsidR="00963490" w14:paraId="1941A1CA" w14:textId="77777777" w:rsidTr="004278D5">
        <w:trPr>
          <w:trHeight w:val="721"/>
        </w:trPr>
        <w:tc>
          <w:tcPr>
            <w:tcW w:w="917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DAEEF3" w:themeFill="accent5" w:themeFillTint="33"/>
          </w:tcPr>
          <w:p w14:paraId="5DDFE378" w14:textId="77777777" w:rsidR="00963490" w:rsidRPr="00BA59B7" w:rsidRDefault="00963490" w:rsidP="004278D5">
            <w:pPr>
              <w:rPr>
                <w:rFonts w:asciiTheme="majorHAnsi" w:hAnsiTheme="majorHAnsi" w:cstheme="majorHAnsi"/>
                <w:sz w:val="22"/>
              </w:rPr>
            </w:pPr>
            <w:r>
              <w:t>1</w:t>
            </w:r>
            <w:r w:rsidRPr="00BA59B7">
              <w:rPr>
                <w:rFonts w:asciiTheme="majorHAnsi" w:hAnsiTheme="majorHAnsi" w:cstheme="majorHAnsi"/>
                <w:sz w:val="22"/>
              </w:rPr>
              <w:t xml:space="preserve">. Zavádí se občanství Unie. Každá osoba, která má státní příslušnost členského státu, je občanem Unie. Občanství Unie doplňuje občanství členského státu, nenahrazuje je. </w:t>
            </w:r>
          </w:p>
          <w:p w14:paraId="71266D66" w14:textId="77777777" w:rsidR="00963490" w:rsidRPr="00BA59B7" w:rsidRDefault="00963490" w:rsidP="004278D5">
            <w:pPr>
              <w:spacing w:after="0"/>
              <w:rPr>
                <w:rFonts w:asciiTheme="majorHAnsi" w:hAnsiTheme="majorHAnsi" w:cstheme="majorHAnsi"/>
                <w:sz w:val="22"/>
              </w:rPr>
            </w:pPr>
            <w:r w:rsidRPr="00BA59B7">
              <w:rPr>
                <w:rFonts w:asciiTheme="majorHAnsi" w:hAnsiTheme="majorHAnsi" w:cstheme="majorHAnsi"/>
                <w:sz w:val="22"/>
              </w:rPr>
              <w:t xml:space="preserve">2. Občané Unie mají práva a povinnosti stanovené Smlouvami. Mají mimo jiné: </w:t>
            </w:r>
          </w:p>
          <w:p w14:paraId="6A3FD717" w14:textId="77777777" w:rsidR="00963490" w:rsidRPr="00BA59B7" w:rsidRDefault="00963490" w:rsidP="00963490">
            <w:pPr>
              <w:pStyle w:val="Odstavecseseznamem"/>
              <w:numPr>
                <w:ilvl w:val="0"/>
                <w:numId w:val="17"/>
              </w:numPr>
              <w:spacing w:before="0" w:after="0" w:line="264" w:lineRule="auto"/>
              <w:jc w:val="both"/>
              <w:rPr>
                <w:rFonts w:asciiTheme="majorHAnsi" w:hAnsiTheme="majorHAnsi" w:cstheme="majorHAnsi"/>
                <w:sz w:val="22"/>
              </w:rPr>
            </w:pPr>
            <w:r w:rsidRPr="00BA59B7">
              <w:rPr>
                <w:rFonts w:asciiTheme="majorHAnsi" w:hAnsiTheme="majorHAnsi" w:cstheme="majorHAnsi"/>
                <w:sz w:val="22"/>
              </w:rPr>
              <w:t xml:space="preserve">právo svobodně se pohybovat a pobývat na území členských států; </w:t>
            </w:r>
          </w:p>
          <w:p w14:paraId="2E2B8312" w14:textId="77777777" w:rsidR="00963490" w:rsidRPr="00BA59B7" w:rsidRDefault="00963490" w:rsidP="00963490">
            <w:pPr>
              <w:pStyle w:val="Odstavecseseznamem"/>
              <w:numPr>
                <w:ilvl w:val="0"/>
                <w:numId w:val="17"/>
              </w:numPr>
              <w:spacing w:before="0" w:after="0" w:line="264" w:lineRule="auto"/>
              <w:jc w:val="both"/>
              <w:rPr>
                <w:rFonts w:asciiTheme="majorHAnsi" w:hAnsiTheme="majorHAnsi" w:cstheme="majorHAnsi"/>
                <w:sz w:val="22"/>
              </w:rPr>
            </w:pPr>
            <w:r w:rsidRPr="00BA59B7">
              <w:rPr>
                <w:rFonts w:asciiTheme="majorHAnsi" w:hAnsiTheme="majorHAnsi" w:cstheme="majorHAnsi"/>
                <w:sz w:val="22"/>
              </w:rPr>
              <w:t>právo volit a být volen ve volbách do Evropského parlamentu a v obecních volbách v členském státě, v němž mají bydliště, za stejných podmínek jako státní příslušníci tohoto státu;</w:t>
            </w:r>
          </w:p>
          <w:p w14:paraId="56500ABA" w14:textId="77777777" w:rsidR="00963490" w:rsidRPr="00BA59B7" w:rsidRDefault="00963490" w:rsidP="00963490">
            <w:pPr>
              <w:pStyle w:val="Odstavecseseznamem"/>
              <w:numPr>
                <w:ilvl w:val="0"/>
                <w:numId w:val="17"/>
              </w:numPr>
              <w:spacing w:before="0" w:after="0" w:line="264" w:lineRule="auto"/>
              <w:jc w:val="both"/>
              <w:rPr>
                <w:rFonts w:asciiTheme="majorHAnsi" w:hAnsiTheme="majorHAnsi" w:cstheme="majorHAnsi"/>
                <w:sz w:val="22"/>
              </w:rPr>
            </w:pPr>
            <w:r w:rsidRPr="00BA59B7">
              <w:rPr>
                <w:rFonts w:asciiTheme="majorHAnsi" w:hAnsiTheme="majorHAnsi" w:cstheme="majorHAnsi"/>
                <w:sz w:val="22"/>
              </w:rPr>
              <w:t xml:space="preserve">na území třetí země, kde členský stát, jehož jsou státními příslušníky, nemá své zastoupení, právo na diplomatickou a konzulární ochranu kterýmkoli členským státem za stejných podmínek jako státní příslušníci tohoto státu; </w:t>
            </w:r>
          </w:p>
          <w:p w14:paraId="57B85C75" w14:textId="77777777" w:rsidR="00963490" w:rsidRPr="00BA59B7" w:rsidRDefault="00963490" w:rsidP="00963490">
            <w:pPr>
              <w:pStyle w:val="Odstavecseseznamem"/>
              <w:numPr>
                <w:ilvl w:val="0"/>
                <w:numId w:val="17"/>
              </w:numPr>
              <w:spacing w:before="0" w:after="0" w:line="264" w:lineRule="auto"/>
              <w:jc w:val="both"/>
              <w:rPr>
                <w:rFonts w:asciiTheme="majorHAnsi" w:hAnsiTheme="majorHAnsi" w:cstheme="majorHAnsi"/>
                <w:sz w:val="22"/>
              </w:rPr>
            </w:pPr>
            <w:r w:rsidRPr="00BA59B7">
              <w:rPr>
                <w:rFonts w:asciiTheme="majorHAnsi" w:hAnsiTheme="majorHAnsi" w:cstheme="majorHAnsi"/>
                <w:sz w:val="22"/>
              </w:rPr>
              <w:t xml:space="preserve">petiční právo k Evropskému parlamentu, právo obracet se na evropského veřejného ochránce práv a právo obracet se na orgány a poradní instituce Unie v jednom z jazyků Smluv a obdržet odpověď ve stejném jazyce. </w:t>
            </w:r>
          </w:p>
          <w:p w14:paraId="56BFDB01" w14:textId="77777777" w:rsidR="00963490" w:rsidRPr="00E8506D" w:rsidRDefault="00963490" w:rsidP="004278D5">
            <w:pPr>
              <w:rPr>
                <w:rFonts w:asciiTheme="majorHAnsi" w:eastAsiaTheme="majorEastAsia" w:hAnsiTheme="majorHAnsi" w:cstheme="majorBidi"/>
                <w:bCs/>
                <w:color w:val="0000DC"/>
                <w:sz w:val="24"/>
                <w:szCs w:val="24"/>
                <w:lang w:eastAsia="ar-SA"/>
              </w:rPr>
            </w:pPr>
            <w:r w:rsidRPr="00BA59B7">
              <w:rPr>
                <w:rFonts w:asciiTheme="majorHAnsi" w:hAnsiTheme="majorHAnsi" w:cstheme="majorHAnsi"/>
                <w:sz w:val="22"/>
              </w:rPr>
              <w:lastRenderedPageBreak/>
              <w:t>Tato práva se vykonávají za podmínek a v mezích stanovených Smlouvami a opatřeními přijatými na jejich základě.</w:t>
            </w:r>
          </w:p>
        </w:tc>
      </w:tr>
    </w:tbl>
    <w:p w14:paraId="05E86F7E" w14:textId="77777777" w:rsidR="00963490" w:rsidRPr="00BA59B7" w:rsidRDefault="00963490" w:rsidP="00963490">
      <w:pPr>
        <w:spacing w:after="0"/>
        <w:rPr>
          <w:rFonts w:asciiTheme="majorHAnsi" w:eastAsiaTheme="majorEastAsia" w:hAnsiTheme="majorHAnsi" w:cstheme="majorHAnsi"/>
          <w:bCs/>
          <w:sz w:val="22"/>
          <w:lang w:eastAsia="ar-SA"/>
        </w:rPr>
      </w:pPr>
    </w:p>
    <w:p w14:paraId="4109F596" w14:textId="77777777" w:rsidR="00963490" w:rsidRPr="00BA59B7" w:rsidRDefault="00963490" w:rsidP="00963490">
      <w:pPr>
        <w:pStyle w:val="Odstavecseseznamem"/>
        <w:numPr>
          <w:ilvl w:val="0"/>
          <w:numId w:val="18"/>
        </w:numPr>
        <w:spacing w:before="0" w:after="0" w:line="264" w:lineRule="auto"/>
        <w:jc w:val="both"/>
        <w:rPr>
          <w:rFonts w:asciiTheme="majorHAnsi" w:eastAsiaTheme="majorEastAsia" w:hAnsiTheme="majorHAnsi" w:cstheme="majorHAnsi"/>
          <w:bCs/>
          <w:sz w:val="22"/>
          <w:lang w:eastAsia="ar-SA"/>
        </w:rPr>
      </w:pPr>
      <w:r w:rsidRPr="00BA59B7">
        <w:rPr>
          <w:rFonts w:asciiTheme="majorHAnsi" w:eastAsiaTheme="majorEastAsia" w:hAnsiTheme="majorHAnsi" w:cstheme="majorHAnsi"/>
          <w:bCs/>
          <w:sz w:val="22"/>
          <w:lang w:eastAsia="ar-SA"/>
        </w:rPr>
        <w:t>Máte Vy občanství EU? Jak jste jej získali?</w:t>
      </w:r>
    </w:p>
    <w:p w14:paraId="361F59E7" w14:textId="77777777" w:rsidR="00963490" w:rsidRPr="00BA59B7" w:rsidRDefault="00963490" w:rsidP="00963490">
      <w:pPr>
        <w:pStyle w:val="Odstavecseseznamem"/>
        <w:numPr>
          <w:ilvl w:val="0"/>
          <w:numId w:val="18"/>
        </w:numPr>
        <w:spacing w:before="0" w:line="264" w:lineRule="auto"/>
        <w:jc w:val="both"/>
        <w:rPr>
          <w:rFonts w:asciiTheme="majorHAnsi" w:hAnsiTheme="majorHAnsi" w:cstheme="majorHAnsi"/>
          <w:sz w:val="22"/>
          <w:szCs w:val="24"/>
        </w:rPr>
      </w:pPr>
      <w:r w:rsidRPr="00BA59B7">
        <w:rPr>
          <w:rFonts w:asciiTheme="majorHAnsi" w:hAnsiTheme="majorHAnsi" w:cstheme="majorHAnsi"/>
          <w:sz w:val="22"/>
          <w:szCs w:val="24"/>
        </w:rPr>
        <w:t>Představte si situaci, že jste občan ČR s trvalým bydlištěm v Brně. Přestěhujete se do Francie a pobýváte již třetím rokem ve francouzském městě Lyon. Ve městě Lyon má ČR honorární konzulát. Mohli byste volit na území Francie do komunálních voleb města Brna, pokud dodržíte lhůtu k oznámení, že máte zájem volit v Lyonu? Mohli byste Vy být voleni v Lyonu do tamějších obecních voleb a stát se tak zastupitelem města Lyon?</w:t>
      </w:r>
    </w:p>
    <w:p w14:paraId="6BC8C7A9" w14:textId="77777777" w:rsidR="00963490" w:rsidRPr="00BA59B7" w:rsidRDefault="00963490" w:rsidP="00963490">
      <w:pPr>
        <w:pStyle w:val="Odstavecseseznamem"/>
        <w:numPr>
          <w:ilvl w:val="0"/>
          <w:numId w:val="18"/>
        </w:numPr>
        <w:spacing w:before="0" w:after="0" w:line="264" w:lineRule="auto"/>
        <w:jc w:val="both"/>
        <w:rPr>
          <w:rFonts w:asciiTheme="majorHAnsi" w:eastAsiaTheme="majorEastAsia" w:hAnsiTheme="majorHAnsi" w:cstheme="majorHAnsi"/>
          <w:b/>
          <w:color w:val="0000DC"/>
          <w:sz w:val="24"/>
          <w:szCs w:val="24"/>
          <w:lang w:eastAsia="ar-SA"/>
        </w:rPr>
      </w:pPr>
      <w:r w:rsidRPr="00BA59B7">
        <w:rPr>
          <w:rFonts w:asciiTheme="majorHAnsi" w:eastAsiaTheme="majorEastAsia" w:hAnsiTheme="majorHAnsi" w:cstheme="majorHAnsi"/>
          <w:bCs/>
          <w:sz w:val="22"/>
          <w:lang w:eastAsia="ar-SA"/>
        </w:rPr>
        <w:t xml:space="preserve">Máte rádi netradiční dovolené a rozhodnete se jet Vy, jako státní občané ČR, na dovolenou do státu Benin (Afrika), kde budete zatčeni nebo ztratíte cestovní doklady. Chcete pomoci, ale k Vaší smůle se zastupitelský úřad ČR nenachází v Beninu, ale v Nigérii. Tam se však nemáte jak dostat, navíc bez dokladů. Zjistíte, že v Beninu je francouzské velvyslanectví. Můžete využít jeho pomoci? </w:t>
      </w:r>
    </w:p>
    <w:p w14:paraId="10A088F2" w14:textId="77777777" w:rsidR="00963490" w:rsidRPr="00BA59B7" w:rsidRDefault="00963490" w:rsidP="00963490">
      <w:pPr>
        <w:pStyle w:val="Odstavecseseznamem"/>
        <w:numPr>
          <w:ilvl w:val="0"/>
          <w:numId w:val="18"/>
        </w:numPr>
        <w:spacing w:before="0" w:after="0" w:line="264" w:lineRule="auto"/>
        <w:jc w:val="both"/>
        <w:rPr>
          <w:rFonts w:asciiTheme="majorHAnsi" w:eastAsiaTheme="majorEastAsia" w:hAnsiTheme="majorHAnsi" w:cstheme="majorHAnsi"/>
          <w:b/>
          <w:color w:val="0000DC"/>
          <w:sz w:val="24"/>
          <w:szCs w:val="24"/>
          <w:lang w:eastAsia="ar-SA"/>
        </w:rPr>
      </w:pPr>
      <w:r w:rsidRPr="00BA59B7">
        <w:rPr>
          <w:rFonts w:asciiTheme="majorHAnsi" w:eastAsiaTheme="majorEastAsia" w:hAnsiTheme="majorHAnsi" w:cstheme="majorHAnsi"/>
          <w:bCs/>
          <w:sz w:val="22"/>
          <w:lang w:eastAsia="ar-SA"/>
        </w:rPr>
        <w:t>Jako občan EU se můžete svobodně pohybovat nejen po členských státech EU, ale i po státech nečlenských jen z titulu občanství EU. Je toto tvrzení pravdivé?</w:t>
      </w:r>
    </w:p>
    <w:p w14:paraId="79B26AC7" w14:textId="77777777" w:rsidR="00963490" w:rsidRPr="001653EB" w:rsidRDefault="00963490" w:rsidP="00963490">
      <w:pPr>
        <w:pStyle w:val="Odstavecseseznamem"/>
        <w:numPr>
          <w:ilvl w:val="0"/>
          <w:numId w:val="18"/>
        </w:numPr>
        <w:spacing w:before="0" w:after="0" w:line="264" w:lineRule="auto"/>
        <w:jc w:val="both"/>
        <w:rPr>
          <w:rFonts w:asciiTheme="majorHAnsi" w:eastAsiaTheme="majorEastAsia" w:hAnsiTheme="majorHAnsi" w:cstheme="majorBidi"/>
          <w:b/>
          <w:color w:val="0000DC"/>
          <w:sz w:val="24"/>
          <w:szCs w:val="24"/>
          <w:lang w:eastAsia="ar-SA"/>
        </w:rPr>
      </w:pPr>
      <w:r w:rsidRPr="00BA59B7">
        <w:rPr>
          <w:rFonts w:asciiTheme="majorHAnsi" w:eastAsiaTheme="majorEastAsia" w:hAnsiTheme="majorHAnsi" w:cstheme="majorHAnsi"/>
          <w:bCs/>
          <w:sz w:val="22"/>
          <w:lang w:eastAsia="ar-SA"/>
        </w:rPr>
        <w:t>Můžete se Vy obrátit s žádostí/dotazem na Evropskou komisi i v češtině</w:t>
      </w:r>
      <w:r>
        <w:rPr>
          <w:rFonts w:asciiTheme="majorHAnsi" w:eastAsiaTheme="majorEastAsia" w:hAnsiTheme="majorHAnsi" w:cstheme="majorBidi"/>
          <w:bCs/>
          <w:sz w:val="22"/>
          <w:lang w:eastAsia="ar-SA"/>
        </w:rPr>
        <w:t xml:space="preserve">? </w:t>
      </w:r>
    </w:p>
    <w:p w14:paraId="4CB73D58" w14:textId="77777777" w:rsidR="00963490" w:rsidRPr="001653EB" w:rsidRDefault="00963490" w:rsidP="00963490">
      <w:pPr>
        <w:spacing w:after="0"/>
        <w:rPr>
          <w:rFonts w:asciiTheme="majorHAnsi" w:eastAsiaTheme="majorEastAsia" w:hAnsiTheme="majorHAnsi" w:cstheme="majorBidi"/>
          <w:b/>
          <w:color w:val="0000DC"/>
          <w:sz w:val="24"/>
          <w:szCs w:val="24"/>
          <w:lang w:eastAsia="ar-SA"/>
        </w:rPr>
      </w:pPr>
    </w:p>
    <w:p w14:paraId="2CB925EC" w14:textId="77777777" w:rsidR="00963490" w:rsidRDefault="00963490" w:rsidP="00963490">
      <w:pPr>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color w:val="0000DC"/>
          <w:sz w:val="24"/>
          <w:szCs w:val="24"/>
          <w:lang w:eastAsia="ar-SA"/>
        </w:rPr>
        <w:t>Schengenský prostor</w:t>
      </w:r>
    </w:p>
    <w:p w14:paraId="55F0971D" w14:textId="77777777" w:rsidR="00963490" w:rsidRDefault="00963490" w:rsidP="00963490">
      <w:pPr>
        <w:rPr>
          <w:rFonts w:asciiTheme="majorHAnsi" w:eastAsiaTheme="majorEastAsia" w:hAnsiTheme="majorHAnsi" w:cstheme="majorBidi"/>
          <w:bCs/>
          <w:sz w:val="22"/>
          <w:lang w:eastAsia="ar-SA"/>
        </w:rPr>
      </w:pPr>
      <w:r w:rsidRPr="004E5FAF">
        <w:rPr>
          <w:rFonts w:asciiTheme="majorHAnsi" w:eastAsiaTheme="majorEastAsia" w:hAnsiTheme="majorHAnsi" w:cstheme="majorBidi"/>
          <w:bCs/>
          <w:sz w:val="22"/>
          <w:lang w:eastAsia="ar-SA"/>
        </w:rPr>
        <w:t xml:space="preserve">K zodpovězení těchto otázek </w:t>
      </w:r>
      <w:r>
        <w:rPr>
          <w:rFonts w:asciiTheme="majorHAnsi" w:eastAsiaTheme="majorEastAsia" w:hAnsiTheme="majorHAnsi" w:cstheme="majorBidi"/>
          <w:bCs/>
          <w:sz w:val="22"/>
          <w:lang w:eastAsia="ar-SA"/>
        </w:rPr>
        <w:t>Vám stačí mapa a krátký text popsaný zde v zadání. Otázky jsou spíše k zamyšlení (brainstorming). Jediné info, které potřebujete vědět, je, že se rozlišuje vnitřní a vnější hranice. Vnitřní hranice = hranice mezi dvěma státy, které jsou v Schengenském prostoru – zde jsou zrušeny kontroly na hranicích pro všechny osoby hranice překračující. Vnější hranice = hranice mezi státem, který je v Schengenském prostoru a státem, který v něm není – zde probíhá minimální kontrola pro občany EU (typicky předložení platného dokladu totožnosti – občanský průkaz, cestovní pas) pro občany EU. Pro občany třetích zemí je kontrola přísnější (například zjišťování cíle cesty či účelu cesty, vstupní vízum, pokud je potřeba).</w:t>
      </w:r>
    </w:p>
    <w:p w14:paraId="09E21F36" w14:textId="77777777" w:rsidR="00963490" w:rsidRPr="00BA59B7" w:rsidRDefault="00963490" w:rsidP="00963490">
      <w:pPr>
        <w:pStyle w:val="Odstavecseseznamem"/>
        <w:numPr>
          <w:ilvl w:val="0"/>
          <w:numId w:val="20"/>
        </w:numPr>
        <w:spacing w:before="0" w:line="264" w:lineRule="auto"/>
        <w:jc w:val="both"/>
        <w:rPr>
          <w:rFonts w:asciiTheme="majorHAnsi" w:eastAsiaTheme="majorEastAsia" w:hAnsiTheme="majorHAnsi" w:cstheme="majorBidi"/>
          <w:bCs/>
          <w:sz w:val="22"/>
          <w:lang w:eastAsia="ar-SA"/>
        </w:rPr>
      </w:pPr>
      <w:r w:rsidRPr="00BA59B7">
        <w:rPr>
          <w:rFonts w:asciiTheme="majorHAnsi" w:eastAsiaTheme="majorEastAsia" w:hAnsiTheme="majorHAnsi" w:cstheme="majorBidi"/>
          <w:bCs/>
          <w:sz w:val="22"/>
          <w:lang w:eastAsia="ar-SA"/>
        </w:rPr>
        <w:t>Je rozdíl mezi volným pohybem a pobytem osob – občanů EU a pohybem a pobytem v rámci tzv. Schengenského prostoru? Pokud ano, jaký/jaké? Vyjděte jen z informací v přiložené mapě.</w:t>
      </w:r>
    </w:p>
    <w:p w14:paraId="42D40EC4" w14:textId="77777777" w:rsidR="00963490" w:rsidRPr="00BA59B7" w:rsidRDefault="00963490" w:rsidP="00963490">
      <w:pPr>
        <w:pStyle w:val="Odstavecseseznamem"/>
        <w:numPr>
          <w:ilvl w:val="0"/>
          <w:numId w:val="20"/>
        </w:numPr>
        <w:spacing w:before="0" w:line="264" w:lineRule="auto"/>
        <w:jc w:val="both"/>
        <w:rPr>
          <w:rFonts w:asciiTheme="majorHAnsi" w:eastAsiaTheme="majorEastAsia" w:hAnsiTheme="majorHAnsi" w:cstheme="majorBidi"/>
          <w:bCs/>
          <w:sz w:val="22"/>
          <w:lang w:eastAsia="ar-SA"/>
        </w:rPr>
      </w:pPr>
      <w:r w:rsidRPr="00BA59B7">
        <w:rPr>
          <w:rFonts w:asciiTheme="majorHAnsi" w:eastAsiaTheme="majorEastAsia" w:hAnsiTheme="majorHAnsi" w:cstheme="majorBidi"/>
          <w:bCs/>
          <w:sz w:val="22"/>
          <w:lang w:eastAsia="ar-SA"/>
        </w:rPr>
        <w:t>Kde můžete (jako Češi) překročit hranice směrem z České republiky do Rakouska? A kde opačným směrem?</w:t>
      </w:r>
    </w:p>
    <w:p w14:paraId="5C475F3A" w14:textId="1F67EA37" w:rsidR="00963490" w:rsidRPr="00BA59B7" w:rsidRDefault="00963490" w:rsidP="00963490">
      <w:pPr>
        <w:pStyle w:val="Odstavecseseznamem"/>
        <w:numPr>
          <w:ilvl w:val="0"/>
          <w:numId w:val="20"/>
        </w:numPr>
        <w:spacing w:before="0" w:line="264" w:lineRule="auto"/>
        <w:jc w:val="both"/>
        <w:rPr>
          <w:rFonts w:asciiTheme="majorHAnsi" w:eastAsiaTheme="majorEastAsia" w:hAnsiTheme="majorHAnsi" w:cstheme="majorBidi"/>
          <w:bCs/>
          <w:sz w:val="22"/>
          <w:lang w:eastAsia="ar-SA"/>
        </w:rPr>
      </w:pPr>
      <w:r w:rsidRPr="00BA59B7">
        <w:rPr>
          <w:rFonts w:asciiTheme="majorHAnsi" w:eastAsiaTheme="majorEastAsia" w:hAnsiTheme="majorHAnsi" w:cstheme="majorBidi"/>
          <w:bCs/>
          <w:sz w:val="22"/>
          <w:lang w:eastAsia="ar-SA"/>
        </w:rPr>
        <w:t xml:space="preserve">Proč je větší pravděpodobnost kolon aut při cestě z/na dovolenou do </w:t>
      </w:r>
      <w:r w:rsidR="00EC6773">
        <w:rPr>
          <w:rFonts w:asciiTheme="majorHAnsi" w:eastAsiaTheme="majorEastAsia" w:hAnsiTheme="majorHAnsi" w:cstheme="majorBidi"/>
          <w:bCs/>
          <w:sz w:val="22"/>
          <w:lang w:eastAsia="ar-SA"/>
        </w:rPr>
        <w:t>Rumunska</w:t>
      </w:r>
      <w:r w:rsidRPr="00BA59B7">
        <w:rPr>
          <w:rFonts w:asciiTheme="majorHAnsi" w:eastAsiaTheme="majorEastAsia" w:hAnsiTheme="majorHAnsi" w:cstheme="majorBidi"/>
          <w:bCs/>
          <w:sz w:val="22"/>
          <w:lang w:eastAsia="ar-SA"/>
        </w:rPr>
        <w:t xml:space="preserve"> například na </w:t>
      </w:r>
      <w:r w:rsidR="00EC6773">
        <w:rPr>
          <w:rFonts w:asciiTheme="majorHAnsi" w:eastAsiaTheme="majorEastAsia" w:hAnsiTheme="majorHAnsi" w:cstheme="majorBidi"/>
          <w:bCs/>
          <w:sz w:val="22"/>
          <w:lang w:eastAsia="ar-SA"/>
        </w:rPr>
        <w:t>maďarsko-rumunské</w:t>
      </w:r>
      <w:r w:rsidR="00EC6773" w:rsidRPr="00BA59B7">
        <w:rPr>
          <w:rFonts w:asciiTheme="majorHAnsi" w:eastAsiaTheme="majorEastAsia" w:hAnsiTheme="majorHAnsi" w:cstheme="majorBidi"/>
          <w:bCs/>
          <w:sz w:val="22"/>
          <w:lang w:eastAsia="ar-SA"/>
        </w:rPr>
        <w:t xml:space="preserve"> </w:t>
      </w:r>
      <w:r w:rsidRPr="00BA59B7">
        <w:rPr>
          <w:rFonts w:asciiTheme="majorHAnsi" w:eastAsiaTheme="majorEastAsia" w:hAnsiTheme="majorHAnsi" w:cstheme="majorBidi"/>
          <w:bCs/>
          <w:sz w:val="22"/>
          <w:lang w:eastAsia="ar-SA"/>
        </w:rPr>
        <w:t xml:space="preserve">hranici než na </w:t>
      </w:r>
      <w:r w:rsidR="00EC6773">
        <w:rPr>
          <w:rFonts w:asciiTheme="majorHAnsi" w:eastAsiaTheme="majorEastAsia" w:hAnsiTheme="majorHAnsi" w:cstheme="majorBidi"/>
          <w:bCs/>
          <w:sz w:val="22"/>
          <w:lang w:eastAsia="ar-SA"/>
        </w:rPr>
        <w:t>maďarsko-slovenské</w:t>
      </w:r>
      <w:r w:rsidRPr="00BA59B7">
        <w:rPr>
          <w:rFonts w:asciiTheme="majorHAnsi" w:eastAsiaTheme="majorEastAsia" w:hAnsiTheme="majorHAnsi" w:cstheme="majorBidi"/>
          <w:bCs/>
          <w:sz w:val="22"/>
          <w:lang w:eastAsia="ar-SA"/>
        </w:rPr>
        <w:t xml:space="preserve"> hranici?</w:t>
      </w:r>
    </w:p>
    <w:p w14:paraId="391D0EBC" w14:textId="77777777" w:rsidR="00963490" w:rsidRPr="00BA59B7" w:rsidRDefault="00963490" w:rsidP="00963490">
      <w:pPr>
        <w:pStyle w:val="Odstavecseseznamem"/>
        <w:numPr>
          <w:ilvl w:val="0"/>
          <w:numId w:val="20"/>
        </w:numPr>
        <w:spacing w:before="0" w:line="264" w:lineRule="auto"/>
        <w:jc w:val="both"/>
        <w:rPr>
          <w:rFonts w:asciiTheme="majorHAnsi" w:eastAsiaTheme="majorEastAsia" w:hAnsiTheme="majorHAnsi" w:cstheme="majorBidi"/>
          <w:bCs/>
          <w:sz w:val="22"/>
          <w:lang w:eastAsia="ar-SA"/>
        </w:rPr>
      </w:pPr>
      <w:r w:rsidRPr="00BA59B7">
        <w:rPr>
          <w:rFonts w:asciiTheme="majorHAnsi" w:eastAsiaTheme="majorEastAsia" w:hAnsiTheme="majorHAnsi" w:cstheme="majorBidi"/>
          <w:bCs/>
          <w:sz w:val="22"/>
          <w:lang w:eastAsia="ar-SA"/>
        </w:rPr>
        <w:t>Může být zavedena kontrola osob i na tzv. vnitřní hranici? Jmenujte příklady ve vazbě na Českou republiku a) za poslední týdny; za b) za poslední roky.</w:t>
      </w:r>
    </w:p>
    <w:p w14:paraId="2ACB13E5" w14:textId="77777777" w:rsidR="00963490" w:rsidRPr="00BA59B7" w:rsidRDefault="00963490" w:rsidP="00963490">
      <w:pPr>
        <w:pStyle w:val="Odstavecseseznamem"/>
        <w:numPr>
          <w:ilvl w:val="0"/>
          <w:numId w:val="20"/>
        </w:numPr>
        <w:spacing w:before="0" w:line="264" w:lineRule="auto"/>
        <w:jc w:val="both"/>
        <w:rPr>
          <w:rFonts w:asciiTheme="majorHAnsi" w:eastAsiaTheme="majorEastAsia" w:hAnsiTheme="majorHAnsi" w:cstheme="majorBidi"/>
          <w:bCs/>
          <w:sz w:val="22"/>
          <w:lang w:eastAsia="ar-SA"/>
        </w:rPr>
      </w:pPr>
      <w:r w:rsidRPr="00BA59B7">
        <w:rPr>
          <w:rFonts w:asciiTheme="majorHAnsi" w:eastAsiaTheme="majorEastAsia" w:hAnsiTheme="majorHAnsi" w:cstheme="majorBidi"/>
          <w:bCs/>
          <w:sz w:val="22"/>
          <w:lang w:eastAsia="ar-SA"/>
        </w:rPr>
        <w:t>Může i Česká republika v nějakých případech vykonávat vnější kontrolu, i když je obklopena státy, které jsou součástí schengenského prostoru?</w:t>
      </w:r>
    </w:p>
    <w:p w14:paraId="4BC70A9D" w14:textId="6F47566A" w:rsidR="00963490" w:rsidRPr="004E5FAF" w:rsidRDefault="00963490" w:rsidP="00963490">
      <w:pPr>
        <w:jc w:val="center"/>
        <w:rPr>
          <w:rFonts w:asciiTheme="majorHAnsi" w:eastAsiaTheme="majorEastAsia" w:hAnsiTheme="majorHAnsi" w:cstheme="majorBidi"/>
          <w:bCs/>
          <w:sz w:val="24"/>
          <w:szCs w:val="24"/>
          <w:lang w:eastAsia="ar-SA"/>
        </w:rPr>
      </w:pPr>
      <w:r>
        <w:rPr>
          <w:rFonts w:asciiTheme="majorHAnsi" w:eastAsiaTheme="majorEastAsia" w:hAnsiTheme="majorHAnsi" w:cstheme="majorBidi"/>
          <w:bCs/>
          <w:noProof/>
          <w:sz w:val="24"/>
          <w:szCs w:val="24"/>
          <w:lang w:eastAsia="ar-SA"/>
        </w:rPr>
        <w:lastRenderedPageBreak/>
        <w:drawing>
          <wp:inline distT="0" distB="0" distL="0" distR="0" wp14:anchorId="7DD5CE68" wp14:editId="4BD2C11D">
            <wp:extent cx="4514850" cy="3581213"/>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8572" cy="3592097"/>
                    </a:xfrm>
                    <a:prstGeom prst="rect">
                      <a:avLst/>
                    </a:prstGeom>
                    <a:noFill/>
                  </pic:spPr>
                </pic:pic>
              </a:graphicData>
            </a:graphic>
          </wp:inline>
        </w:drawing>
      </w:r>
    </w:p>
    <w:p w14:paraId="2DEEFB62" w14:textId="77777777" w:rsidR="00963490" w:rsidRDefault="00963490" w:rsidP="00963490">
      <w:pPr>
        <w:jc w:val="center"/>
        <w:rPr>
          <w:noProof/>
        </w:rPr>
      </w:pPr>
    </w:p>
    <w:p w14:paraId="4D3BD1AF" w14:textId="1B69014D" w:rsidR="00963490" w:rsidRPr="003151F5" w:rsidRDefault="003151F5" w:rsidP="00963490">
      <w:pPr>
        <w:rPr>
          <w:rFonts w:asciiTheme="majorHAnsi" w:eastAsiaTheme="majorEastAsia" w:hAnsiTheme="majorHAnsi" w:cstheme="majorBidi"/>
          <w:b/>
          <w:sz w:val="24"/>
          <w:szCs w:val="24"/>
          <w:lang w:eastAsia="ar-SA"/>
        </w:rPr>
      </w:pPr>
      <w:r>
        <w:rPr>
          <w:rFonts w:asciiTheme="majorHAnsi" w:eastAsiaTheme="majorEastAsia" w:hAnsiTheme="majorHAnsi" w:cstheme="majorBidi"/>
          <w:b/>
          <w:sz w:val="24"/>
          <w:szCs w:val="24"/>
          <w:lang w:eastAsia="ar-SA"/>
        </w:rPr>
        <w:t>-----------------------------------------------------</w:t>
      </w:r>
    </w:p>
    <w:p w14:paraId="0AE7F5B4" w14:textId="77777777" w:rsidR="00963490" w:rsidRDefault="00963490" w:rsidP="00963490">
      <w:pPr>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color w:val="0000DC"/>
          <w:sz w:val="24"/>
          <w:szCs w:val="24"/>
          <w:lang w:eastAsia="ar-SA"/>
        </w:rPr>
        <w:t>Volný pohyb osob</w:t>
      </w:r>
    </w:p>
    <w:p w14:paraId="7FC9A6AB" w14:textId="77777777" w:rsidR="00963490" w:rsidRDefault="00963490" w:rsidP="00963490">
      <w:pPr>
        <w:rPr>
          <w:rFonts w:asciiTheme="majorHAnsi" w:eastAsiaTheme="majorEastAsia" w:hAnsiTheme="majorHAnsi" w:cstheme="majorBidi"/>
          <w:bCs/>
          <w:sz w:val="24"/>
          <w:szCs w:val="24"/>
          <w:lang w:eastAsia="ar-SA"/>
        </w:rPr>
      </w:pPr>
      <w:r w:rsidRPr="004E5FAF">
        <w:rPr>
          <w:rFonts w:asciiTheme="majorHAnsi" w:eastAsiaTheme="majorEastAsia" w:hAnsiTheme="majorHAnsi" w:cstheme="majorBidi"/>
          <w:bCs/>
          <w:sz w:val="24"/>
          <w:szCs w:val="24"/>
          <w:lang w:eastAsia="ar-SA"/>
        </w:rPr>
        <w:t>Výchozí text</w:t>
      </w:r>
    </w:p>
    <w:tbl>
      <w:tblPr>
        <w:tblStyle w:val="Mkatabulky"/>
        <w:tblW w:w="0" w:type="auto"/>
        <w:tblLook w:val="04A0" w:firstRow="1" w:lastRow="0" w:firstColumn="1" w:lastColumn="0" w:noHBand="0" w:noVBand="1"/>
      </w:tblPr>
      <w:tblGrid>
        <w:gridCol w:w="9138"/>
      </w:tblGrid>
      <w:tr w:rsidR="00963490" w14:paraId="3F0E6220" w14:textId="77777777" w:rsidTr="004278D5">
        <w:tc>
          <w:tcPr>
            <w:tcW w:w="917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shd w:val="clear" w:color="auto" w:fill="DAEEF3" w:themeFill="accent5" w:themeFillTint="33"/>
          </w:tcPr>
          <w:p w14:paraId="760BFBBC" w14:textId="77777777" w:rsidR="00963490" w:rsidRDefault="00963490" w:rsidP="004278D5">
            <w:pPr>
              <w:rPr>
                <w:rFonts w:asciiTheme="majorHAnsi" w:eastAsiaTheme="majorEastAsia" w:hAnsiTheme="majorHAnsi" w:cstheme="majorBidi"/>
                <w:bCs/>
                <w:sz w:val="22"/>
                <w:lang w:eastAsia="ar-SA"/>
              </w:rPr>
            </w:pPr>
            <w:r w:rsidRPr="00C747EE">
              <w:rPr>
                <w:rFonts w:asciiTheme="majorHAnsi" w:eastAsiaTheme="majorEastAsia" w:hAnsiTheme="majorHAnsi" w:cstheme="majorBidi"/>
                <w:bCs/>
                <w:sz w:val="22"/>
                <w:lang w:eastAsia="ar-SA"/>
              </w:rPr>
              <w:t xml:space="preserve">V rámci </w:t>
            </w:r>
            <w:r>
              <w:rPr>
                <w:rFonts w:asciiTheme="majorHAnsi" w:eastAsiaTheme="majorEastAsia" w:hAnsiTheme="majorHAnsi" w:cstheme="majorBidi"/>
                <w:bCs/>
                <w:sz w:val="22"/>
                <w:lang w:eastAsia="ar-SA"/>
              </w:rPr>
              <w:t xml:space="preserve">volného pohybu osob můžeme rozlišit tři kategorie osob. Zaprvé, je to pohyb občanů EU na mimoekonomickém základě (například v rámci turistiky či delšího pobytu v členském státě EU, ale bez toho, aniž bychom chtěli být zaměstnáni či podnikat). Zadruhé, je to volný pohyb pracovníků (zaměstnanců) a zatřetí volný pohyb podnikajících osob (ať už fyzických, či právnických – můžete se setkat s označením svoboda usazování). </w:t>
            </w:r>
          </w:p>
          <w:p w14:paraId="44C540D3" w14:textId="77777777" w:rsidR="00963490" w:rsidRDefault="00963490" w:rsidP="004278D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Obecně platí zásada rovného zacházení a zákaz diskriminace na základě státní příslušnosti (ať již přímé, či nepřímé diskriminace). To znamená, že s Vámi, jako občany ČR, musí být v jiném členském státě zacházeno stejně</w:t>
            </w:r>
            <w:r w:rsidRPr="00AA61C1">
              <w:rPr>
                <w:rFonts w:asciiTheme="majorHAnsi" w:eastAsiaTheme="majorEastAsia" w:hAnsiTheme="majorHAnsi" w:cstheme="majorBidi"/>
                <w:bCs/>
                <w:sz w:val="22"/>
                <w:lang w:eastAsia="ar-SA"/>
              </w:rPr>
              <w:t xml:space="preserve"> jako </w:t>
            </w:r>
            <w:r>
              <w:rPr>
                <w:rFonts w:asciiTheme="majorHAnsi" w:eastAsiaTheme="majorEastAsia" w:hAnsiTheme="majorHAnsi" w:cstheme="majorBidi"/>
                <w:bCs/>
                <w:sz w:val="22"/>
                <w:lang w:eastAsia="ar-SA"/>
              </w:rPr>
              <w:t xml:space="preserve">se </w:t>
            </w:r>
            <w:r w:rsidRPr="00AA61C1">
              <w:rPr>
                <w:rFonts w:asciiTheme="majorHAnsi" w:eastAsiaTheme="majorEastAsia" w:hAnsiTheme="majorHAnsi" w:cstheme="majorBidi"/>
                <w:bCs/>
                <w:sz w:val="22"/>
                <w:lang w:eastAsia="ar-SA"/>
              </w:rPr>
              <w:t>státní</w:t>
            </w:r>
            <w:r>
              <w:rPr>
                <w:rFonts w:asciiTheme="majorHAnsi" w:eastAsiaTheme="majorEastAsia" w:hAnsiTheme="majorHAnsi" w:cstheme="majorBidi"/>
                <w:bCs/>
                <w:sz w:val="22"/>
                <w:lang w:eastAsia="ar-SA"/>
              </w:rPr>
              <w:t>mi</w:t>
            </w:r>
            <w:r w:rsidRPr="00AA61C1">
              <w:rPr>
                <w:rFonts w:asciiTheme="majorHAnsi" w:eastAsiaTheme="majorEastAsia" w:hAnsiTheme="majorHAnsi" w:cstheme="majorBidi"/>
                <w:bCs/>
                <w:sz w:val="22"/>
                <w:lang w:eastAsia="ar-SA"/>
              </w:rPr>
              <w:t xml:space="preserve"> příslušní</w:t>
            </w:r>
            <w:r>
              <w:rPr>
                <w:rFonts w:asciiTheme="majorHAnsi" w:eastAsiaTheme="majorEastAsia" w:hAnsiTheme="majorHAnsi" w:cstheme="majorBidi"/>
                <w:bCs/>
                <w:sz w:val="22"/>
                <w:lang w:eastAsia="ar-SA"/>
              </w:rPr>
              <w:t xml:space="preserve">ky (občany) členského státu, kde pobýváte. </w:t>
            </w:r>
          </w:p>
          <w:p w14:paraId="5E54BD49" w14:textId="77777777" w:rsidR="00963490" w:rsidRDefault="00963490" w:rsidP="004278D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Jako občané ČR (tedy občané EU) máte právo opustit území členského státu a máte právo na vstup do jiného členského státu.</w:t>
            </w:r>
            <w:r>
              <w:t xml:space="preserve"> </w:t>
            </w:r>
            <w:r>
              <w:rPr>
                <w:rFonts w:asciiTheme="majorHAnsi" w:eastAsiaTheme="majorEastAsia" w:hAnsiTheme="majorHAnsi" w:cstheme="majorBidi"/>
                <w:bCs/>
                <w:sz w:val="22"/>
                <w:lang w:eastAsia="ar-SA"/>
              </w:rPr>
              <w:t>Ten zaručují</w:t>
            </w:r>
            <w:r w:rsidRPr="00AA61C1">
              <w:rPr>
                <w:rFonts w:asciiTheme="majorHAnsi" w:eastAsiaTheme="majorEastAsia" w:hAnsiTheme="majorHAnsi" w:cstheme="majorBidi"/>
                <w:bCs/>
                <w:sz w:val="22"/>
                <w:lang w:eastAsia="ar-SA"/>
              </w:rPr>
              <w:t xml:space="preserve"> členské státy občanům Unie s platným průkazem totožnosti nebo cestovním pasem</w:t>
            </w:r>
            <w:r>
              <w:rPr>
                <w:rFonts w:asciiTheme="majorHAnsi" w:eastAsiaTheme="majorEastAsia" w:hAnsiTheme="majorHAnsi" w:cstheme="majorBidi"/>
                <w:bCs/>
                <w:sz w:val="22"/>
                <w:lang w:eastAsia="ar-SA"/>
              </w:rPr>
              <w:t>. A záleží dále, jak dlouho a z jakého důvodu v cizí zemi pobýváte. Rozlišujeme krátkodobý, dlouhodobý a trvalý pobyt.</w:t>
            </w:r>
          </w:p>
          <w:p w14:paraId="73EE832A" w14:textId="77777777" w:rsidR="00963490" w:rsidRDefault="00963490" w:rsidP="004278D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Krátkodobý pobyt je pobyt do tří měsíců. Na něj máte v jiném členském státě právo, </w:t>
            </w:r>
            <w:r w:rsidRPr="00AA61C1">
              <w:rPr>
                <w:rFonts w:asciiTheme="majorHAnsi" w:eastAsiaTheme="majorEastAsia" w:hAnsiTheme="majorHAnsi" w:cstheme="majorBidi"/>
                <w:bCs/>
                <w:sz w:val="22"/>
                <w:lang w:eastAsia="ar-SA"/>
              </w:rPr>
              <w:t>aniž by</w:t>
            </w:r>
            <w:r>
              <w:rPr>
                <w:rFonts w:asciiTheme="majorHAnsi" w:eastAsiaTheme="majorEastAsia" w:hAnsiTheme="majorHAnsi" w:cstheme="majorBidi"/>
                <w:bCs/>
                <w:sz w:val="22"/>
                <w:lang w:eastAsia="ar-SA"/>
              </w:rPr>
              <w:t>ste</w:t>
            </w:r>
            <w:r w:rsidRPr="00AA61C1">
              <w:rPr>
                <w:rFonts w:asciiTheme="majorHAnsi" w:eastAsiaTheme="majorEastAsia" w:hAnsiTheme="majorHAnsi" w:cstheme="majorBidi"/>
                <w:bCs/>
                <w:sz w:val="22"/>
                <w:lang w:eastAsia="ar-SA"/>
              </w:rPr>
              <w:t xml:space="preserve"> podléhali jakýmkoli podmínkám či formalitám s výjimkou povinnosti být držitelem platného průkazu totožnosti nebo cestovního pasu</w:t>
            </w:r>
            <w:r>
              <w:rPr>
                <w:rFonts w:asciiTheme="majorHAnsi" w:eastAsiaTheme="majorEastAsia" w:hAnsiTheme="majorHAnsi" w:cstheme="majorBidi"/>
                <w:bCs/>
                <w:sz w:val="22"/>
                <w:lang w:eastAsia="ar-SA"/>
              </w:rPr>
              <w:t xml:space="preserve">. Pokud Vás doprovází či následuje tzv. rodinný příslušník, který není občan EU, musí být držitelem platného cestovního pasu. </w:t>
            </w:r>
          </w:p>
          <w:p w14:paraId="202AE6CF" w14:textId="77777777" w:rsidR="00963490" w:rsidRDefault="00963490" w:rsidP="004278D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lastRenderedPageBreak/>
              <w:t xml:space="preserve">Dlouhodobý pobyt je pobyt nad tři měsíce a do 5 let. Toto právo máte při splnění jedné ze tří následujících podmínek (postačí splnit jednu z nich). 1) Jste v jiném členském státě zaměstnáni či tam jste osobou samostatně výdělečně činnou; nebo 2) nepracujete v takovém členském státě či nejste OSVČ, ale máte </w:t>
            </w:r>
            <w:r w:rsidRPr="00B70320">
              <w:rPr>
                <w:rFonts w:asciiTheme="majorHAnsi" w:eastAsiaTheme="majorEastAsia" w:hAnsiTheme="majorHAnsi" w:cstheme="majorBidi"/>
                <w:bCs/>
                <w:sz w:val="22"/>
                <w:lang w:eastAsia="ar-SA"/>
              </w:rPr>
              <w:t>dostatečné prostředky</w:t>
            </w:r>
            <w:r>
              <w:rPr>
                <w:rFonts w:asciiTheme="majorHAnsi" w:eastAsiaTheme="majorEastAsia" w:hAnsiTheme="majorHAnsi" w:cstheme="majorBidi"/>
                <w:bCs/>
                <w:sz w:val="22"/>
                <w:lang w:eastAsia="ar-SA"/>
              </w:rPr>
              <w:t xml:space="preserve"> pro sebe a své rodinné příslušníky</w:t>
            </w:r>
            <w:r w:rsidRPr="00B70320">
              <w:rPr>
                <w:rFonts w:asciiTheme="majorHAnsi" w:eastAsiaTheme="majorEastAsia" w:hAnsiTheme="majorHAnsi" w:cstheme="majorBidi"/>
                <w:bCs/>
                <w:sz w:val="22"/>
                <w:lang w:eastAsia="ar-SA"/>
              </w:rPr>
              <w:t>, aby</w:t>
            </w:r>
            <w:r>
              <w:rPr>
                <w:rFonts w:asciiTheme="majorHAnsi" w:eastAsiaTheme="majorEastAsia" w:hAnsiTheme="majorHAnsi" w:cstheme="majorBidi"/>
                <w:bCs/>
                <w:sz w:val="22"/>
                <w:lang w:eastAsia="ar-SA"/>
              </w:rPr>
              <w:t>ste</w:t>
            </w:r>
            <w:r w:rsidRPr="00B70320">
              <w:rPr>
                <w:rFonts w:asciiTheme="majorHAnsi" w:eastAsiaTheme="majorEastAsia" w:hAnsiTheme="majorHAnsi" w:cstheme="majorBidi"/>
                <w:bCs/>
                <w:sz w:val="22"/>
                <w:lang w:eastAsia="ar-SA"/>
              </w:rPr>
              <w:t xml:space="preserve"> se po dobu svého pobytu nestali zátěží pro systém sociální pomoci</w:t>
            </w:r>
            <w:r>
              <w:rPr>
                <w:rFonts w:asciiTheme="majorHAnsi" w:eastAsiaTheme="majorEastAsia" w:hAnsiTheme="majorHAnsi" w:cstheme="majorBidi"/>
                <w:bCs/>
                <w:sz w:val="22"/>
                <w:lang w:eastAsia="ar-SA"/>
              </w:rPr>
              <w:t xml:space="preserve"> v daném členském státě + se účastníte zdravotního pojištění, kterým jsou kryta všechna rizika; nebo 3) studujete v jiném členském státě + se účastníte zdravotního pojištění, kterým jsou kryta všechna rizika či alternativně prohlásíte, že máte dostatečné finanční prostředky. Rodinný příslušník, který Vás doprovází či následuje, nemusí tyto podmínky splnit, pokud je splňujete Vy. Občanům EU se vydává osvědčení o registraci (pokud členský stát vyžaduje), občanům třetích států, kteří jsou rodinnými příslušníky občana EU, se vydává pobytová karta.</w:t>
            </w:r>
          </w:p>
          <w:p w14:paraId="28E5531D" w14:textId="77777777" w:rsidR="00963490" w:rsidRDefault="00963490" w:rsidP="004278D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Právo na trvalý pobyt v jiném členském státě máte tehdy, pokud</w:t>
            </w:r>
            <w:r w:rsidRPr="00B70320">
              <w:rPr>
                <w:rFonts w:asciiTheme="majorHAnsi" w:eastAsiaTheme="majorEastAsia" w:hAnsiTheme="majorHAnsi" w:cstheme="majorBidi"/>
                <w:bCs/>
                <w:sz w:val="22"/>
                <w:lang w:eastAsia="ar-SA"/>
              </w:rPr>
              <w:t xml:space="preserve"> tam nepřetržitě legálně pobýv</w:t>
            </w:r>
            <w:r>
              <w:rPr>
                <w:rFonts w:asciiTheme="majorHAnsi" w:eastAsiaTheme="majorEastAsia" w:hAnsiTheme="majorHAnsi" w:cstheme="majorBidi"/>
                <w:bCs/>
                <w:sz w:val="22"/>
                <w:lang w:eastAsia="ar-SA"/>
              </w:rPr>
              <w:t>áte</w:t>
            </w:r>
            <w:r w:rsidRPr="00B70320">
              <w:rPr>
                <w:rFonts w:asciiTheme="majorHAnsi" w:eastAsiaTheme="majorEastAsia" w:hAnsiTheme="majorHAnsi" w:cstheme="majorBidi"/>
                <w:bCs/>
                <w:sz w:val="22"/>
                <w:lang w:eastAsia="ar-SA"/>
              </w:rPr>
              <w:t xml:space="preserve"> po dobu pěti let.</w:t>
            </w:r>
            <w:r>
              <w:rPr>
                <w:rFonts w:asciiTheme="majorHAnsi" w:eastAsiaTheme="majorEastAsia" w:hAnsiTheme="majorHAnsi" w:cstheme="majorBidi"/>
                <w:bCs/>
                <w:sz w:val="22"/>
                <w:lang w:eastAsia="ar-SA"/>
              </w:rPr>
              <w:t xml:space="preserve"> Neznamená, že tuto zemi nesmíte opustit během této doby. </w:t>
            </w:r>
            <w:r w:rsidRPr="00B70320">
              <w:rPr>
                <w:rFonts w:asciiTheme="majorHAnsi" w:eastAsiaTheme="majorEastAsia" w:hAnsiTheme="majorHAnsi" w:cstheme="majorBidi"/>
                <w:bCs/>
                <w:sz w:val="22"/>
                <w:lang w:eastAsia="ar-SA"/>
              </w:rPr>
              <w:t>Nepřetržitost pobytu není dotčena dočasnou nepřítomností po dobu nepřesahující celkem šest měsíců v</w:t>
            </w:r>
            <w:r>
              <w:rPr>
                <w:rFonts w:asciiTheme="majorHAnsi" w:eastAsiaTheme="majorEastAsia" w:hAnsiTheme="majorHAnsi" w:cstheme="majorBidi"/>
                <w:bCs/>
                <w:sz w:val="22"/>
                <w:lang w:eastAsia="ar-SA"/>
              </w:rPr>
              <w:t> </w:t>
            </w:r>
            <w:r w:rsidRPr="00B70320">
              <w:rPr>
                <w:rFonts w:asciiTheme="majorHAnsi" w:eastAsiaTheme="majorEastAsia" w:hAnsiTheme="majorHAnsi" w:cstheme="majorBidi"/>
                <w:bCs/>
                <w:sz w:val="22"/>
                <w:lang w:eastAsia="ar-SA"/>
              </w:rPr>
              <w:t>roce</w:t>
            </w:r>
            <w:r>
              <w:rPr>
                <w:rFonts w:asciiTheme="majorHAnsi" w:eastAsiaTheme="majorEastAsia" w:hAnsiTheme="majorHAnsi" w:cstheme="majorBidi"/>
                <w:bCs/>
                <w:sz w:val="22"/>
                <w:lang w:eastAsia="ar-SA"/>
              </w:rPr>
              <w:t xml:space="preserve">, při výjimečným případech i déle (například vojenská služba, těhotenství, vážná nemoc, studium). Jsou výjimky, kdy jej získáte i dříve, než po 5 letech. Pokud jej získáte, můžete ho ztratit jen v případě, kdy nejste přítomni </w:t>
            </w:r>
            <w:r w:rsidRPr="00B70320">
              <w:rPr>
                <w:rFonts w:asciiTheme="majorHAnsi" w:eastAsiaTheme="majorEastAsia" w:hAnsiTheme="majorHAnsi" w:cstheme="majorBidi"/>
                <w:bCs/>
                <w:sz w:val="22"/>
                <w:lang w:eastAsia="ar-SA"/>
              </w:rPr>
              <w:t>po dobu delší než dva po sobě jdoucí roky.</w:t>
            </w:r>
            <w:r>
              <w:rPr>
                <w:rFonts w:asciiTheme="majorHAnsi" w:eastAsiaTheme="majorEastAsia" w:hAnsiTheme="majorHAnsi" w:cstheme="majorBidi"/>
                <w:bCs/>
                <w:sz w:val="22"/>
                <w:lang w:eastAsia="ar-SA"/>
              </w:rPr>
              <w:t xml:space="preserve"> Občanům EU se vydává doklad osvědčují trvalý pobyt, občanům třetích států, kteří jsou rodinnými příslušníky občana EU, se vydává karta trvalého pobytu. </w:t>
            </w:r>
          </w:p>
          <w:p w14:paraId="00B2570E" w14:textId="77777777" w:rsidR="00963490" w:rsidRDefault="00963490" w:rsidP="004278D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V textu se hovoří o rodinných příslušnících. Za něj se považuje manžel/manželka, registrovaný partner (pokud stát zachází s registrovaným partnerstvím stejně jako s manželstvím a partnerství bylo uzavřeno v členském státě), dále potomci v přímé linii (do 21 let vždy, nad tento věk, jsou-li vyživovanými osobami – typicky studenti) a předci v přímé linii, jsou-li vyživovanými osobami.</w:t>
            </w:r>
          </w:p>
          <w:p w14:paraId="54C26D8E" w14:textId="030CE1AF" w:rsidR="00963490" w:rsidRDefault="00963490" w:rsidP="004278D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Vaše právo na pobyt může být omezeno </w:t>
            </w:r>
            <w:r w:rsidRPr="004A46B1">
              <w:rPr>
                <w:rFonts w:asciiTheme="majorHAnsi" w:eastAsiaTheme="majorEastAsia" w:hAnsiTheme="majorHAnsi" w:cstheme="majorBidi"/>
                <w:bCs/>
                <w:sz w:val="22"/>
                <w:lang w:eastAsia="ar-SA"/>
              </w:rPr>
              <w:t xml:space="preserve">z důvodů veřejného pořádku, veřejné bezpečnosti nebo </w:t>
            </w:r>
            <w:r w:rsidR="00EA1297">
              <w:rPr>
                <w:rFonts w:asciiTheme="majorHAnsi" w:eastAsiaTheme="majorEastAsia" w:hAnsiTheme="majorHAnsi" w:cstheme="majorBidi"/>
                <w:bCs/>
                <w:sz w:val="22"/>
                <w:lang w:eastAsia="ar-SA"/>
              </w:rPr>
              <w:t>ochrany</w:t>
            </w:r>
            <w:r w:rsidRPr="004A46B1">
              <w:rPr>
                <w:rFonts w:asciiTheme="majorHAnsi" w:eastAsiaTheme="majorEastAsia" w:hAnsiTheme="majorHAnsi" w:cstheme="majorBidi"/>
                <w:bCs/>
                <w:sz w:val="22"/>
                <w:lang w:eastAsia="ar-SA"/>
              </w:rPr>
              <w:t xml:space="preserve"> zdraví</w:t>
            </w:r>
            <w:r>
              <w:rPr>
                <w:rFonts w:asciiTheme="majorHAnsi" w:eastAsiaTheme="majorEastAsia" w:hAnsiTheme="majorHAnsi" w:cstheme="majorBidi"/>
                <w:bCs/>
                <w:sz w:val="22"/>
                <w:lang w:eastAsia="ar-SA"/>
              </w:rPr>
              <w:t xml:space="preserve">. </w:t>
            </w:r>
            <w:r w:rsidR="00EA1297">
              <w:rPr>
                <w:rFonts w:asciiTheme="majorHAnsi" w:eastAsiaTheme="majorEastAsia" w:hAnsiTheme="majorHAnsi" w:cstheme="majorBidi"/>
                <w:bCs/>
                <w:sz w:val="22"/>
                <w:lang w:eastAsia="ar-SA"/>
              </w:rPr>
              <w:t>Důvod</w:t>
            </w:r>
            <w:r>
              <w:rPr>
                <w:rFonts w:asciiTheme="majorHAnsi" w:eastAsiaTheme="majorEastAsia" w:hAnsiTheme="majorHAnsi" w:cstheme="majorBidi"/>
                <w:bCs/>
                <w:sz w:val="22"/>
                <w:lang w:eastAsia="ar-SA"/>
              </w:rPr>
              <w:t xml:space="preserve"> veřejného pořádku či veřejné bezpečnosti </w:t>
            </w:r>
            <w:r w:rsidRPr="004A46B1">
              <w:rPr>
                <w:rFonts w:asciiTheme="majorHAnsi" w:eastAsiaTheme="majorEastAsia" w:hAnsiTheme="majorHAnsi" w:cstheme="majorBidi"/>
                <w:bCs/>
                <w:sz w:val="22"/>
                <w:lang w:eastAsia="ar-SA"/>
              </w:rPr>
              <w:t>musí být založen výlučně na osobním chování dotyčné osoby</w:t>
            </w:r>
            <w:r>
              <w:rPr>
                <w:rFonts w:asciiTheme="majorHAnsi" w:eastAsiaTheme="majorEastAsia" w:hAnsiTheme="majorHAnsi" w:cstheme="majorBidi"/>
                <w:bCs/>
                <w:sz w:val="22"/>
                <w:lang w:eastAsia="ar-SA"/>
              </w:rPr>
              <w:t xml:space="preserve"> tak, že toto chování představuje </w:t>
            </w:r>
            <w:r w:rsidRPr="004A46B1">
              <w:rPr>
                <w:rFonts w:asciiTheme="majorHAnsi" w:eastAsiaTheme="majorEastAsia" w:hAnsiTheme="majorHAnsi" w:cstheme="majorBidi"/>
                <w:bCs/>
                <w:sz w:val="22"/>
                <w:lang w:eastAsia="ar-SA"/>
              </w:rPr>
              <w:t>skutečné, aktuální a dostatečně závažné ohrožení některého ze základních zájmů společnosti</w:t>
            </w:r>
            <w:r>
              <w:rPr>
                <w:rFonts w:asciiTheme="majorHAnsi" w:eastAsiaTheme="majorEastAsia" w:hAnsiTheme="majorHAnsi" w:cstheme="majorBidi"/>
                <w:bCs/>
                <w:sz w:val="22"/>
                <w:lang w:eastAsia="ar-SA"/>
              </w:rPr>
              <w:t xml:space="preserve"> (ale je stanoveno, že takovým důvodem není předchozí odsouzení za trestný čin). Omezit Váš pohyb a pobyt z důvodu veřejného zdraví je možné, pokud jde o </w:t>
            </w:r>
            <w:r w:rsidRPr="004A46B1">
              <w:rPr>
                <w:rFonts w:asciiTheme="majorHAnsi" w:eastAsiaTheme="majorEastAsia" w:hAnsiTheme="majorHAnsi" w:cstheme="majorBidi"/>
                <w:bCs/>
                <w:sz w:val="22"/>
                <w:lang w:eastAsia="ar-SA"/>
              </w:rPr>
              <w:t xml:space="preserve">výhradně nemoc s epidemickým potenciálem definované </w:t>
            </w:r>
            <w:r>
              <w:rPr>
                <w:rFonts w:asciiTheme="majorHAnsi" w:eastAsiaTheme="majorEastAsia" w:hAnsiTheme="majorHAnsi" w:cstheme="majorBidi"/>
                <w:bCs/>
                <w:sz w:val="22"/>
                <w:lang w:eastAsia="ar-SA"/>
              </w:rPr>
              <w:t>Světovou</w:t>
            </w:r>
            <w:r w:rsidRPr="004A46B1">
              <w:rPr>
                <w:rFonts w:asciiTheme="majorHAnsi" w:eastAsiaTheme="majorEastAsia" w:hAnsiTheme="majorHAnsi" w:cstheme="majorBidi"/>
                <w:bCs/>
                <w:sz w:val="22"/>
                <w:lang w:eastAsia="ar-SA"/>
              </w:rPr>
              <w:t xml:space="preserve"> zdravotnick</w:t>
            </w:r>
            <w:r>
              <w:rPr>
                <w:rFonts w:asciiTheme="majorHAnsi" w:eastAsiaTheme="majorEastAsia" w:hAnsiTheme="majorHAnsi" w:cstheme="majorBidi"/>
                <w:bCs/>
                <w:sz w:val="22"/>
                <w:lang w:eastAsia="ar-SA"/>
              </w:rPr>
              <w:t>ou</w:t>
            </w:r>
            <w:r w:rsidRPr="004A46B1">
              <w:rPr>
                <w:rFonts w:asciiTheme="majorHAnsi" w:eastAsiaTheme="majorEastAsia" w:hAnsiTheme="majorHAnsi" w:cstheme="majorBidi"/>
                <w:bCs/>
                <w:sz w:val="22"/>
                <w:lang w:eastAsia="ar-SA"/>
              </w:rPr>
              <w:t xml:space="preserve"> organizac</w:t>
            </w:r>
            <w:r>
              <w:rPr>
                <w:rFonts w:asciiTheme="majorHAnsi" w:eastAsiaTheme="majorEastAsia" w:hAnsiTheme="majorHAnsi" w:cstheme="majorBidi"/>
                <w:bCs/>
                <w:sz w:val="22"/>
                <w:lang w:eastAsia="ar-SA"/>
              </w:rPr>
              <w:t>í</w:t>
            </w:r>
            <w:r w:rsidRPr="004A46B1">
              <w:rPr>
                <w:rFonts w:asciiTheme="majorHAnsi" w:eastAsiaTheme="majorEastAsia" w:hAnsiTheme="majorHAnsi" w:cstheme="majorBidi"/>
                <w:bCs/>
                <w:sz w:val="22"/>
                <w:lang w:eastAsia="ar-SA"/>
              </w:rPr>
              <w:t xml:space="preserve"> a jiné nakažlivé nemoci, pokud se ochranná opatření </w:t>
            </w:r>
            <w:r>
              <w:rPr>
                <w:rFonts w:asciiTheme="majorHAnsi" w:eastAsiaTheme="majorEastAsia" w:hAnsiTheme="majorHAnsi" w:cstheme="majorBidi"/>
                <w:bCs/>
                <w:sz w:val="22"/>
                <w:lang w:eastAsia="ar-SA"/>
              </w:rPr>
              <w:t xml:space="preserve">vztahují jak na občany daného státu, tak na ony občany jiných členských států, kteří zde pobývají. </w:t>
            </w:r>
          </w:p>
          <w:p w14:paraId="41F1C6A4" w14:textId="77777777" w:rsidR="00963490" w:rsidRDefault="00963490" w:rsidP="004278D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V krajním případě můžete být i vyhoštěni z jiného členského státu a může Vám být uložen zákaz vstupu do země, ovšem důvody pro vyhoštění jsou po 2 letech od vydání přezkoumávány, zda nebezpečí stále trvá. Nemůžete být vyhoštěni ze státu, jehož jste občany.</w:t>
            </w:r>
          </w:p>
          <w:p w14:paraId="735E4FA7" w14:textId="77777777" w:rsidR="00963490" w:rsidRDefault="00963490" w:rsidP="004278D5">
            <w:pPr>
              <w:rPr>
                <w:rFonts w:asciiTheme="majorHAnsi" w:eastAsiaTheme="majorEastAsia" w:hAnsiTheme="majorHAnsi" w:cstheme="majorBidi"/>
                <w:bCs/>
                <w:sz w:val="22"/>
                <w:lang w:eastAsia="ar-SA"/>
              </w:rPr>
            </w:pPr>
            <w:r w:rsidRPr="00130FC5">
              <w:rPr>
                <w:rFonts w:asciiTheme="majorHAnsi" w:eastAsiaTheme="majorEastAsia" w:hAnsiTheme="majorHAnsi" w:cstheme="majorBidi"/>
                <w:bCs/>
                <w:sz w:val="22"/>
                <w:lang w:eastAsia="ar-SA"/>
              </w:rPr>
              <w:t>Pokud</w:t>
            </w:r>
            <w:r>
              <w:rPr>
                <w:rFonts w:asciiTheme="majorHAnsi" w:eastAsiaTheme="majorEastAsia" w:hAnsiTheme="majorHAnsi" w:cstheme="majorBidi"/>
                <w:bCs/>
                <w:sz w:val="22"/>
                <w:lang w:eastAsia="ar-SA"/>
              </w:rPr>
              <w:t xml:space="preserve"> jde o volný pohyb pracovníků, opouštíte členský stát a jdete pracovat/nechat se zaměstnat do jiného členského státu. Pracovníkem rozumíme o</w:t>
            </w:r>
            <w:r w:rsidRPr="00130FC5">
              <w:rPr>
                <w:rFonts w:asciiTheme="majorHAnsi" w:eastAsiaTheme="majorEastAsia" w:hAnsiTheme="majorHAnsi" w:cstheme="majorBidi"/>
                <w:bCs/>
                <w:sz w:val="22"/>
                <w:lang w:eastAsia="ar-SA"/>
              </w:rPr>
              <w:t>sob</w:t>
            </w:r>
            <w:r>
              <w:rPr>
                <w:rFonts w:asciiTheme="majorHAnsi" w:eastAsiaTheme="majorEastAsia" w:hAnsiTheme="majorHAnsi" w:cstheme="majorBidi"/>
                <w:bCs/>
                <w:sz w:val="22"/>
                <w:lang w:eastAsia="ar-SA"/>
              </w:rPr>
              <w:t>u</w:t>
            </w:r>
            <w:r w:rsidRPr="00130FC5">
              <w:rPr>
                <w:rFonts w:asciiTheme="majorHAnsi" w:eastAsiaTheme="majorEastAsia" w:hAnsiTheme="majorHAnsi" w:cstheme="majorBidi"/>
                <w:bCs/>
                <w:sz w:val="22"/>
                <w:lang w:eastAsia="ar-SA"/>
              </w:rPr>
              <w:t xml:space="preserve"> vykonávající skutečnou a efektivní činnost (s hospodářskou hodnotou) podle pokynů druhého (nechává se zaměstnat jinou osobou) za odměnu</w:t>
            </w:r>
            <w:r>
              <w:rPr>
                <w:rFonts w:asciiTheme="majorHAnsi" w:eastAsiaTheme="majorEastAsia" w:hAnsiTheme="majorHAnsi" w:cstheme="majorBidi"/>
                <w:bCs/>
                <w:sz w:val="22"/>
                <w:lang w:eastAsia="ar-SA"/>
              </w:rPr>
              <w:t xml:space="preserve">. Opět zde platí zákaz diskriminace </w:t>
            </w:r>
            <w:r w:rsidRPr="00130FC5">
              <w:rPr>
                <w:rFonts w:asciiTheme="majorHAnsi" w:eastAsiaTheme="majorEastAsia" w:hAnsiTheme="majorHAnsi" w:cstheme="majorBidi"/>
                <w:bCs/>
                <w:sz w:val="22"/>
                <w:lang w:eastAsia="ar-SA"/>
              </w:rPr>
              <w:t>mezi pracovníky členských států na základě státní příslušnosti, pokud jde o zaměstnávání, odměnu za práci a jiné pracovní podmínky</w:t>
            </w:r>
            <w:r>
              <w:rPr>
                <w:rFonts w:asciiTheme="majorHAnsi" w:eastAsiaTheme="majorEastAsia" w:hAnsiTheme="majorHAnsi" w:cstheme="majorBidi"/>
                <w:bCs/>
                <w:sz w:val="22"/>
                <w:lang w:eastAsia="ar-SA"/>
              </w:rPr>
              <w:t xml:space="preserve">. Za diskriminaci se však nepožaduje znalost jazyka země, ve které chcete pracovat, ale musí to vyplývat z povahy povolání (učitel). Důvody omezení jsou v zásadě </w:t>
            </w:r>
            <w:r>
              <w:rPr>
                <w:rFonts w:asciiTheme="majorHAnsi" w:eastAsiaTheme="majorEastAsia" w:hAnsiTheme="majorHAnsi" w:cstheme="majorBidi"/>
                <w:bCs/>
                <w:sz w:val="22"/>
                <w:lang w:eastAsia="ar-SA"/>
              </w:rPr>
              <w:lastRenderedPageBreak/>
              <w:t>stejné – veřejný pořádek, veřejná bezpečnost a ochrana zdraví. Výjimka platí také pro veřejnou správu – lze tam mít odůvodněně požadavek, aby ve státní službě pracovali jen státní příslušníci (občané) daného státu. Nicméně jedná se jen o určité profese (např. soudci), ne o všechna místa ve veřejné/státní službě.</w:t>
            </w:r>
          </w:p>
          <w:p w14:paraId="04229DDA" w14:textId="77777777" w:rsidR="00963490" w:rsidRDefault="00963490" w:rsidP="004278D5">
            <w:pPr>
              <w:rPr>
                <w:rFonts w:asciiTheme="majorHAnsi" w:eastAsiaTheme="majorEastAsia" w:hAnsiTheme="majorHAnsi" w:cstheme="majorBidi"/>
                <w:bCs/>
                <w:sz w:val="24"/>
                <w:szCs w:val="24"/>
                <w:lang w:eastAsia="ar-SA"/>
              </w:rPr>
            </w:pPr>
            <w:r w:rsidRPr="00BA59B7">
              <w:rPr>
                <w:rFonts w:asciiTheme="majorHAnsi" w:eastAsiaTheme="majorEastAsia" w:hAnsiTheme="majorHAnsi" w:cstheme="majorBidi"/>
                <w:bCs/>
                <w:sz w:val="22"/>
                <w:lang w:eastAsia="ar-SA"/>
              </w:rPr>
              <w:t>Volný pohyb se týká také právnických osob (například společností) a podnikatelů, resp. podnikajících fyzických osob.</w:t>
            </w:r>
            <w:r>
              <w:rPr>
                <w:rFonts w:asciiTheme="majorHAnsi" w:eastAsiaTheme="majorEastAsia" w:hAnsiTheme="majorHAnsi" w:cstheme="majorBidi"/>
                <w:bCs/>
                <w:sz w:val="22"/>
                <w:lang w:eastAsia="ar-SA"/>
              </w:rPr>
              <w:t xml:space="preserve"> Hovoří se o svobodě usazování. Souvislost je také dána s volným pohybem služeb (osoba jede vykonávat službu do jiného členského státu, či naopak příjemce služby jede za poskytnutím služby do jiného členského státu). Toto téma souvisí také s problematikou uznávání kvalifikací. V zásadě jsou tři režimy uznávání: 1) automatický u profesí, kterou EU harmonizuje (lékař, zubní lékař, veterinární lékař, zdravotní sestra, porodní asistentka, farmaceut a architekt); 2) automatický u vybraných povolání – obchodní, průmyslové a řemeslné činnosti; 3) všeobecný systém pro ostatní povolání – vzájemné uznávání. Mohou být však stanoveny podmínky (například doplněním praxe).</w:t>
            </w:r>
          </w:p>
        </w:tc>
      </w:tr>
    </w:tbl>
    <w:p w14:paraId="25D74CBA" w14:textId="77777777" w:rsidR="00963490" w:rsidRDefault="00963490" w:rsidP="00963490">
      <w:pPr>
        <w:rPr>
          <w:rFonts w:asciiTheme="majorHAnsi" w:eastAsiaTheme="majorEastAsia" w:hAnsiTheme="majorHAnsi" w:cstheme="majorBidi"/>
          <w:bCs/>
          <w:sz w:val="24"/>
          <w:szCs w:val="24"/>
          <w:lang w:eastAsia="ar-SA"/>
        </w:rPr>
      </w:pPr>
    </w:p>
    <w:p w14:paraId="4FA75303" w14:textId="77777777" w:rsidR="00963490" w:rsidRPr="007E4EC5" w:rsidRDefault="00963490" w:rsidP="00963490">
      <w:pPr>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Rozhodněte, zda následující tvrzení jsou pravdivá, či nikoliv</w:t>
      </w:r>
      <w:r>
        <w:rPr>
          <w:rFonts w:asciiTheme="majorHAnsi" w:eastAsiaTheme="majorEastAsia" w:hAnsiTheme="majorHAnsi" w:cstheme="majorBidi"/>
          <w:bCs/>
          <w:sz w:val="22"/>
          <w:lang w:eastAsia="ar-SA"/>
        </w:rPr>
        <w:t>, příp. odpovězte, na co se otázka ptá.</w:t>
      </w:r>
    </w:p>
    <w:p w14:paraId="612872F4" w14:textId="77777777" w:rsidR="00963490"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 xml:space="preserve">Petra (české státní občanství) vyhrála ve Sportce druhou výhru a rozhodla se procestovat v létě (15.6.2022 až 12.9.2022) </w:t>
      </w:r>
      <w:r>
        <w:rPr>
          <w:rFonts w:asciiTheme="majorHAnsi" w:eastAsiaTheme="majorEastAsia" w:hAnsiTheme="majorHAnsi" w:cstheme="majorBidi"/>
          <w:bCs/>
          <w:sz w:val="22"/>
          <w:lang w:eastAsia="ar-SA"/>
        </w:rPr>
        <w:t>Španělsko a španělské</w:t>
      </w:r>
      <w:r w:rsidRPr="007E4EC5">
        <w:rPr>
          <w:rFonts w:asciiTheme="majorHAnsi" w:eastAsiaTheme="majorEastAsia" w:hAnsiTheme="majorHAnsi" w:cstheme="majorBidi"/>
          <w:bCs/>
          <w:sz w:val="22"/>
          <w:lang w:eastAsia="ar-SA"/>
        </w:rPr>
        <w:t xml:space="preserve"> ostrovy. </w:t>
      </w:r>
      <w:r>
        <w:rPr>
          <w:rFonts w:asciiTheme="majorHAnsi" w:eastAsiaTheme="majorEastAsia" w:hAnsiTheme="majorHAnsi" w:cstheme="majorBidi"/>
          <w:bCs/>
          <w:sz w:val="22"/>
          <w:lang w:eastAsia="ar-SA"/>
        </w:rPr>
        <w:t>J</w:t>
      </w:r>
      <w:r w:rsidRPr="007E4EC5">
        <w:rPr>
          <w:rFonts w:asciiTheme="majorHAnsi" w:eastAsiaTheme="majorEastAsia" w:hAnsiTheme="majorHAnsi" w:cstheme="majorBidi"/>
          <w:bCs/>
          <w:sz w:val="22"/>
          <w:lang w:eastAsia="ar-SA"/>
        </w:rPr>
        <w:t>edinou podmínkou pro vstup a pobyt bude na vyžádání předložení platného dokladu totožnosti</w:t>
      </w:r>
      <w:r>
        <w:rPr>
          <w:rFonts w:asciiTheme="majorHAnsi" w:eastAsiaTheme="majorEastAsia" w:hAnsiTheme="majorHAnsi" w:cstheme="majorBidi"/>
          <w:bCs/>
          <w:sz w:val="22"/>
          <w:lang w:eastAsia="ar-SA"/>
        </w:rPr>
        <w:t xml:space="preserve">. </w:t>
      </w:r>
    </w:p>
    <w:p w14:paraId="67CEE4D0" w14:textId="77777777" w:rsidR="00963490"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Pokud Petra bude chtít si vzít jako doprovod </w:t>
      </w:r>
      <w:r w:rsidRPr="007E4EC5">
        <w:rPr>
          <w:rFonts w:asciiTheme="majorHAnsi" w:eastAsiaTheme="majorEastAsia" w:hAnsiTheme="majorHAnsi" w:cstheme="majorBidi"/>
          <w:bCs/>
          <w:sz w:val="22"/>
          <w:lang w:eastAsia="ar-SA"/>
        </w:rPr>
        <w:t>svého manžela Muhammada (iránské státní občanství), je to možné jen na základě předložení (na výzvu) platného cestovního pasu</w:t>
      </w:r>
      <w:r>
        <w:rPr>
          <w:rFonts w:asciiTheme="majorHAnsi" w:eastAsiaTheme="majorEastAsia" w:hAnsiTheme="majorHAnsi" w:cstheme="majorBidi"/>
          <w:bCs/>
          <w:sz w:val="22"/>
          <w:lang w:eastAsia="ar-SA"/>
        </w:rPr>
        <w:t>.</w:t>
      </w:r>
    </w:p>
    <w:p w14:paraId="072CE82B" w14:textId="77777777" w:rsidR="00963490" w:rsidRPr="007E4EC5"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Pokud budete chtít pobývat nad 3 měsíce (jako občané ČR) v Rakousku, nebude Vám přiznáno právo na dlouhodobý pobyt, pokud nesplníte tyto podmínky:</w:t>
      </w:r>
      <w:r>
        <w:rPr>
          <w:rFonts w:asciiTheme="majorHAnsi" w:eastAsiaTheme="majorEastAsia" w:hAnsiTheme="majorHAnsi" w:cstheme="majorBidi"/>
          <w:bCs/>
          <w:sz w:val="22"/>
          <w:lang w:eastAsia="ar-SA"/>
        </w:rPr>
        <w:t xml:space="preserve"> </w:t>
      </w:r>
      <w:r w:rsidRPr="007E4EC5">
        <w:rPr>
          <w:rFonts w:asciiTheme="majorHAnsi" w:eastAsiaTheme="majorEastAsia" w:hAnsiTheme="majorHAnsi" w:cstheme="majorBidi"/>
          <w:bCs/>
          <w:sz w:val="22"/>
          <w:lang w:eastAsia="ar-SA"/>
        </w:rPr>
        <w:t xml:space="preserve">zaměstnání v Rakousku </w:t>
      </w:r>
      <w:r>
        <w:rPr>
          <w:rFonts w:asciiTheme="majorHAnsi" w:eastAsiaTheme="majorEastAsia" w:hAnsiTheme="majorHAnsi" w:cstheme="majorBidi"/>
          <w:bCs/>
          <w:sz w:val="22"/>
          <w:lang w:eastAsia="ar-SA"/>
        </w:rPr>
        <w:t xml:space="preserve">(či být OSVČ) </w:t>
      </w:r>
      <w:r w:rsidRPr="007E4EC5">
        <w:rPr>
          <w:rFonts w:asciiTheme="majorHAnsi" w:eastAsiaTheme="majorEastAsia" w:hAnsiTheme="majorHAnsi" w:cstheme="majorBidi"/>
          <w:bCs/>
          <w:sz w:val="22"/>
          <w:lang w:eastAsia="ar-SA"/>
        </w:rPr>
        <w:t>+ prokázání dostatku finančních prostředků pro sebe (a příp. své rodinné příslušníky) + účast na zdravotním pojištění kryjícím všechna rizika.</w:t>
      </w:r>
    </w:p>
    <w:p w14:paraId="60D35C9C" w14:textId="203AB2BE" w:rsidR="00963490" w:rsidRPr="007E4EC5"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 xml:space="preserve">Kristýna (státní občanství české) žila po 5 letech a 16 dnech pobytu v Itálii chtěla získat osvědčení trvalého pobytu. Italské úřady odmítly trvalý pobyt přiznat z důvodu, </w:t>
      </w:r>
      <w:r>
        <w:rPr>
          <w:rFonts w:asciiTheme="majorHAnsi" w:eastAsiaTheme="majorEastAsia" w:hAnsiTheme="majorHAnsi" w:cstheme="majorBidi"/>
          <w:bCs/>
          <w:sz w:val="22"/>
          <w:lang w:eastAsia="ar-SA"/>
        </w:rPr>
        <w:t>neboť zjistily, že Kristýna se každý rok na zhruba 2 měsíce vracela do České republiky navštívit své příbuzné.</w:t>
      </w:r>
    </w:p>
    <w:p w14:paraId="2794C635" w14:textId="77777777" w:rsidR="00963490" w:rsidRPr="007E4EC5"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 xml:space="preserve">Dominik (český státní občan) cestoval do Řecka, kam si s sebou vzal i drogy (trávu), kterou tam i užíval. K jeho smůle byl přichycen řeckými policejními orgány a následně byl řeckým soudem odsouzen ke 3 měsícům trestu odnětí svobody nepodmíněně za držení omamných látek. Poté byl ze země vyhoštěn na doživotí bez možnosti se do Řecka vrátit. Je to možné, či nikoliv? </w:t>
      </w:r>
    </w:p>
    <w:p w14:paraId="1184AA8F" w14:textId="77777777" w:rsidR="00963490" w:rsidRPr="007E4EC5"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Dominik z příkladu 5 získal v roce 2022 práci na Slovensku, nicméně slovenské úřady mu nevydaly osvědčení o registraci z důvodu veřejného pořádku pro jeho záznam v rejstříku trestů.</w:t>
      </w:r>
      <w:r>
        <w:rPr>
          <w:rFonts w:asciiTheme="majorHAnsi" w:eastAsiaTheme="majorEastAsia" w:hAnsiTheme="majorHAnsi" w:cstheme="majorBidi"/>
          <w:bCs/>
          <w:sz w:val="22"/>
          <w:lang w:eastAsia="ar-SA"/>
        </w:rPr>
        <w:t xml:space="preserve"> </w:t>
      </w:r>
      <w:r w:rsidRPr="007E4EC5">
        <w:rPr>
          <w:rFonts w:asciiTheme="majorHAnsi" w:eastAsiaTheme="majorEastAsia" w:hAnsiTheme="majorHAnsi" w:cstheme="majorBidi"/>
          <w:bCs/>
          <w:sz w:val="22"/>
          <w:lang w:eastAsia="ar-SA"/>
        </w:rPr>
        <w:t>Je to možné, či nikoliv?</w:t>
      </w:r>
    </w:p>
    <w:p w14:paraId="298FF87B" w14:textId="77777777" w:rsidR="00963490" w:rsidRPr="007E4EC5"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Nizozemsko se potýkalo šířením viru HIV mezi prostitutkami. Jako prostitutka tam pracovala už druhým rokem i Češka Nina. Rozhodněte její osud, zda je v souladu s</w:t>
      </w:r>
      <w:r>
        <w:rPr>
          <w:rFonts w:asciiTheme="majorHAnsi" w:eastAsiaTheme="majorEastAsia" w:hAnsiTheme="majorHAnsi" w:cstheme="majorBidi"/>
          <w:bCs/>
          <w:sz w:val="22"/>
          <w:lang w:eastAsia="ar-SA"/>
        </w:rPr>
        <w:t> pravidly popsanými v textu.</w:t>
      </w:r>
    </w:p>
    <w:p w14:paraId="133C59EF" w14:textId="77777777" w:rsidR="00963490" w:rsidRPr="007E4EC5" w:rsidRDefault="00963490" w:rsidP="00EC6773">
      <w:pPr>
        <w:pStyle w:val="Odstavecseseznamem"/>
        <w:numPr>
          <w:ilvl w:val="0"/>
          <w:numId w:val="0"/>
        </w:numPr>
        <w:ind w:left="454"/>
        <w:jc w:val="both"/>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a) nizozemské úřady zakázaly činnost ženám z jiných členských států (ne tedy nizozemským státním občankám) z důvodu ochrany zdraví;</w:t>
      </w:r>
    </w:p>
    <w:p w14:paraId="0D52D1BC" w14:textId="77777777" w:rsidR="00963490" w:rsidRPr="007E4EC5" w:rsidRDefault="00963490" w:rsidP="00EC6773">
      <w:pPr>
        <w:pStyle w:val="Odstavecseseznamem"/>
        <w:numPr>
          <w:ilvl w:val="0"/>
          <w:numId w:val="0"/>
        </w:numPr>
        <w:ind w:left="454"/>
        <w:jc w:val="both"/>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b) Nina může být ze země vyhoštěna, i když není nakažena virem, z důvodu ochrany veřejného zdraví;</w:t>
      </w:r>
    </w:p>
    <w:p w14:paraId="3D44DDB5" w14:textId="77777777" w:rsidR="00963490" w:rsidRDefault="00963490" w:rsidP="00EC6773">
      <w:pPr>
        <w:pStyle w:val="Odstavecseseznamem"/>
        <w:numPr>
          <w:ilvl w:val="0"/>
          <w:numId w:val="0"/>
        </w:numPr>
        <w:ind w:left="454"/>
        <w:jc w:val="both"/>
        <w:rPr>
          <w:rFonts w:asciiTheme="majorHAnsi" w:eastAsiaTheme="majorEastAsia" w:hAnsiTheme="majorHAnsi" w:cstheme="majorBidi"/>
          <w:bCs/>
          <w:sz w:val="22"/>
          <w:lang w:eastAsia="ar-SA"/>
        </w:rPr>
      </w:pPr>
      <w:r w:rsidRPr="007E4EC5">
        <w:rPr>
          <w:rFonts w:asciiTheme="majorHAnsi" w:eastAsiaTheme="majorEastAsia" w:hAnsiTheme="majorHAnsi" w:cstheme="majorBidi"/>
          <w:bCs/>
          <w:sz w:val="22"/>
          <w:lang w:eastAsia="ar-SA"/>
        </w:rPr>
        <w:t>c) Nina může být ze země vyhoštěna, pokud se u ní prokáže vir, o kterém ale nevěděla a pravidelně se testovala</w:t>
      </w:r>
      <w:r>
        <w:rPr>
          <w:rFonts w:asciiTheme="majorHAnsi" w:eastAsiaTheme="majorEastAsia" w:hAnsiTheme="majorHAnsi" w:cstheme="majorBidi"/>
          <w:bCs/>
          <w:sz w:val="22"/>
          <w:lang w:eastAsia="ar-SA"/>
        </w:rPr>
        <w:t>;</w:t>
      </w:r>
    </w:p>
    <w:p w14:paraId="15FA3C60" w14:textId="77777777" w:rsidR="00963490" w:rsidRPr="007E4EC5" w:rsidRDefault="00963490" w:rsidP="00EC6773">
      <w:pPr>
        <w:pStyle w:val="Odstavecseseznamem"/>
        <w:numPr>
          <w:ilvl w:val="0"/>
          <w:numId w:val="0"/>
        </w:numPr>
        <w:ind w:left="454"/>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d) Nina může být ze země vyhoštěna, pokud o viru věděla a i přesto nadále „pracovala“.</w:t>
      </w:r>
    </w:p>
    <w:p w14:paraId="3BEAFDA0" w14:textId="77777777" w:rsidR="00963490"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sidRPr="00ED0A88">
        <w:rPr>
          <w:rFonts w:asciiTheme="majorHAnsi" w:eastAsiaTheme="majorEastAsia" w:hAnsiTheme="majorHAnsi" w:cstheme="majorBidi"/>
          <w:bCs/>
          <w:sz w:val="22"/>
          <w:lang w:eastAsia="ar-SA"/>
        </w:rPr>
        <w:t xml:space="preserve">Albert (22 let, student Právnické fakulty MU Brno, Čech) vyjel na v rámci programu Erasmus+ na 6 měsíců do portugalského Porta. Portugalské úřady mu neudělily osvědčení o registraci, protože není v Portugalsku účastníkem zdravotního pojištění. </w:t>
      </w:r>
      <w:r>
        <w:rPr>
          <w:rFonts w:asciiTheme="majorHAnsi" w:eastAsiaTheme="majorEastAsia" w:hAnsiTheme="majorHAnsi" w:cstheme="majorBidi"/>
          <w:bCs/>
          <w:sz w:val="22"/>
          <w:lang w:eastAsia="ar-SA"/>
        </w:rPr>
        <w:t>Je tento postup úřadů v pořádku?</w:t>
      </w:r>
      <w:r w:rsidRPr="00ED0A88">
        <w:rPr>
          <w:rFonts w:asciiTheme="majorHAnsi" w:eastAsiaTheme="majorEastAsia" w:hAnsiTheme="majorHAnsi" w:cstheme="majorBidi"/>
          <w:bCs/>
          <w:sz w:val="22"/>
          <w:lang w:eastAsia="ar-SA"/>
        </w:rPr>
        <w:t xml:space="preserve"> </w:t>
      </w:r>
    </w:p>
    <w:p w14:paraId="4110B94B" w14:textId="77777777" w:rsidR="00963490"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lastRenderedPageBreak/>
        <w:t xml:space="preserve">Vystudovali jste učitelství občanské výchovy na Pedagogické fakultě MU v Brně a obdrželi titul Mgr. Chcete pracovat jako učitel občanské výchovy v Rakousku, protože jsou tam mnohonásobně vyšší platy. Rakouská škola stanovila podmínku, že musíte umět německy. Vy německy umíte jen trochu, ne moc dobře, avšak argumentujete, že se dopouští diskriminace, protože s občany EU má být zacházeno stejně a je zakázána diskriminace. </w:t>
      </w:r>
    </w:p>
    <w:p w14:paraId="39A147BD" w14:textId="77777777" w:rsidR="00963490" w:rsidRDefault="00963490" w:rsidP="00963490">
      <w:pPr>
        <w:pStyle w:val="Odstavecseseznamem"/>
        <w:numPr>
          <w:ilvl w:val="0"/>
          <w:numId w:val="1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Změnila by se Vaše odpověď v ot. č. 9, pokud byste se ucházeli nikoliv o učitelství občanské výchovy, ale o práci mzdové účetní ve vídeňské firmě?</w:t>
      </w:r>
    </w:p>
    <w:p w14:paraId="26639F05" w14:textId="77777777" w:rsidR="003151F5" w:rsidRPr="003151F5" w:rsidRDefault="003151F5" w:rsidP="003151F5">
      <w:pPr>
        <w:rPr>
          <w:rFonts w:asciiTheme="majorHAnsi" w:eastAsiaTheme="majorEastAsia" w:hAnsiTheme="majorHAnsi" w:cstheme="majorBidi"/>
          <w:b/>
          <w:sz w:val="24"/>
          <w:szCs w:val="24"/>
          <w:lang w:eastAsia="ar-SA"/>
        </w:rPr>
      </w:pPr>
      <w:r w:rsidRPr="003151F5">
        <w:rPr>
          <w:rFonts w:asciiTheme="majorHAnsi" w:eastAsiaTheme="majorEastAsia" w:hAnsiTheme="majorHAnsi" w:cstheme="majorBidi"/>
          <w:b/>
          <w:sz w:val="24"/>
          <w:szCs w:val="24"/>
          <w:lang w:eastAsia="ar-SA"/>
        </w:rPr>
        <w:t>-----------------------------------------------------</w:t>
      </w:r>
    </w:p>
    <w:p w14:paraId="75C0D921" w14:textId="77777777" w:rsidR="00EC6773" w:rsidRDefault="00EC6773" w:rsidP="00EC6773">
      <w:pPr>
        <w:spacing w:before="240"/>
        <w:rPr>
          <w:rFonts w:asciiTheme="majorHAnsi" w:eastAsiaTheme="majorEastAsia" w:hAnsiTheme="majorHAnsi" w:cstheme="majorHAnsi"/>
          <w:b/>
          <w:color w:val="0000DC"/>
          <w:sz w:val="24"/>
          <w:szCs w:val="24"/>
          <w:lang w:eastAsia="ar-SA"/>
        </w:rPr>
      </w:pPr>
      <w:r>
        <w:rPr>
          <w:rFonts w:asciiTheme="majorHAnsi" w:eastAsiaTheme="majorEastAsia" w:hAnsiTheme="majorHAnsi" w:cstheme="majorHAnsi"/>
          <w:b/>
          <w:color w:val="0000DC"/>
          <w:sz w:val="24"/>
          <w:szCs w:val="24"/>
          <w:lang w:eastAsia="ar-SA"/>
        </w:rPr>
        <w:t>Volný pohyb zboží</w:t>
      </w:r>
    </w:p>
    <w:tbl>
      <w:tblPr>
        <w:tblStyle w:val="Mkatabulky"/>
        <w:tblW w:w="0" w:type="auto"/>
        <w:tblLook w:val="04A0" w:firstRow="1" w:lastRow="0" w:firstColumn="1" w:lastColumn="0" w:noHBand="0" w:noVBand="1"/>
      </w:tblPr>
      <w:tblGrid>
        <w:gridCol w:w="9138"/>
      </w:tblGrid>
      <w:tr w:rsidR="00EC6773" w14:paraId="496664BB" w14:textId="77777777" w:rsidTr="00EC6773">
        <w:trPr>
          <w:trHeight w:val="721"/>
        </w:trPr>
        <w:tc>
          <w:tcPr>
            <w:tcW w:w="913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DAEEF3" w:themeFill="accent5" w:themeFillTint="33"/>
            <w:hideMark/>
          </w:tcPr>
          <w:p w14:paraId="0256C09A" w14:textId="77777777" w:rsidR="00EC6773" w:rsidRDefault="00EC6773">
            <w:pPr>
              <w:rPr>
                <w:rFonts w:asciiTheme="majorHAnsi" w:eastAsiaTheme="majorEastAsia" w:hAnsiTheme="majorHAnsi" w:cstheme="majorBidi"/>
                <w:bCs/>
                <w:sz w:val="24"/>
                <w:szCs w:val="24"/>
                <w:lang w:eastAsia="ar-SA"/>
              </w:rPr>
            </w:pPr>
            <w:r>
              <w:rPr>
                <w:rFonts w:asciiTheme="majorHAnsi" w:eastAsiaTheme="majorEastAsia" w:hAnsiTheme="majorHAnsi" w:cstheme="majorBidi"/>
                <w:bCs/>
                <w:sz w:val="24"/>
                <w:szCs w:val="24"/>
                <w:lang w:eastAsia="ar-SA"/>
              </w:rPr>
              <w:t>Další ze 4 základních svobod tzv. jednotného vnitřního trhu je volný pohyb zboží. Ta se projevuje především v tom, že zboží může „přecházet“ hranice mezi členskými státy téměř bez omezení. Je nerozhodné přitom, zda se jedná o zboží, které je určeno k dalšímu obchodování, nebo je určeno pro osobní potřebu (spotřebitelské nákupy v zahraničí).</w:t>
            </w:r>
          </w:p>
          <w:p w14:paraId="55277FED" w14:textId="77777777" w:rsidR="00EC6773" w:rsidRDefault="00EC6773">
            <w:pPr>
              <w:rPr>
                <w:rFonts w:asciiTheme="majorHAnsi" w:eastAsiaTheme="majorEastAsia" w:hAnsiTheme="majorHAnsi" w:cstheme="majorBidi"/>
                <w:bCs/>
                <w:sz w:val="24"/>
                <w:szCs w:val="24"/>
                <w:lang w:eastAsia="ar-SA"/>
              </w:rPr>
            </w:pPr>
            <w:r>
              <w:rPr>
                <w:rFonts w:asciiTheme="majorHAnsi" w:eastAsiaTheme="majorEastAsia" w:hAnsiTheme="majorHAnsi" w:cstheme="majorBidi"/>
                <w:bCs/>
                <w:sz w:val="24"/>
                <w:szCs w:val="24"/>
                <w:lang w:eastAsia="ar-SA"/>
              </w:rPr>
              <w:t xml:space="preserve">Volnému pohybu zboží nepodléhají jen výrobky, které mají původ v členském státě EU, ale také výrobky ze třetích zemí, které jsou v některém členském státě v oběhu, byly u nich splněny dovozní náležitosti a zaplacena cla, která nebyla refundována. Za zboží jsou považovány movité věci – ty, které mají ekonomickou hodnotu získanou výrobou či ovladatelností. Z povahy věci tak zboží nejsou nemovité věci, dále jsou vyloučeny například drogy, lidské orgány (tedy věci „neobchodovatelné, zakázané“). </w:t>
            </w:r>
          </w:p>
          <w:p w14:paraId="676398D7" w14:textId="77777777" w:rsidR="00EC6773" w:rsidRDefault="00EC6773">
            <w:pPr>
              <w:rPr>
                <w:rFonts w:asciiTheme="majorHAnsi" w:eastAsiaTheme="majorEastAsia" w:hAnsiTheme="majorHAnsi" w:cstheme="majorBidi"/>
                <w:bCs/>
                <w:sz w:val="24"/>
                <w:szCs w:val="24"/>
                <w:lang w:eastAsia="ar-SA"/>
              </w:rPr>
            </w:pPr>
            <w:r>
              <w:rPr>
                <w:rFonts w:asciiTheme="majorHAnsi" w:eastAsiaTheme="majorEastAsia" w:hAnsiTheme="majorHAnsi" w:cstheme="majorBidi"/>
                <w:bCs/>
                <w:sz w:val="24"/>
                <w:szCs w:val="24"/>
                <w:lang w:eastAsia="ar-SA"/>
              </w:rPr>
              <w:t>Mezi členskými státy platí zákaz cel (vývozních, dovozních a průvozních) a tzv. poplatků/dávek s rovnocenným účinkem clu. Tento zákaz platí bez výjimek. Dále platí zákaz množstevního omezení dovozu i vývozu mezi členskými státy a veškerých opatření s rovnocenným účinkem. Dovoz a vývoz je tedy co kvantity neomezený. Množstevní omezení však už může mít výjimky. Jedná se o výjimky, které stanovují pravidla Evropské unie (SFEU), tak i soudní rozhodnutí Soudního dvora EU. Vývoz a dovoz z hlediska množství lze omezit z důvodu veřejné mravnosti, veřejného pořádku, veřejné bezpečnosti, ochrany zdraví a života lidí a zvířat, ochrany rostlin, ochrany národního kulturního pokladu, který má uměleckou, historickou nebo archeologickou hodnotu, nebo ochrany průmyslového a obchodního vlastnictví. Soudní rozhodnutí dovodily dále například ochranu spotřebitele, ochranu životního prostředí či bezpečnost dopravního provozu. Dále platí také zákaz daňové diskriminace (domácí i zahraniční výrobky musí podléhat stejnému zdanění).</w:t>
            </w:r>
          </w:p>
          <w:p w14:paraId="72EB569B" w14:textId="77777777" w:rsidR="00EC6773" w:rsidRDefault="00EC6773">
            <w:pPr>
              <w:rPr>
                <w:rFonts w:asciiTheme="majorHAnsi" w:eastAsiaTheme="majorEastAsia" w:hAnsiTheme="majorHAnsi" w:cstheme="majorBidi"/>
                <w:bCs/>
                <w:sz w:val="24"/>
                <w:szCs w:val="24"/>
                <w:lang w:eastAsia="ar-SA"/>
              </w:rPr>
            </w:pPr>
            <w:r>
              <w:rPr>
                <w:rFonts w:asciiTheme="majorHAnsi" w:eastAsiaTheme="majorEastAsia" w:hAnsiTheme="majorHAnsi" w:cstheme="majorBidi"/>
                <w:bCs/>
                <w:sz w:val="24"/>
                <w:szCs w:val="24"/>
                <w:lang w:eastAsia="ar-SA"/>
              </w:rPr>
              <w:t>Pokud jde o pohyb zboží mimo EU, tedy dovoz ze třetích (tj. neunijních) států na území EU či naopak o vývoz, platí pravidla jiná. EU prostřednictvím nařízení stanovuje tzv. jednotný celní sazebník – seznam zboží, u nichž je uvedena celní sazba, která musí být uhrazena. Pravidel je však mnohem více. Důležité je vědět, že pro tyto účely funguje EU jako jeden celek („jeden stát“) se stejnými pravidly vůči třetím státům.</w:t>
            </w:r>
          </w:p>
        </w:tc>
      </w:tr>
    </w:tbl>
    <w:p w14:paraId="78332D7A" w14:textId="77777777" w:rsidR="00EC6773" w:rsidRDefault="00EC6773" w:rsidP="00EC6773">
      <w:pPr>
        <w:spacing w:after="0"/>
        <w:rPr>
          <w:rFonts w:asciiTheme="majorHAnsi" w:eastAsiaTheme="majorEastAsia" w:hAnsiTheme="majorHAnsi" w:cstheme="majorHAnsi"/>
          <w:bCs/>
          <w:sz w:val="22"/>
          <w:szCs w:val="21"/>
          <w:lang w:eastAsia="ar-SA"/>
        </w:rPr>
      </w:pPr>
    </w:p>
    <w:p w14:paraId="5E648F77" w14:textId="77777777" w:rsidR="00EC6773" w:rsidRDefault="00EC6773" w:rsidP="00EC6773">
      <w:pPr>
        <w:spacing w:after="0"/>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lastRenderedPageBreak/>
        <w:t>Na základě textu byste měly být schopni se zamyslet nad následujícími otázkami:</w:t>
      </w:r>
    </w:p>
    <w:p w14:paraId="52E0A2AB" w14:textId="77777777" w:rsidR="00EC6773" w:rsidRDefault="00EC6773" w:rsidP="00EC6773">
      <w:pPr>
        <w:pStyle w:val="Odstavecseseznamem"/>
        <w:numPr>
          <w:ilvl w:val="0"/>
          <w:numId w:val="21"/>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Volný pohyb zboží se vztahuje na:</w:t>
      </w:r>
    </w:p>
    <w:p w14:paraId="50382D31" w14:textId="77777777" w:rsidR="00EC6773" w:rsidRDefault="00EC6773" w:rsidP="00EC6773">
      <w:pPr>
        <w:spacing w:after="0"/>
        <w:ind w:firstLine="708"/>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a) heroin</w:t>
      </w:r>
    </w:p>
    <w:p w14:paraId="28A102C1" w14:textId="77777777" w:rsidR="00EC6773" w:rsidRDefault="00EC6773" w:rsidP="00EC6773">
      <w:pPr>
        <w:spacing w:after="0"/>
        <w:ind w:firstLine="708"/>
        <w:rPr>
          <w:rFonts w:asciiTheme="majorHAnsi" w:eastAsiaTheme="majorEastAsia" w:hAnsiTheme="majorHAnsi" w:cstheme="majorHAnsi"/>
          <w:bCs/>
          <w:sz w:val="22"/>
          <w:lang w:eastAsia="ar-SA"/>
        </w:rPr>
      </w:pPr>
      <w:r w:rsidRPr="00EC6773">
        <w:rPr>
          <w:rFonts w:asciiTheme="majorHAnsi" w:eastAsiaTheme="majorEastAsia" w:hAnsiTheme="majorHAnsi" w:cstheme="majorHAnsi"/>
          <w:bCs/>
          <w:sz w:val="22"/>
          <w:lang w:eastAsia="ar-SA"/>
        </w:rPr>
        <w:t xml:space="preserve">b) Vy (Češi) si zakoupíte v rakouském obchodu ve Vídni boty a kalhoty (původ </w:t>
      </w:r>
      <w:r>
        <w:rPr>
          <w:rFonts w:asciiTheme="majorHAnsi" w:eastAsiaTheme="majorEastAsia" w:hAnsiTheme="majorHAnsi" w:cstheme="majorHAnsi"/>
          <w:bCs/>
          <w:sz w:val="22"/>
          <w:lang w:eastAsia="ar-SA"/>
        </w:rPr>
        <w:tab/>
      </w:r>
      <w:r w:rsidRPr="00EC6773">
        <w:rPr>
          <w:rFonts w:asciiTheme="majorHAnsi" w:eastAsiaTheme="majorEastAsia" w:hAnsiTheme="majorHAnsi" w:cstheme="majorHAnsi"/>
          <w:bCs/>
          <w:sz w:val="22"/>
          <w:lang w:eastAsia="ar-SA"/>
        </w:rPr>
        <w:t>Rakousko) a převezete oblečení do svého bydliště do Brna</w:t>
      </w:r>
    </w:p>
    <w:p w14:paraId="4E83E1B1" w14:textId="77777777" w:rsidR="00EC6773" w:rsidRDefault="00EC6773" w:rsidP="00EC6773">
      <w:pPr>
        <w:spacing w:after="0"/>
        <w:ind w:left="708"/>
        <w:rPr>
          <w:rFonts w:asciiTheme="majorHAnsi" w:eastAsiaTheme="majorEastAsia" w:hAnsiTheme="majorHAnsi" w:cstheme="majorHAnsi"/>
          <w:bCs/>
          <w:sz w:val="22"/>
          <w:lang w:eastAsia="ar-SA"/>
        </w:rPr>
      </w:pPr>
      <w:r w:rsidRPr="00EC6773">
        <w:rPr>
          <w:rFonts w:asciiTheme="majorHAnsi" w:eastAsiaTheme="majorEastAsia" w:hAnsiTheme="majorHAnsi" w:cstheme="majorHAnsi"/>
          <w:bCs/>
          <w:sz w:val="22"/>
          <w:lang w:eastAsia="ar-SA"/>
        </w:rPr>
        <w:t>c) společnost Best víno (podniká v ČR) nechává dovážet francouzská vína od společnosti Le Vigneron (podniká ve Francii)</w:t>
      </w:r>
    </w:p>
    <w:p w14:paraId="12004A3E" w14:textId="77777777" w:rsidR="00EC6773" w:rsidRDefault="00EC6773" w:rsidP="00EC6773">
      <w:pPr>
        <w:spacing w:after="0"/>
        <w:ind w:left="708"/>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d) perské koberce (původ Írán), které byly dovezeny do Rakouska, kde byly uvedeny do oběhu, přičemž bylo i řádně zaplaceno dovozní clo, které nebylo refundováno</w:t>
      </w:r>
    </w:p>
    <w:p w14:paraId="02AACC34" w14:textId="77777777" w:rsidR="00EC6773" w:rsidRDefault="00EC6773" w:rsidP="00EC6773">
      <w:pPr>
        <w:spacing w:after="0"/>
        <w:ind w:left="708"/>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e) pes jako domácí mazlíček, kterého jste si koupili v zahraničí či s ním cestujete do zahraničí</w:t>
      </w:r>
    </w:p>
    <w:p w14:paraId="7EA4CCC3" w14:textId="0CB8AEB7" w:rsidR="00EC6773" w:rsidRDefault="00EC6773" w:rsidP="00EC6773">
      <w:pPr>
        <w:spacing w:after="0"/>
        <w:ind w:left="708"/>
        <w:rPr>
          <w:rFonts w:asciiTheme="majorHAnsi" w:eastAsiaTheme="majorEastAsia" w:hAnsiTheme="majorHAnsi" w:cstheme="majorHAnsi"/>
          <w:bCs/>
          <w:sz w:val="22"/>
          <w:lang w:eastAsia="ar-SA"/>
        </w:rPr>
      </w:pPr>
      <w:r w:rsidRPr="00EC6773">
        <w:rPr>
          <w:rFonts w:asciiTheme="majorHAnsi" w:eastAsiaTheme="majorEastAsia" w:hAnsiTheme="majorHAnsi" w:cstheme="majorHAnsi"/>
          <w:bCs/>
          <w:sz w:val="22"/>
          <w:lang w:eastAsia="ar-SA"/>
        </w:rPr>
        <w:t>f) ledviny určené z černého trhu z Rumunska pro záchranu života pro pacienta v</w:t>
      </w:r>
      <w:r>
        <w:rPr>
          <w:rFonts w:asciiTheme="majorHAnsi" w:eastAsiaTheme="majorEastAsia" w:hAnsiTheme="majorHAnsi" w:cstheme="majorHAnsi"/>
          <w:bCs/>
          <w:sz w:val="22"/>
          <w:lang w:eastAsia="ar-SA"/>
        </w:rPr>
        <w:t> </w:t>
      </w:r>
      <w:r w:rsidRPr="00EC6773">
        <w:rPr>
          <w:rFonts w:asciiTheme="majorHAnsi" w:eastAsiaTheme="majorEastAsia" w:hAnsiTheme="majorHAnsi" w:cstheme="majorHAnsi"/>
          <w:bCs/>
          <w:sz w:val="22"/>
          <w:lang w:eastAsia="ar-SA"/>
        </w:rPr>
        <w:t>ČR</w:t>
      </w:r>
    </w:p>
    <w:p w14:paraId="2A24D829" w14:textId="62E82373" w:rsidR="00EC6773" w:rsidRDefault="00EC6773" w:rsidP="00EC6773">
      <w:pPr>
        <w:spacing w:after="0"/>
        <w:ind w:left="708"/>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g) odpad (pro zajímavost)</w:t>
      </w:r>
    </w:p>
    <w:p w14:paraId="62856054" w14:textId="77777777" w:rsidR="00EC6773" w:rsidRDefault="00EC6773" w:rsidP="00EC6773">
      <w:pPr>
        <w:spacing w:after="0"/>
        <w:rPr>
          <w:rFonts w:asciiTheme="majorHAnsi" w:eastAsiaTheme="majorEastAsia" w:hAnsiTheme="majorHAnsi" w:cstheme="majorHAnsi"/>
          <w:bCs/>
          <w:sz w:val="22"/>
          <w:lang w:eastAsia="ar-SA"/>
        </w:rPr>
      </w:pPr>
    </w:p>
    <w:p w14:paraId="31CD62A3" w14:textId="77777777" w:rsidR="00EC6773" w:rsidRDefault="00EC6773" w:rsidP="00EC6773">
      <w:pPr>
        <w:spacing w:after="0"/>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 xml:space="preserve">U následujících otázek odpovězte ANO nebo NE: </w:t>
      </w:r>
    </w:p>
    <w:p w14:paraId="2F4DE52D" w14:textId="77777777" w:rsidR="00EC6773" w:rsidRDefault="00EC6773" w:rsidP="00EC6773">
      <w:pPr>
        <w:pStyle w:val="Odstavecseseznamem"/>
        <w:numPr>
          <w:ilvl w:val="0"/>
          <w:numId w:val="21"/>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 xml:space="preserve">Sardinie (Itálie) porušuje právo/pravidla Evropské unie tím, že stanovuje zákaz vývozu mušlí a písku z pláže z letní dovolené: </w:t>
      </w:r>
    </w:p>
    <w:p w14:paraId="5A5DC0A5" w14:textId="77777777" w:rsidR="00EC6773" w:rsidRDefault="00EC6773" w:rsidP="00EC6773">
      <w:pPr>
        <w:spacing w:after="0"/>
        <w:ind w:left="720"/>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a) jen turistům z ČR, protože zjistila, že ti si mušle a písek odváží nejčastěji;</w:t>
      </w:r>
    </w:p>
    <w:p w14:paraId="59B456DA" w14:textId="77777777" w:rsidR="00EC6773" w:rsidRDefault="00EC6773" w:rsidP="00EC6773">
      <w:pPr>
        <w:spacing w:after="0"/>
        <w:ind w:left="720"/>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b) všem osobám bez rozdílu.</w:t>
      </w:r>
    </w:p>
    <w:p w14:paraId="7674CC06" w14:textId="77777777" w:rsidR="00EC6773" w:rsidRDefault="00EC6773" w:rsidP="00EC6773">
      <w:pPr>
        <w:pStyle w:val="Odstavecseseznamem"/>
        <w:numPr>
          <w:ilvl w:val="0"/>
          <w:numId w:val="21"/>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Česká republika může omezit vývoz do jiných členských zemí EU vakcín proti pandemii, vyrobené v ČR, aby ochránila své obyvatele z důvodu ochrany zdraví, protože jich má nedostatek.</w:t>
      </w:r>
    </w:p>
    <w:p w14:paraId="79C3F26B" w14:textId="77777777" w:rsidR="00EC6773" w:rsidRDefault="00EC6773" w:rsidP="00EC6773">
      <w:pPr>
        <w:pStyle w:val="Odstavecseseznamem"/>
        <w:numPr>
          <w:ilvl w:val="0"/>
          <w:numId w:val="21"/>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 xml:space="preserve">Řecko uvalilo vysoké clo na vývoz předmětů kulturní a umělecké hodnoty, protože docházelo k masivnímu vývozu těchto předmětů. Zavedením cla se zvýšila exportní cena a vývoz se snížil. Clo nešlo do státního rozpočtu, ale do fondu určeného k obnově kulturních památek. </w:t>
      </w:r>
    </w:p>
    <w:p w14:paraId="6D37F6F8" w14:textId="77777777" w:rsidR="00EC6773" w:rsidRDefault="00EC6773" w:rsidP="00EC6773">
      <w:pPr>
        <w:pStyle w:val="Odstavecseseznamem"/>
        <w:numPr>
          <w:ilvl w:val="0"/>
          <w:numId w:val="22"/>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Je takový postup v pořádku?</w:t>
      </w:r>
    </w:p>
    <w:p w14:paraId="170A6AED" w14:textId="77777777" w:rsidR="00EC6773" w:rsidRDefault="00EC6773" w:rsidP="00EC6773">
      <w:pPr>
        <w:pStyle w:val="Odstavecseseznamem"/>
        <w:numPr>
          <w:ilvl w:val="0"/>
          <w:numId w:val="22"/>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Existuje jiná cesta, jak dosáhnout toho, aby tyto předměty byly chráněny?</w:t>
      </w:r>
    </w:p>
    <w:p w14:paraId="05B4D00E" w14:textId="77777777" w:rsidR="00EC6773" w:rsidRDefault="00EC6773" w:rsidP="00EC6773">
      <w:pPr>
        <w:pStyle w:val="Odstavecseseznamem"/>
        <w:numPr>
          <w:ilvl w:val="0"/>
          <w:numId w:val="21"/>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Česká republika může stanovit na dovoz mexických doutníků (původ Mexiko) jinou celní sazbu než Španělsko.</w:t>
      </w:r>
    </w:p>
    <w:p w14:paraId="049E6748" w14:textId="77777777" w:rsidR="00EC6773" w:rsidRDefault="00EC6773" w:rsidP="00EC6773">
      <w:pPr>
        <w:pStyle w:val="Odstavecseseznamem"/>
        <w:numPr>
          <w:ilvl w:val="0"/>
          <w:numId w:val="21"/>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Letecké společnosti v rámci EU porušují pravidla pro volný pohyb zboží, pokud povolují v příručních/zapsaných zavazadlech převoz jen 20 litrů portského vína.</w:t>
      </w:r>
    </w:p>
    <w:p w14:paraId="4BECDF7E" w14:textId="77777777" w:rsidR="00EC6773" w:rsidRDefault="00EC6773" w:rsidP="00EC6773">
      <w:pPr>
        <w:spacing w:after="0"/>
        <w:rPr>
          <w:rFonts w:asciiTheme="majorHAnsi" w:eastAsiaTheme="majorEastAsia" w:hAnsiTheme="majorHAnsi" w:cstheme="majorHAnsi"/>
          <w:bCs/>
          <w:sz w:val="22"/>
          <w:lang w:eastAsia="ar-SA"/>
        </w:rPr>
      </w:pPr>
    </w:p>
    <w:p w14:paraId="5946B04D" w14:textId="77777777" w:rsidR="00EC6773" w:rsidRDefault="00EC6773" w:rsidP="00EC6773">
      <w:pPr>
        <w:spacing w:after="0"/>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Další otázky:</w:t>
      </w:r>
    </w:p>
    <w:p w14:paraId="07E65769" w14:textId="77777777" w:rsidR="00EC6773" w:rsidRDefault="00EC6773" w:rsidP="00EC6773">
      <w:pPr>
        <w:pStyle w:val="Odstavecseseznamem"/>
        <w:numPr>
          <w:ilvl w:val="0"/>
          <w:numId w:val="21"/>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Má EU vlastní celní orgány?</w:t>
      </w:r>
    </w:p>
    <w:p w14:paraId="2AB41E07" w14:textId="77777777" w:rsidR="00EC6773" w:rsidRDefault="00EC6773" w:rsidP="00EC6773">
      <w:pPr>
        <w:pStyle w:val="Odstavecseseznamem"/>
        <w:numPr>
          <w:ilvl w:val="0"/>
          <w:numId w:val="21"/>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Kdo vybírá clo?</w:t>
      </w:r>
    </w:p>
    <w:p w14:paraId="5AF0C5F0" w14:textId="77777777" w:rsidR="00EC6773" w:rsidRDefault="00EC6773" w:rsidP="00EC6773">
      <w:pPr>
        <w:pStyle w:val="Odstavecseseznamem"/>
        <w:numPr>
          <w:ilvl w:val="0"/>
          <w:numId w:val="21"/>
        </w:numPr>
        <w:spacing w:before="0" w:after="0" w:line="264" w:lineRule="auto"/>
        <w:jc w:val="both"/>
        <w:rPr>
          <w:rFonts w:asciiTheme="majorHAnsi" w:eastAsiaTheme="majorEastAsia" w:hAnsiTheme="majorHAnsi" w:cstheme="majorHAnsi"/>
          <w:bCs/>
          <w:sz w:val="22"/>
          <w:lang w:eastAsia="ar-SA"/>
        </w:rPr>
      </w:pPr>
      <w:r>
        <w:rPr>
          <w:rFonts w:asciiTheme="majorHAnsi" w:eastAsiaTheme="majorEastAsia" w:hAnsiTheme="majorHAnsi" w:cstheme="majorHAnsi"/>
          <w:bCs/>
          <w:sz w:val="22"/>
          <w:lang w:eastAsia="ar-SA"/>
        </w:rPr>
        <w:t>Komu/kam jde příjem z výběru cel?</w:t>
      </w:r>
    </w:p>
    <w:p w14:paraId="61E66865" w14:textId="77777777" w:rsidR="00EC6773" w:rsidRDefault="00EC6773" w:rsidP="00EC6773">
      <w:pPr>
        <w:spacing w:after="0"/>
        <w:rPr>
          <w:rFonts w:asciiTheme="majorHAnsi" w:eastAsiaTheme="majorEastAsia" w:hAnsiTheme="majorHAnsi" w:cstheme="majorHAnsi"/>
          <w:bCs/>
          <w:sz w:val="22"/>
          <w:lang w:eastAsia="ar-SA"/>
        </w:rPr>
      </w:pPr>
    </w:p>
    <w:p w14:paraId="1C8127C7" w14:textId="701DE2B4" w:rsidR="00EC6773" w:rsidRPr="003151F5" w:rsidRDefault="003151F5" w:rsidP="00842655">
      <w:pPr>
        <w:rPr>
          <w:rFonts w:asciiTheme="majorHAnsi" w:eastAsiaTheme="majorEastAsia" w:hAnsiTheme="majorHAnsi" w:cstheme="majorBidi"/>
          <w:b/>
          <w:sz w:val="24"/>
          <w:szCs w:val="24"/>
          <w:lang w:eastAsia="ar-SA"/>
        </w:rPr>
      </w:pPr>
      <w:r>
        <w:rPr>
          <w:rFonts w:asciiTheme="majorHAnsi" w:eastAsiaTheme="majorEastAsia" w:hAnsiTheme="majorHAnsi" w:cstheme="majorBidi"/>
          <w:b/>
          <w:sz w:val="24"/>
          <w:szCs w:val="24"/>
          <w:lang w:eastAsia="ar-SA"/>
        </w:rPr>
        <w:t>-----------------------------------------------------</w:t>
      </w:r>
    </w:p>
    <w:p w14:paraId="48B4053C" w14:textId="24134B18" w:rsidR="00842655" w:rsidRDefault="00842655" w:rsidP="00842655">
      <w:pPr>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color w:val="0000DC"/>
          <w:sz w:val="24"/>
          <w:szCs w:val="24"/>
          <w:lang w:eastAsia="ar-SA"/>
        </w:rPr>
        <w:t>Řešení sporů  – které orgány EU a jak řeší spory či porušení práva.</w:t>
      </w:r>
    </w:p>
    <w:p w14:paraId="3D39BBE5" w14:textId="77777777" w:rsidR="00842655" w:rsidRDefault="00842655" w:rsidP="00842655">
      <w:pPr>
        <w:pStyle w:val="Odstavecseseznamem"/>
        <w:numPr>
          <w:ilvl w:val="0"/>
          <w:numId w:val="15"/>
        </w:numPr>
        <w:jc w:val="both"/>
        <w:rPr>
          <w:rFonts w:asciiTheme="majorHAnsi" w:eastAsiaTheme="majorEastAsia" w:hAnsiTheme="majorHAnsi" w:cstheme="majorBidi"/>
          <w:b/>
          <w:sz w:val="22"/>
          <w:lang w:eastAsia="ar-SA"/>
        </w:rPr>
      </w:pPr>
      <w:r>
        <w:rPr>
          <w:rFonts w:asciiTheme="majorHAnsi" w:eastAsiaTheme="majorEastAsia" w:hAnsiTheme="majorHAnsi" w:cstheme="majorBidi"/>
          <w:bCs/>
          <w:sz w:val="22"/>
          <w:lang w:eastAsia="ar-SA"/>
        </w:rPr>
        <w:t>Zamyslete se, kdo všechno může porušit pravidla – normy EU. Můžete i Vy se dopustit porušení práva EU?</w:t>
      </w:r>
    </w:p>
    <w:p w14:paraId="6AEA05A6" w14:textId="77777777" w:rsidR="00842655" w:rsidRDefault="00842655" w:rsidP="00842655">
      <w:pPr>
        <w:pStyle w:val="Odstavecseseznamem"/>
        <w:numPr>
          <w:ilvl w:val="0"/>
          <w:numId w:val="1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Které orgány EU řeší porušování pravidel (práva) EU? Jsou to jenom orgány EU? Mohou toto porušení řešit i soudy členských států (např. Městský soud v Brně)?</w:t>
      </w:r>
    </w:p>
    <w:p w14:paraId="2EE799C2" w14:textId="13349C6E" w:rsidR="00842655" w:rsidRDefault="00842655" w:rsidP="00842655">
      <w:pPr>
        <w:pStyle w:val="Odstavecseseznamem"/>
        <w:numPr>
          <w:ilvl w:val="0"/>
          <w:numId w:val="1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Jaká je role evropského veřejného ochránce práv (tzv. evropský ombudsman)? Můžete se ně něj obrátit i Vy? Pokud ano, v jaké záležitosti?</w:t>
      </w:r>
    </w:p>
    <w:p w14:paraId="6461F117" w14:textId="77777777" w:rsidR="00EC6773" w:rsidRPr="00EC6773" w:rsidRDefault="00EC6773" w:rsidP="00EC6773">
      <w:pPr>
        <w:rPr>
          <w:rFonts w:asciiTheme="majorHAnsi" w:eastAsiaTheme="majorEastAsia" w:hAnsiTheme="majorHAnsi" w:cstheme="majorBidi"/>
          <w:bCs/>
          <w:sz w:val="22"/>
          <w:lang w:eastAsia="ar-SA"/>
        </w:rPr>
      </w:pPr>
    </w:p>
    <w:p w14:paraId="0602630C" w14:textId="77777777" w:rsidR="00842655" w:rsidRDefault="00842655" w:rsidP="00842655">
      <w:pPr>
        <w:rPr>
          <w:rFonts w:asciiTheme="majorHAnsi" w:eastAsiaTheme="majorEastAsia" w:hAnsiTheme="majorHAnsi" w:cstheme="majorBidi"/>
          <w:bCs/>
          <w:color w:val="0000DC"/>
          <w:sz w:val="22"/>
          <w:lang w:eastAsia="ar-SA"/>
        </w:rPr>
      </w:pPr>
      <w:r>
        <w:rPr>
          <w:rFonts w:asciiTheme="majorHAnsi" w:eastAsiaTheme="majorEastAsia" w:hAnsiTheme="majorHAnsi" w:cstheme="majorBidi"/>
          <w:bCs/>
          <w:color w:val="0000DC"/>
          <w:sz w:val="22"/>
          <w:lang w:eastAsia="ar-SA"/>
        </w:rPr>
        <w:lastRenderedPageBreak/>
        <w:t>Příklad 1</w:t>
      </w:r>
    </w:p>
    <w:p w14:paraId="249E8659" w14:textId="77777777" w:rsidR="00842655" w:rsidRDefault="00842655" w:rsidP="0084265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Podle směrnice Evropského parlamentu a Rady 2011/83/EU ze dne 25. října 2011 o právech spotřebitelů platí, že má spotřebitel právo ve lhůtě 14 dnů odstoupit od smlouvy uzavření na dálku nebo mimo obchodní prostory bez uvedení důvodu. Kdo (který orgán) bude podle Vás rozhodovat, pokud Vám obchodník neumožní odstoupit od smlouvy v uvedené lhůtě? </w:t>
      </w:r>
    </w:p>
    <w:p w14:paraId="7094C6A4" w14:textId="77777777" w:rsidR="00842655" w:rsidRDefault="00842655" w:rsidP="00842655">
      <w:pPr>
        <w:rPr>
          <w:rFonts w:asciiTheme="majorHAnsi" w:eastAsiaTheme="majorEastAsia" w:hAnsiTheme="majorHAnsi" w:cstheme="majorBidi"/>
          <w:bCs/>
          <w:color w:val="0000DC"/>
          <w:sz w:val="22"/>
          <w:lang w:eastAsia="ar-SA"/>
        </w:rPr>
      </w:pPr>
      <w:r>
        <w:rPr>
          <w:rFonts w:asciiTheme="majorHAnsi" w:eastAsiaTheme="majorEastAsia" w:hAnsiTheme="majorHAnsi" w:cstheme="majorBidi"/>
          <w:bCs/>
          <w:color w:val="0000DC"/>
          <w:sz w:val="22"/>
          <w:lang w:eastAsia="ar-SA"/>
        </w:rPr>
        <w:t>Příklad 2</w:t>
      </w:r>
    </w:p>
    <w:p w14:paraId="16957844" w14:textId="77777777" w:rsidR="00842655" w:rsidRDefault="00842655" w:rsidP="0084265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Podle nařízení Evropského parlamentu a Rady (EU) 2016/679 ze dne 27. dubna 2016 o ochraně fyzických osob v souvislosti se zpracováním osobních údajů a o volném pohybu těchto údajů (GDPR) mají i školy povinnost nakládat s osobními údaji žáků v souladu s tímto nařízením. Učitel školy pořídil na školním výletě fotografie, které umístil na web školy. Zákonný zástupce jednoho žáka, který byl na vícero fotografiích zachycen, však ale nedal souhlas s uveřejněním fotografií na web školy. Kdo bude podle Vás řešit případný spor, pokud učitel z webu školy fotografie nestáhne, neboť ostatních 25 zákonných zástupců žáků souhlasilo? </w:t>
      </w:r>
    </w:p>
    <w:p w14:paraId="7F3397C0" w14:textId="77777777" w:rsidR="00842655" w:rsidRDefault="00842655" w:rsidP="00842655">
      <w:pPr>
        <w:rPr>
          <w:rFonts w:asciiTheme="majorHAnsi" w:eastAsiaTheme="majorEastAsia" w:hAnsiTheme="majorHAnsi" w:cstheme="majorBidi"/>
          <w:bCs/>
          <w:color w:val="0000DC"/>
          <w:sz w:val="22"/>
          <w:lang w:eastAsia="ar-SA"/>
        </w:rPr>
      </w:pPr>
      <w:r>
        <w:rPr>
          <w:rFonts w:asciiTheme="majorHAnsi" w:eastAsiaTheme="majorEastAsia" w:hAnsiTheme="majorHAnsi" w:cstheme="majorBidi"/>
          <w:bCs/>
          <w:color w:val="0000DC"/>
          <w:sz w:val="22"/>
          <w:lang w:eastAsia="ar-SA"/>
        </w:rPr>
        <w:t>Příklad 3</w:t>
      </w:r>
    </w:p>
    <w:p w14:paraId="795192CA" w14:textId="2712CE0C" w:rsidR="00842655" w:rsidRDefault="00842655" w:rsidP="00842655">
      <w:pPr>
        <w:rPr>
          <w:rFonts w:asciiTheme="majorHAnsi" w:eastAsiaTheme="majorEastAsia" w:hAnsiTheme="majorHAnsi" w:cstheme="majorBidi"/>
          <w:bCs/>
          <w:sz w:val="22"/>
          <w:lang w:eastAsia="ar-SA"/>
        </w:rPr>
      </w:pPr>
      <w:r>
        <w:rPr>
          <w:noProof/>
        </w:rPr>
        <w:drawing>
          <wp:anchor distT="0" distB="0" distL="114300" distR="114300" simplePos="0" relativeHeight="251665408" behindDoc="1" locked="0" layoutInCell="1" allowOverlap="1" wp14:anchorId="0E3C3345" wp14:editId="6C2A1FCC">
            <wp:simplePos x="0" y="0"/>
            <wp:positionH relativeFrom="margin">
              <wp:align>right</wp:align>
            </wp:positionH>
            <wp:positionV relativeFrom="paragraph">
              <wp:posOffset>78740</wp:posOffset>
            </wp:positionV>
            <wp:extent cx="2032635" cy="695325"/>
            <wp:effectExtent l="0" t="0" r="5715" b="9525"/>
            <wp:wrapTight wrapText="bothSides">
              <wp:wrapPolygon edited="0">
                <wp:start x="0" y="0"/>
                <wp:lineTo x="0" y="21304"/>
                <wp:lineTo x="21458" y="21304"/>
                <wp:lineTo x="21458"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2635" cy="69532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Cs/>
          <w:sz w:val="22"/>
          <w:lang w:eastAsia="ar-SA"/>
        </w:rPr>
        <w:t xml:space="preserve">V roce 2018 uložila Evropské komise společnosti Google jednu z nejvyšších pokut, a to 4,34 miliardy EUR (v přepočtu kolem 110 miliard CZK). Jednalo se o porušení pravidel hospodářské soutěže v rámci jednotného vnitřního trhu EU, konkrétně tím, že podle Evropské komise Google zneužíval dominantní postavení operačního systému Android, ve kterém upřednostňoval vyhledávač a prohlížeč Chrome. </w:t>
      </w:r>
    </w:p>
    <w:p w14:paraId="49793AE8" w14:textId="77777777" w:rsidR="00842655" w:rsidRDefault="00842655" w:rsidP="00842655">
      <w:pPr>
        <w:pStyle w:val="Odstavecseseznamem"/>
        <w:numPr>
          <w:ilvl w:val="0"/>
          <w:numId w:val="16"/>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Jaká je role Evropské komise v tomto případě?</w:t>
      </w:r>
    </w:p>
    <w:p w14:paraId="4AD5A2EF" w14:textId="77777777" w:rsidR="00842655" w:rsidRDefault="00842655" w:rsidP="00842655">
      <w:pPr>
        <w:pStyle w:val="Odstavecseseznamem"/>
        <w:numPr>
          <w:ilvl w:val="0"/>
          <w:numId w:val="16"/>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Zamyslete se nad situací, ve které společnost Google nesouhlasí s uloženou pokutou. Co může Google udělat? </w:t>
      </w:r>
    </w:p>
    <w:p w14:paraId="00D87DB3" w14:textId="77777777" w:rsidR="00842655" w:rsidRDefault="00842655" w:rsidP="00842655">
      <w:pPr>
        <w:pStyle w:val="Odstavecseseznamem"/>
        <w:numPr>
          <w:ilvl w:val="0"/>
          <w:numId w:val="16"/>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Bez ohledu na realitu předpokládejme, že pokuta byla potvrzena. Společnost Google však odmítá pokutu zaplatit. Má Evropská unie prostředky státního donucení, jak může pokutu vymáhat? Pokud ne, kdo pokuty vymáhá?</w:t>
      </w:r>
    </w:p>
    <w:p w14:paraId="0C5AEB76" w14:textId="77777777" w:rsidR="00842655" w:rsidRDefault="00842655" w:rsidP="00842655">
      <w:pPr>
        <w:pStyle w:val="Odstavecseseznamem"/>
        <w:numPr>
          <w:ilvl w:val="0"/>
          <w:numId w:val="16"/>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Může Evropská komise uložit pokutu i fyzické osobě – tedy Vám, občanům EU? </w:t>
      </w:r>
    </w:p>
    <w:p w14:paraId="1707C086" w14:textId="77777777" w:rsidR="00842655" w:rsidRDefault="00842655" w:rsidP="00842655">
      <w:pPr>
        <w:rPr>
          <w:rFonts w:asciiTheme="majorHAnsi" w:eastAsiaTheme="majorEastAsia" w:hAnsiTheme="majorHAnsi" w:cstheme="majorBidi"/>
          <w:bCs/>
          <w:color w:val="0000DC"/>
          <w:sz w:val="22"/>
          <w:lang w:eastAsia="ar-SA"/>
        </w:rPr>
      </w:pPr>
    </w:p>
    <w:p w14:paraId="1F718B91" w14:textId="77777777" w:rsidR="00842655" w:rsidRDefault="00842655" w:rsidP="00842655">
      <w:pPr>
        <w:rPr>
          <w:rFonts w:asciiTheme="majorHAnsi" w:eastAsiaTheme="majorEastAsia" w:hAnsiTheme="majorHAnsi" w:cstheme="majorBidi"/>
          <w:bCs/>
          <w:color w:val="0000DC"/>
          <w:sz w:val="22"/>
          <w:lang w:eastAsia="ar-SA"/>
        </w:rPr>
      </w:pPr>
      <w:r>
        <w:rPr>
          <w:rFonts w:asciiTheme="majorHAnsi" w:eastAsiaTheme="majorEastAsia" w:hAnsiTheme="majorHAnsi" w:cstheme="majorBidi"/>
          <w:bCs/>
          <w:color w:val="0000DC"/>
          <w:sz w:val="22"/>
          <w:lang w:eastAsia="ar-SA"/>
        </w:rPr>
        <w:t>Příště</w:t>
      </w:r>
    </w:p>
    <w:p w14:paraId="62040251" w14:textId="77777777" w:rsidR="00842655" w:rsidRDefault="00842655" w:rsidP="00842655">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Porušení práva EU státem, spory mezi státy, mediálně známé případy – A. Babiš a jiné. </w:t>
      </w:r>
    </w:p>
    <w:p w14:paraId="225E125C" w14:textId="0DF31B95" w:rsidR="00AA28F3" w:rsidRDefault="00AA28F3" w:rsidP="00AA28F3">
      <w:pPr>
        <w:rPr>
          <w:rFonts w:asciiTheme="majorHAnsi" w:eastAsiaTheme="majorEastAsia" w:hAnsiTheme="majorHAnsi" w:cstheme="majorBidi"/>
          <w:b/>
          <w:sz w:val="24"/>
          <w:szCs w:val="24"/>
          <w:lang w:eastAsia="ar-SA"/>
        </w:rPr>
      </w:pPr>
    </w:p>
    <w:p w14:paraId="4275D388" w14:textId="3D40EF49" w:rsidR="00AA28F3" w:rsidRDefault="00AA28F3" w:rsidP="00AA28F3">
      <w:pPr>
        <w:rPr>
          <w:rFonts w:asciiTheme="majorHAnsi" w:eastAsiaTheme="majorEastAsia" w:hAnsiTheme="majorHAnsi" w:cstheme="majorBidi"/>
          <w:b/>
          <w:sz w:val="24"/>
          <w:szCs w:val="24"/>
          <w:lang w:eastAsia="ar-SA"/>
        </w:rPr>
      </w:pPr>
    </w:p>
    <w:sectPr w:rsidR="00AA28F3" w:rsidSect="00AE58AA">
      <w:footerReference w:type="default" r:id="rId28"/>
      <w:headerReference w:type="first" r:id="rId29"/>
      <w:footerReference w:type="first" r:id="rId30"/>
      <w:pgSz w:w="11906" w:h="16838"/>
      <w:pgMar w:top="1361" w:right="1361" w:bottom="1361" w:left="1361" w:header="96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3AA92" w14:textId="77777777" w:rsidR="003C68C1" w:rsidRDefault="003C68C1" w:rsidP="0036679C">
      <w:r>
        <w:separator/>
      </w:r>
    </w:p>
    <w:p w14:paraId="65B37A2E" w14:textId="77777777" w:rsidR="003C68C1" w:rsidRDefault="003C68C1"/>
  </w:endnote>
  <w:endnote w:type="continuationSeparator" w:id="0">
    <w:p w14:paraId="41EBD278" w14:textId="77777777" w:rsidR="003C68C1" w:rsidRDefault="003C68C1" w:rsidP="0036679C">
      <w:r>
        <w:continuationSeparator/>
      </w:r>
    </w:p>
    <w:p w14:paraId="0EF62CB3" w14:textId="77777777" w:rsidR="003C68C1" w:rsidRDefault="003C68C1"/>
  </w:endnote>
  <w:endnote w:type="continuationNotice" w:id="1">
    <w:p w14:paraId="27C864AD" w14:textId="77777777" w:rsidR="003C68C1" w:rsidRDefault="003C68C1" w:rsidP="0036679C"/>
    <w:p w14:paraId="4DCB04A8" w14:textId="77777777" w:rsidR="003C68C1" w:rsidRDefault="003C68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948B" w14:textId="77777777" w:rsidR="002B4E42" w:rsidRDefault="005671E9" w:rsidP="00AE58AA">
    <w:pPr>
      <w:pStyle w:val="Zpatsslovnmstrnky"/>
    </w:pPr>
    <w:r w:rsidRPr="005671E9">
      <w:rPr>
        <w:rStyle w:val="slovnstrnkyChar"/>
      </w:rPr>
      <w:fldChar w:fldCharType="begin"/>
    </w:r>
    <w:r w:rsidRPr="005671E9">
      <w:rPr>
        <w:rStyle w:val="slovnstrnkyChar"/>
      </w:rPr>
      <w:instrText>PAGE  \* Arabic  \* MERGEFORMAT</w:instrText>
    </w:r>
    <w:r w:rsidRPr="005671E9">
      <w:rPr>
        <w:rStyle w:val="slovnstrnkyChar"/>
      </w:rPr>
      <w:fldChar w:fldCharType="separate"/>
    </w:r>
    <w:r w:rsidRPr="005671E9">
      <w:rPr>
        <w:rStyle w:val="slovnstrnkyChar"/>
      </w:rPr>
      <w:t>1</w:t>
    </w:r>
    <w:r w:rsidRPr="005671E9">
      <w:rPr>
        <w:rStyle w:val="slovnstrnkyChar"/>
      </w:rPr>
      <w:fldChar w:fldCharType="end"/>
    </w:r>
    <w:r w:rsidRPr="005671E9">
      <w:rPr>
        <w:rStyle w:val="slovnstrnkyChar"/>
      </w:rPr>
      <w:t>/</w:t>
    </w:r>
    <w:r w:rsidRPr="005671E9">
      <w:rPr>
        <w:rStyle w:val="slovnstrnkyChar"/>
      </w:rPr>
      <w:fldChar w:fldCharType="begin"/>
    </w:r>
    <w:r w:rsidRPr="005671E9">
      <w:rPr>
        <w:rStyle w:val="slovnstrnkyChar"/>
      </w:rPr>
      <w:instrText>NUMPAGES  \* Arabic  \* MERGEFORMAT</w:instrText>
    </w:r>
    <w:r w:rsidRPr="005671E9">
      <w:rPr>
        <w:rStyle w:val="slovnstrnkyChar"/>
      </w:rPr>
      <w:fldChar w:fldCharType="separate"/>
    </w:r>
    <w:r w:rsidRPr="005671E9">
      <w:rPr>
        <w:rStyle w:val="slovnstrnkyChar"/>
      </w:rPr>
      <w:t>2</w:t>
    </w:r>
    <w:r w:rsidRPr="005671E9">
      <w:rPr>
        <w:rStyle w:val="slovnstrnkyChar"/>
      </w:rPr>
      <w:fldChar w:fldCharType="end"/>
    </w:r>
    <w:r w:rsidRPr="00FB7180">
      <w:rPr>
        <w:rFonts w:eastAsia="Calibri"/>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D557" w14:textId="77777777" w:rsidR="001B28E1" w:rsidRPr="0014328A" w:rsidRDefault="001B28E1" w:rsidP="001B28E1">
    <w:pPr>
      <w:pStyle w:val="Zpatsslovnmstrnky"/>
    </w:pPr>
    <w:r w:rsidRPr="005671E9">
      <w:rPr>
        <w:rStyle w:val="slovnstrnkyChar"/>
      </w:rPr>
      <w:fldChar w:fldCharType="begin"/>
    </w:r>
    <w:r w:rsidRPr="005671E9">
      <w:rPr>
        <w:rStyle w:val="slovnstrnkyChar"/>
      </w:rPr>
      <w:instrText>PAGE  \* Arabic  \* MERGEFORMAT</w:instrText>
    </w:r>
    <w:r w:rsidRPr="005671E9">
      <w:rPr>
        <w:rStyle w:val="slovnstrnkyChar"/>
      </w:rPr>
      <w:fldChar w:fldCharType="separate"/>
    </w:r>
    <w:r>
      <w:rPr>
        <w:rStyle w:val="slovnstrnkyChar"/>
      </w:rPr>
      <w:t>2</w:t>
    </w:r>
    <w:r w:rsidRPr="005671E9">
      <w:rPr>
        <w:rStyle w:val="slovnstrnkyChar"/>
      </w:rPr>
      <w:fldChar w:fldCharType="end"/>
    </w:r>
    <w:r w:rsidRPr="005671E9">
      <w:rPr>
        <w:rStyle w:val="slovnstrnkyChar"/>
      </w:rPr>
      <w:t>/</w:t>
    </w:r>
    <w:r w:rsidRPr="005671E9">
      <w:rPr>
        <w:rStyle w:val="slovnstrnkyChar"/>
      </w:rPr>
      <w:fldChar w:fldCharType="begin"/>
    </w:r>
    <w:r w:rsidRPr="005671E9">
      <w:rPr>
        <w:rStyle w:val="slovnstrnkyChar"/>
      </w:rPr>
      <w:instrText>NUMPAGES  \* Arabic  \* MERGEFORMAT</w:instrText>
    </w:r>
    <w:r w:rsidRPr="005671E9">
      <w:rPr>
        <w:rStyle w:val="slovnstrnkyChar"/>
      </w:rPr>
      <w:fldChar w:fldCharType="separate"/>
    </w:r>
    <w:r>
      <w:rPr>
        <w:rStyle w:val="slovnstrnkyChar"/>
      </w:rPr>
      <w:t>4</w:t>
    </w:r>
    <w:r w:rsidRPr="005671E9">
      <w:rPr>
        <w:rStyle w:val="slovnstrnkyChar"/>
      </w:rPr>
      <w:fldChar w:fldCharType="end"/>
    </w:r>
    <w:r w:rsidRPr="00FB7180">
      <w:rPr>
        <w:rFonts w:eastAsia="Calibri"/>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6BAD5" w14:textId="77777777" w:rsidR="003C68C1" w:rsidRPr="00A510E1" w:rsidRDefault="003C68C1" w:rsidP="0036679C">
      <w:r w:rsidRPr="00A510E1">
        <w:separator/>
      </w:r>
    </w:p>
  </w:footnote>
  <w:footnote w:type="continuationSeparator" w:id="0">
    <w:p w14:paraId="406F1B90" w14:textId="77777777" w:rsidR="003C68C1" w:rsidRDefault="003C68C1" w:rsidP="0036679C">
      <w:r>
        <w:continuationSeparator/>
      </w:r>
    </w:p>
    <w:p w14:paraId="018149D2" w14:textId="77777777" w:rsidR="003C68C1" w:rsidRDefault="003C68C1"/>
  </w:footnote>
  <w:footnote w:type="continuationNotice" w:id="1">
    <w:p w14:paraId="1E084305" w14:textId="77777777" w:rsidR="003C68C1" w:rsidRDefault="003C68C1" w:rsidP="0036679C"/>
    <w:p w14:paraId="3DFFE318" w14:textId="77777777" w:rsidR="003C68C1" w:rsidRDefault="003C68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1F1A" w14:textId="77777777" w:rsidR="00D03DE5" w:rsidRDefault="001B28E1">
    <w:pPr>
      <w:pStyle w:val="Zhlav"/>
    </w:pPr>
    <w:r>
      <w:rPr>
        <w:noProof/>
      </w:rPr>
      <w:drawing>
        <wp:anchor distT="0" distB="252095" distL="114300" distR="114300" simplePos="0" relativeHeight="251661824" behindDoc="1" locked="1" layoutInCell="1" allowOverlap="1" wp14:anchorId="49C321DA" wp14:editId="5DF688A0">
          <wp:simplePos x="0" y="0"/>
          <wp:positionH relativeFrom="page">
            <wp:posOffset>440690</wp:posOffset>
          </wp:positionH>
          <wp:positionV relativeFrom="page">
            <wp:posOffset>438150</wp:posOffset>
          </wp:positionV>
          <wp:extent cx="927735" cy="640715"/>
          <wp:effectExtent l="0" t="0" r="5715" b="6985"/>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stretch>
                    <a:fillRect/>
                  </a:stretch>
                </pic:blipFill>
                <pic:spPr>
                  <a:xfrm>
                    <a:off x="0" y="0"/>
                    <a:ext cx="92773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15C9"/>
    <w:multiLevelType w:val="hybridMultilevel"/>
    <w:tmpl w:val="03B8E782"/>
    <w:lvl w:ilvl="0" w:tplc="00C4A5CC">
      <w:start w:val="1"/>
      <w:numFmt w:val="lowerLetter"/>
      <w:lvlText w:val="%1)"/>
      <w:lvlJc w:val="left"/>
      <w:pPr>
        <w:tabs>
          <w:tab w:val="num" w:pos="720"/>
        </w:tabs>
        <w:ind w:left="720" w:hanging="360"/>
      </w:pPr>
    </w:lvl>
    <w:lvl w:ilvl="1" w:tplc="EDD2558E">
      <w:start w:val="1"/>
      <w:numFmt w:val="lowerLetter"/>
      <w:lvlText w:val="%2)"/>
      <w:lvlJc w:val="left"/>
      <w:pPr>
        <w:tabs>
          <w:tab w:val="num" w:pos="1440"/>
        </w:tabs>
        <w:ind w:left="1440" w:hanging="360"/>
      </w:pPr>
    </w:lvl>
    <w:lvl w:ilvl="2" w:tplc="BE149D98">
      <w:start w:val="1"/>
      <w:numFmt w:val="lowerLetter"/>
      <w:lvlText w:val="%3)"/>
      <w:lvlJc w:val="left"/>
      <w:pPr>
        <w:tabs>
          <w:tab w:val="num" w:pos="2160"/>
        </w:tabs>
        <w:ind w:left="2160" w:hanging="360"/>
      </w:pPr>
    </w:lvl>
    <w:lvl w:ilvl="3" w:tplc="663CAC9C">
      <w:start w:val="1"/>
      <w:numFmt w:val="lowerLetter"/>
      <w:lvlText w:val="%4)"/>
      <w:lvlJc w:val="left"/>
      <w:pPr>
        <w:tabs>
          <w:tab w:val="num" w:pos="2880"/>
        </w:tabs>
        <w:ind w:left="2880" w:hanging="360"/>
      </w:pPr>
    </w:lvl>
    <w:lvl w:ilvl="4" w:tplc="6C5C7CEC">
      <w:start w:val="1"/>
      <w:numFmt w:val="lowerLetter"/>
      <w:lvlText w:val="%5)"/>
      <w:lvlJc w:val="left"/>
      <w:pPr>
        <w:tabs>
          <w:tab w:val="num" w:pos="3600"/>
        </w:tabs>
        <w:ind w:left="3600" w:hanging="360"/>
      </w:pPr>
    </w:lvl>
    <w:lvl w:ilvl="5" w:tplc="E522D588">
      <w:start w:val="1"/>
      <w:numFmt w:val="lowerLetter"/>
      <w:lvlText w:val="%6)"/>
      <w:lvlJc w:val="left"/>
      <w:pPr>
        <w:tabs>
          <w:tab w:val="num" w:pos="4320"/>
        </w:tabs>
        <w:ind w:left="4320" w:hanging="360"/>
      </w:pPr>
    </w:lvl>
    <w:lvl w:ilvl="6" w:tplc="7318DFCC">
      <w:start w:val="1"/>
      <w:numFmt w:val="lowerLetter"/>
      <w:lvlText w:val="%7)"/>
      <w:lvlJc w:val="left"/>
      <w:pPr>
        <w:tabs>
          <w:tab w:val="num" w:pos="5040"/>
        </w:tabs>
        <w:ind w:left="5040" w:hanging="360"/>
      </w:pPr>
    </w:lvl>
    <w:lvl w:ilvl="7" w:tplc="33465340">
      <w:start w:val="1"/>
      <w:numFmt w:val="lowerLetter"/>
      <w:lvlText w:val="%8)"/>
      <w:lvlJc w:val="left"/>
      <w:pPr>
        <w:tabs>
          <w:tab w:val="num" w:pos="5760"/>
        </w:tabs>
        <w:ind w:left="5760" w:hanging="360"/>
      </w:pPr>
    </w:lvl>
    <w:lvl w:ilvl="8" w:tplc="3B4A063C">
      <w:start w:val="1"/>
      <w:numFmt w:val="lowerLetter"/>
      <w:lvlText w:val="%9)"/>
      <w:lvlJc w:val="left"/>
      <w:pPr>
        <w:tabs>
          <w:tab w:val="num" w:pos="6480"/>
        </w:tabs>
        <w:ind w:left="6480" w:hanging="360"/>
      </w:pPr>
    </w:lvl>
  </w:abstractNum>
  <w:abstractNum w:abstractNumId="1" w15:restartNumberingAfterBreak="0">
    <w:nsid w:val="0DDF4F96"/>
    <w:multiLevelType w:val="multilevel"/>
    <w:tmpl w:val="3E22EE2A"/>
    <w:lvl w:ilvl="0">
      <w:numFmt w:val="bullet"/>
      <w:pStyle w:val="Odrka"/>
      <w:lvlText w:val="—"/>
      <w:lvlJc w:val="left"/>
      <w:pPr>
        <w:ind w:left="454" w:hanging="454"/>
      </w:pPr>
      <w:rPr>
        <w:rFonts w:ascii="Arial" w:hAnsi="Arial" w:hint="default"/>
        <w:b/>
        <w:color w:val="0000DC"/>
      </w:rPr>
    </w:lvl>
    <w:lvl w:ilvl="1">
      <w:start w:val="1"/>
      <w:numFmt w:val="bullet"/>
      <w:lvlText w:val="—"/>
      <w:lvlJc w:val="left"/>
      <w:pPr>
        <w:ind w:left="908" w:hanging="454"/>
      </w:pPr>
      <w:rPr>
        <w:rFonts w:ascii="Arial" w:hAnsi="Arial" w:hint="default"/>
        <w:color w:val="0000DC"/>
      </w:rPr>
    </w:lvl>
    <w:lvl w:ilvl="2">
      <w:start w:val="1"/>
      <w:numFmt w:val="bullet"/>
      <w:lvlText w:val="—"/>
      <w:lvlJc w:val="left"/>
      <w:pPr>
        <w:ind w:left="1362" w:hanging="454"/>
      </w:pPr>
      <w:rPr>
        <w:rFonts w:ascii="Arial" w:hAnsi="Arial" w:hint="default"/>
        <w:color w:val="0000DC"/>
      </w:rPr>
    </w:lvl>
    <w:lvl w:ilvl="3">
      <w:start w:val="1"/>
      <w:numFmt w:val="bullet"/>
      <w:lvlText w:val="—"/>
      <w:lvlJc w:val="left"/>
      <w:pPr>
        <w:ind w:left="1816" w:hanging="454"/>
      </w:pPr>
      <w:rPr>
        <w:rFonts w:ascii="Arial" w:hAnsi="Arial" w:hint="default"/>
        <w:color w:val="0000DC"/>
      </w:rPr>
    </w:lvl>
    <w:lvl w:ilvl="4">
      <w:start w:val="1"/>
      <w:numFmt w:val="bullet"/>
      <w:lvlText w:val="—"/>
      <w:lvlJc w:val="left"/>
      <w:pPr>
        <w:ind w:left="2270" w:hanging="454"/>
      </w:pPr>
      <w:rPr>
        <w:rFonts w:ascii="Arial" w:hAnsi="Arial" w:hint="default"/>
        <w:color w:val="0000DC"/>
      </w:rPr>
    </w:lvl>
    <w:lvl w:ilvl="5">
      <w:start w:val="1"/>
      <w:numFmt w:val="bullet"/>
      <w:lvlText w:val="—"/>
      <w:lvlJc w:val="left"/>
      <w:pPr>
        <w:ind w:left="2724" w:hanging="454"/>
      </w:pPr>
      <w:rPr>
        <w:rFonts w:ascii="Arial" w:hAnsi="Arial" w:hint="default"/>
        <w:color w:val="0000DC"/>
      </w:rPr>
    </w:lvl>
    <w:lvl w:ilvl="6">
      <w:start w:val="1"/>
      <w:numFmt w:val="bullet"/>
      <w:lvlText w:val="—"/>
      <w:lvlJc w:val="left"/>
      <w:pPr>
        <w:ind w:left="3178" w:hanging="454"/>
      </w:pPr>
      <w:rPr>
        <w:rFonts w:ascii="Arial" w:hAnsi="Arial" w:hint="default"/>
        <w:color w:val="0000DC"/>
      </w:rPr>
    </w:lvl>
    <w:lvl w:ilvl="7">
      <w:start w:val="1"/>
      <w:numFmt w:val="bullet"/>
      <w:lvlText w:val="—"/>
      <w:lvlJc w:val="left"/>
      <w:pPr>
        <w:ind w:left="3629" w:hanging="451"/>
      </w:pPr>
      <w:rPr>
        <w:rFonts w:ascii="Arial" w:hAnsi="Arial" w:hint="default"/>
        <w:color w:val="0000DC"/>
      </w:rPr>
    </w:lvl>
    <w:lvl w:ilvl="8">
      <w:start w:val="1"/>
      <w:numFmt w:val="bullet"/>
      <w:lvlText w:val="—"/>
      <w:lvlJc w:val="left"/>
      <w:pPr>
        <w:ind w:left="4082" w:hanging="453"/>
      </w:pPr>
      <w:rPr>
        <w:rFonts w:ascii="Arial" w:hAnsi="Arial" w:hint="default"/>
        <w:color w:val="0000DC"/>
      </w:rPr>
    </w:lvl>
  </w:abstractNum>
  <w:abstractNum w:abstractNumId="2" w15:restartNumberingAfterBreak="0">
    <w:nsid w:val="0F914FEE"/>
    <w:multiLevelType w:val="hybridMultilevel"/>
    <w:tmpl w:val="300C9F50"/>
    <w:lvl w:ilvl="0" w:tplc="7772D30C">
      <w:start w:val="1"/>
      <w:numFmt w:val="decimal"/>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C6630D8"/>
    <w:multiLevelType w:val="hybridMultilevel"/>
    <w:tmpl w:val="120810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DC5482A"/>
    <w:multiLevelType w:val="hybridMultilevel"/>
    <w:tmpl w:val="08F0484C"/>
    <w:lvl w:ilvl="0" w:tplc="09684368">
      <w:start w:val="3"/>
      <w:numFmt w:val="decimal"/>
      <w:lvlText w:val="%1."/>
      <w:lvlJc w:val="left"/>
      <w:pPr>
        <w:ind w:left="720" w:hanging="360"/>
      </w:pPr>
      <w:rPr>
        <w:b w:val="0"/>
        <w:bCs/>
        <w:color w:val="auto"/>
        <w:sz w:val="22"/>
        <w:szCs w:val="22"/>
      </w:rPr>
    </w:lvl>
    <w:lvl w:ilvl="1" w:tplc="1C902BD8">
      <w:start w:val="1"/>
      <w:numFmt w:val="lowerLetter"/>
      <w:lvlText w:val="%2)"/>
      <w:lvlJc w:val="left"/>
      <w:pPr>
        <w:ind w:left="1440" w:hanging="360"/>
      </w:pPr>
      <w:rPr>
        <w:b w:val="0"/>
        <w:bCs/>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2E937EDD"/>
    <w:multiLevelType w:val="hybridMultilevel"/>
    <w:tmpl w:val="4F40A40E"/>
    <w:lvl w:ilvl="0" w:tplc="352C597E">
      <w:start w:val="1"/>
      <w:numFmt w:val="decimal"/>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708643A"/>
    <w:multiLevelType w:val="hybridMultilevel"/>
    <w:tmpl w:val="8A94F0A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15:restartNumberingAfterBreak="0">
    <w:nsid w:val="3BF861A4"/>
    <w:multiLevelType w:val="hybridMultilevel"/>
    <w:tmpl w:val="B7E0B286"/>
    <w:lvl w:ilvl="0" w:tplc="7772D30C">
      <w:start w:val="1"/>
      <w:numFmt w:val="decimal"/>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15108EB"/>
    <w:multiLevelType w:val="hybridMultilevel"/>
    <w:tmpl w:val="186C46E4"/>
    <w:lvl w:ilvl="0" w:tplc="55E22C0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9" w15:restartNumberingAfterBreak="0">
    <w:nsid w:val="42127AF6"/>
    <w:multiLevelType w:val="multilevel"/>
    <w:tmpl w:val="763E8C86"/>
    <w:lvl w:ilvl="0">
      <w:start w:val="1"/>
      <w:numFmt w:val="decimal"/>
      <w:pStyle w:val="slovanodrka"/>
      <w:lvlText w:val="%1."/>
      <w:lvlJc w:val="left"/>
      <w:pPr>
        <w:ind w:left="454" w:hanging="454"/>
      </w:pPr>
      <w:rPr>
        <w:rFonts w:hint="default"/>
        <w:b w:val="0"/>
        <w:i w:val="0"/>
        <w:color w:val="0000DC"/>
      </w:rPr>
    </w:lvl>
    <w:lvl w:ilvl="1">
      <w:start w:val="1"/>
      <w:numFmt w:val="decimal"/>
      <w:lvlText w:val="%1.%2"/>
      <w:lvlJc w:val="left"/>
      <w:pPr>
        <w:ind w:left="908" w:hanging="454"/>
      </w:pPr>
      <w:rPr>
        <w:rFonts w:hint="default"/>
        <w:color w:val="0000DC"/>
      </w:rPr>
    </w:lvl>
    <w:lvl w:ilvl="2">
      <w:start w:val="1"/>
      <w:numFmt w:val="decimal"/>
      <w:lvlText w:val="%1.%2.%3"/>
      <w:lvlJc w:val="left"/>
      <w:pPr>
        <w:ind w:left="1362" w:hanging="454"/>
      </w:pPr>
      <w:rPr>
        <w:rFonts w:hint="default"/>
        <w:color w:val="0000DC"/>
      </w:rPr>
    </w:lvl>
    <w:lvl w:ilvl="3">
      <w:start w:val="1"/>
      <w:numFmt w:val="decimal"/>
      <w:lvlText w:val="%1.%2.%3.%4"/>
      <w:lvlJc w:val="left"/>
      <w:pPr>
        <w:ind w:left="1816" w:hanging="454"/>
      </w:pPr>
      <w:rPr>
        <w:rFonts w:hint="default"/>
        <w:color w:val="0000DC"/>
      </w:rPr>
    </w:lvl>
    <w:lvl w:ilvl="4">
      <w:start w:val="1"/>
      <w:numFmt w:val="decimal"/>
      <w:lvlText w:val="%1.%2.%3.%4.%5"/>
      <w:lvlJc w:val="left"/>
      <w:pPr>
        <w:ind w:left="2270" w:hanging="454"/>
      </w:pPr>
      <w:rPr>
        <w:rFonts w:hint="default"/>
        <w:color w:val="0000DC"/>
      </w:rPr>
    </w:lvl>
    <w:lvl w:ilvl="5">
      <w:start w:val="1"/>
      <w:numFmt w:val="decimal"/>
      <w:lvlText w:val="%1.%2.%3.%4.%5.%6"/>
      <w:lvlJc w:val="left"/>
      <w:pPr>
        <w:ind w:left="2724" w:hanging="454"/>
      </w:pPr>
      <w:rPr>
        <w:rFonts w:hint="default"/>
        <w:color w:val="0000DC"/>
      </w:rPr>
    </w:lvl>
    <w:lvl w:ilvl="6">
      <w:start w:val="1"/>
      <w:numFmt w:val="decimal"/>
      <w:lvlText w:val="%1.%2.%3.%4.%5.%6.%7"/>
      <w:lvlJc w:val="left"/>
      <w:pPr>
        <w:ind w:left="3178" w:hanging="454"/>
      </w:pPr>
      <w:rPr>
        <w:rFonts w:hint="default"/>
        <w:color w:val="0000DC"/>
      </w:rPr>
    </w:lvl>
    <w:lvl w:ilvl="7">
      <w:start w:val="1"/>
      <w:numFmt w:val="decimal"/>
      <w:lvlText w:val="%8.1.1.1.1.1.11.1"/>
      <w:lvlJc w:val="left"/>
      <w:pPr>
        <w:ind w:left="3632" w:hanging="454"/>
      </w:pPr>
      <w:rPr>
        <w:rFonts w:hint="default"/>
        <w:color w:val="0000DC"/>
      </w:rPr>
    </w:lvl>
    <w:lvl w:ilvl="8">
      <w:start w:val="1"/>
      <w:numFmt w:val="decimal"/>
      <w:lvlText w:val="%9.1.1.1.1.1.1.1.1"/>
      <w:lvlJc w:val="left"/>
      <w:pPr>
        <w:ind w:left="4086" w:hanging="454"/>
      </w:pPr>
      <w:rPr>
        <w:rFonts w:hint="default"/>
        <w:color w:val="0000DC"/>
      </w:rPr>
    </w:lvl>
  </w:abstractNum>
  <w:abstractNum w:abstractNumId="10" w15:restartNumberingAfterBreak="0">
    <w:nsid w:val="43567850"/>
    <w:multiLevelType w:val="hybridMultilevel"/>
    <w:tmpl w:val="0CAC5FC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E056781"/>
    <w:multiLevelType w:val="hybridMultilevel"/>
    <w:tmpl w:val="E84C2FEE"/>
    <w:lvl w:ilvl="0" w:tplc="7772D30C">
      <w:start w:val="1"/>
      <w:numFmt w:val="decimal"/>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CF15D08"/>
    <w:multiLevelType w:val="hybridMultilevel"/>
    <w:tmpl w:val="BBD8011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60F01B52"/>
    <w:multiLevelType w:val="hybridMultilevel"/>
    <w:tmpl w:val="9332846E"/>
    <w:lvl w:ilvl="0" w:tplc="0A688950">
      <w:start w:val="1"/>
      <w:numFmt w:val="decimal"/>
      <w:lvlText w:val="%1."/>
      <w:lvlJc w:val="left"/>
      <w:pPr>
        <w:ind w:left="720" w:hanging="360"/>
      </w:pPr>
      <w:rPr>
        <w:b w:val="0"/>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67D654BD"/>
    <w:multiLevelType w:val="hybridMultilevel"/>
    <w:tmpl w:val="91A299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86A0454"/>
    <w:multiLevelType w:val="hybridMultilevel"/>
    <w:tmpl w:val="2CBA4D9C"/>
    <w:lvl w:ilvl="0" w:tplc="AFE69F3E">
      <w:start w:val="1"/>
      <w:numFmt w:val="decimal"/>
      <w:lvlText w:val="%1."/>
      <w:lvlJc w:val="left"/>
      <w:pPr>
        <w:ind w:left="720" w:hanging="360"/>
      </w:pPr>
      <w:rPr>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722960B0"/>
    <w:multiLevelType w:val="hybridMultilevel"/>
    <w:tmpl w:val="F0241E1C"/>
    <w:lvl w:ilvl="0" w:tplc="352C597E">
      <w:start w:val="1"/>
      <w:numFmt w:val="decimal"/>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55878C5"/>
    <w:multiLevelType w:val="hybridMultilevel"/>
    <w:tmpl w:val="C640417C"/>
    <w:lvl w:ilvl="0" w:tplc="C0DAF7E2">
      <w:start w:val="1"/>
      <w:numFmt w:val="lowerLetter"/>
      <w:lvlText w:val="%1)"/>
      <w:lvlJc w:val="left"/>
      <w:pPr>
        <w:ind w:left="720" w:hanging="360"/>
      </w:pPr>
      <w:rPr>
        <w:b w:val="0"/>
        <w:bCs/>
        <w:color w:val="auto"/>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768F2381"/>
    <w:multiLevelType w:val="hybridMultilevel"/>
    <w:tmpl w:val="A2422F54"/>
    <w:lvl w:ilvl="0" w:tplc="2862C61C">
      <w:start w:val="1"/>
      <w:numFmt w:val="lowerLetter"/>
      <w:lvlText w:val="%1)"/>
      <w:lvlJc w:val="left"/>
      <w:pPr>
        <w:tabs>
          <w:tab w:val="num" w:pos="720"/>
        </w:tabs>
        <w:ind w:left="720" w:hanging="360"/>
      </w:pPr>
    </w:lvl>
    <w:lvl w:ilvl="1" w:tplc="9F6EE686">
      <w:start w:val="1"/>
      <w:numFmt w:val="lowerLetter"/>
      <w:lvlText w:val="%2)"/>
      <w:lvlJc w:val="left"/>
      <w:pPr>
        <w:tabs>
          <w:tab w:val="num" w:pos="1440"/>
        </w:tabs>
        <w:ind w:left="1440" w:hanging="360"/>
      </w:pPr>
    </w:lvl>
    <w:lvl w:ilvl="2" w:tplc="65F6E59A">
      <w:start w:val="1"/>
      <w:numFmt w:val="lowerLetter"/>
      <w:lvlText w:val="%3)"/>
      <w:lvlJc w:val="left"/>
      <w:pPr>
        <w:tabs>
          <w:tab w:val="num" w:pos="2160"/>
        </w:tabs>
        <w:ind w:left="2160" w:hanging="360"/>
      </w:pPr>
    </w:lvl>
    <w:lvl w:ilvl="3" w:tplc="D3C2363E">
      <w:start w:val="1"/>
      <w:numFmt w:val="lowerLetter"/>
      <w:lvlText w:val="%4)"/>
      <w:lvlJc w:val="left"/>
      <w:pPr>
        <w:tabs>
          <w:tab w:val="num" w:pos="2880"/>
        </w:tabs>
        <w:ind w:left="2880" w:hanging="360"/>
      </w:pPr>
    </w:lvl>
    <w:lvl w:ilvl="4" w:tplc="2F9CD80A">
      <w:start w:val="1"/>
      <w:numFmt w:val="lowerLetter"/>
      <w:lvlText w:val="%5)"/>
      <w:lvlJc w:val="left"/>
      <w:pPr>
        <w:tabs>
          <w:tab w:val="num" w:pos="3600"/>
        </w:tabs>
        <w:ind w:left="3600" w:hanging="360"/>
      </w:pPr>
    </w:lvl>
    <w:lvl w:ilvl="5" w:tplc="717E4ACC">
      <w:start w:val="1"/>
      <w:numFmt w:val="lowerLetter"/>
      <w:lvlText w:val="%6)"/>
      <w:lvlJc w:val="left"/>
      <w:pPr>
        <w:tabs>
          <w:tab w:val="num" w:pos="4320"/>
        </w:tabs>
        <w:ind w:left="4320" w:hanging="360"/>
      </w:pPr>
    </w:lvl>
    <w:lvl w:ilvl="6" w:tplc="D68079B0">
      <w:start w:val="1"/>
      <w:numFmt w:val="lowerLetter"/>
      <w:lvlText w:val="%7)"/>
      <w:lvlJc w:val="left"/>
      <w:pPr>
        <w:tabs>
          <w:tab w:val="num" w:pos="5040"/>
        </w:tabs>
        <w:ind w:left="5040" w:hanging="360"/>
      </w:pPr>
    </w:lvl>
    <w:lvl w:ilvl="7" w:tplc="E04A0ED8">
      <w:start w:val="1"/>
      <w:numFmt w:val="lowerLetter"/>
      <w:lvlText w:val="%8)"/>
      <w:lvlJc w:val="left"/>
      <w:pPr>
        <w:tabs>
          <w:tab w:val="num" w:pos="5760"/>
        </w:tabs>
        <w:ind w:left="5760" w:hanging="360"/>
      </w:pPr>
    </w:lvl>
    <w:lvl w:ilvl="8" w:tplc="B248F6BC">
      <w:start w:val="1"/>
      <w:numFmt w:val="lowerLetter"/>
      <w:lvlText w:val="%9)"/>
      <w:lvlJc w:val="left"/>
      <w:pPr>
        <w:tabs>
          <w:tab w:val="num" w:pos="6480"/>
        </w:tabs>
        <w:ind w:left="6480" w:hanging="360"/>
      </w:pPr>
    </w:lvl>
  </w:abstractNum>
  <w:abstractNum w:abstractNumId="19" w15:restartNumberingAfterBreak="0">
    <w:nsid w:val="76F43920"/>
    <w:multiLevelType w:val="hybridMultilevel"/>
    <w:tmpl w:val="C04E0274"/>
    <w:lvl w:ilvl="0" w:tplc="6F7EA8C8">
      <w:start w:val="1"/>
      <w:numFmt w:val="decimal"/>
      <w:lvlText w:val="%1."/>
      <w:lvlJc w:val="left"/>
      <w:pPr>
        <w:ind w:left="720" w:hanging="360"/>
      </w:pPr>
      <w:rPr>
        <w:color w:val="auto"/>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7A74752D"/>
    <w:multiLevelType w:val="multilevel"/>
    <w:tmpl w:val="406A841A"/>
    <w:lvl w:ilvl="0">
      <w:start w:val="1"/>
      <w:numFmt w:val="lowerLetter"/>
      <w:pStyle w:val="Odstavecseseznamem"/>
      <w:lvlText w:val="%1)"/>
      <w:lvlJc w:val="left"/>
      <w:pPr>
        <w:ind w:left="454" w:hanging="454"/>
      </w:pPr>
      <w:rPr>
        <w:rFonts w:hint="default"/>
        <w:color w:val="0000DC"/>
      </w:rPr>
    </w:lvl>
    <w:lvl w:ilvl="1">
      <w:start w:val="1"/>
      <w:numFmt w:val="lowerLetter"/>
      <w:lvlText w:val="%2)"/>
      <w:lvlJc w:val="left"/>
      <w:pPr>
        <w:ind w:left="908" w:hanging="454"/>
      </w:pPr>
      <w:rPr>
        <w:rFonts w:hint="default"/>
        <w:color w:val="0000DC"/>
      </w:rPr>
    </w:lvl>
    <w:lvl w:ilvl="2">
      <w:start w:val="1"/>
      <w:numFmt w:val="lowerLetter"/>
      <w:lvlText w:val="%3)"/>
      <w:lvlJc w:val="right"/>
      <w:pPr>
        <w:ind w:left="1362" w:hanging="454"/>
      </w:pPr>
      <w:rPr>
        <w:rFonts w:hint="default"/>
        <w:color w:val="0000DC"/>
      </w:rPr>
    </w:lvl>
    <w:lvl w:ilvl="3">
      <w:start w:val="1"/>
      <w:numFmt w:val="lowerLetter"/>
      <w:lvlText w:val="%4)"/>
      <w:lvlJc w:val="left"/>
      <w:pPr>
        <w:ind w:left="1816" w:hanging="454"/>
      </w:pPr>
      <w:rPr>
        <w:rFonts w:hint="default"/>
        <w:color w:val="0000DC"/>
      </w:rPr>
    </w:lvl>
    <w:lvl w:ilvl="4">
      <w:start w:val="1"/>
      <w:numFmt w:val="lowerLetter"/>
      <w:lvlText w:val="%5)"/>
      <w:lvlJc w:val="left"/>
      <w:pPr>
        <w:ind w:left="2270" w:hanging="454"/>
      </w:pPr>
      <w:rPr>
        <w:rFonts w:hint="default"/>
        <w:color w:val="0000DC"/>
      </w:rPr>
    </w:lvl>
    <w:lvl w:ilvl="5">
      <w:start w:val="1"/>
      <w:numFmt w:val="lowerLetter"/>
      <w:lvlText w:val="%6)"/>
      <w:lvlJc w:val="right"/>
      <w:pPr>
        <w:ind w:left="2724" w:hanging="454"/>
      </w:pPr>
      <w:rPr>
        <w:rFonts w:hint="default"/>
        <w:color w:val="0000DC"/>
      </w:rPr>
    </w:lvl>
    <w:lvl w:ilvl="6">
      <w:start w:val="1"/>
      <w:numFmt w:val="lowerLetter"/>
      <w:lvlText w:val="%7)"/>
      <w:lvlJc w:val="left"/>
      <w:pPr>
        <w:ind w:left="3178" w:hanging="454"/>
      </w:pPr>
      <w:rPr>
        <w:rFonts w:hint="default"/>
        <w:color w:val="0000DC"/>
      </w:rPr>
    </w:lvl>
    <w:lvl w:ilvl="7">
      <w:start w:val="1"/>
      <w:numFmt w:val="lowerLetter"/>
      <w:lvlText w:val="%8)"/>
      <w:lvlJc w:val="left"/>
      <w:pPr>
        <w:ind w:left="3632" w:hanging="454"/>
      </w:pPr>
      <w:rPr>
        <w:rFonts w:hint="default"/>
        <w:color w:val="0000DC"/>
      </w:rPr>
    </w:lvl>
    <w:lvl w:ilvl="8">
      <w:start w:val="1"/>
      <w:numFmt w:val="lowerLetter"/>
      <w:lvlText w:val="%9)"/>
      <w:lvlJc w:val="right"/>
      <w:pPr>
        <w:ind w:left="4086" w:hanging="454"/>
      </w:pPr>
      <w:rPr>
        <w:rFonts w:hint="default"/>
        <w:color w:val="0000DC"/>
      </w:rPr>
    </w:lvl>
  </w:abstractNum>
  <w:num w:numId="1">
    <w:abstractNumId w:val="1"/>
  </w:num>
  <w:num w:numId="2">
    <w:abstractNumId w:val="20"/>
  </w:num>
  <w:num w:numId="3">
    <w:abstractNumId w:val="9"/>
  </w:num>
  <w:num w:numId="4">
    <w:abstractNumId w:val="7"/>
  </w:num>
  <w:num w:numId="5">
    <w:abstractNumId w:val="2"/>
  </w:num>
  <w:num w:numId="6">
    <w:abstractNumId w:val="6"/>
  </w:num>
  <w:num w:numId="7">
    <w:abstractNumId w:val="11"/>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
  </w:num>
  <w:num w:numId="19">
    <w:abstractNumId w:val="14"/>
  </w:num>
  <w:num w:numId="20">
    <w:abstractNumId w:val="16"/>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E76"/>
    <w:rsid w:val="000005DA"/>
    <w:rsid w:val="000007A2"/>
    <w:rsid w:val="00000B42"/>
    <w:rsid w:val="0000100E"/>
    <w:rsid w:val="00002593"/>
    <w:rsid w:val="00003054"/>
    <w:rsid w:val="000031F2"/>
    <w:rsid w:val="00004727"/>
    <w:rsid w:val="000070ED"/>
    <w:rsid w:val="00012633"/>
    <w:rsid w:val="000146E1"/>
    <w:rsid w:val="00014BAE"/>
    <w:rsid w:val="00015D6E"/>
    <w:rsid w:val="000202B8"/>
    <w:rsid w:val="0002399E"/>
    <w:rsid w:val="0002586C"/>
    <w:rsid w:val="00027913"/>
    <w:rsid w:val="0003101C"/>
    <w:rsid w:val="00037FE8"/>
    <w:rsid w:val="0004541F"/>
    <w:rsid w:val="00047225"/>
    <w:rsid w:val="000474CC"/>
    <w:rsid w:val="000541B4"/>
    <w:rsid w:val="00067CB8"/>
    <w:rsid w:val="000702E3"/>
    <w:rsid w:val="00070AF0"/>
    <w:rsid w:val="00071C01"/>
    <w:rsid w:val="000732D7"/>
    <w:rsid w:val="00075AB8"/>
    <w:rsid w:val="00075F26"/>
    <w:rsid w:val="00077223"/>
    <w:rsid w:val="0008150F"/>
    <w:rsid w:val="00082809"/>
    <w:rsid w:val="00086F58"/>
    <w:rsid w:val="000902D6"/>
    <w:rsid w:val="0009259F"/>
    <w:rsid w:val="00093BED"/>
    <w:rsid w:val="000942A9"/>
    <w:rsid w:val="00094935"/>
    <w:rsid w:val="00094C0F"/>
    <w:rsid w:val="000969CF"/>
    <w:rsid w:val="000A2688"/>
    <w:rsid w:val="000A7217"/>
    <w:rsid w:val="000A7823"/>
    <w:rsid w:val="000B0A0F"/>
    <w:rsid w:val="000B0B9F"/>
    <w:rsid w:val="000B29E7"/>
    <w:rsid w:val="000B2EF5"/>
    <w:rsid w:val="000B5497"/>
    <w:rsid w:val="000B7D69"/>
    <w:rsid w:val="000B7E9B"/>
    <w:rsid w:val="000C1F40"/>
    <w:rsid w:val="000C2187"/>
    <w:rsid w:val="000C5C5B"/>
    <w:rsid w:val="000D101F"/>
    <w:rsid w:val="000D279A"/>
    <w:rsid w:val="000D39A1"/>
    <w:rsid w:val="000D5C49"/>
    <w:rsid w:val="000D7240"/>
    <w:rsid w:val="000D7E9D"/>
    <w:rsid w:val="000E211E"/>
    <w:rsid w:val="000E26A4"/>
    <w:rsid w:val="000E2A7C"/>
    <w:rsid w:val="000E4CA4"/>
    <w:rsid w:val="000E6CFF"/>
    <w:rsid w:val="000E6FFE"/>
    <w:rsid w:val="000E7D20"/>
    <w:rsid w:val="000F374E"/>
    <w:rsid w:val="000F444A"/>
    <w:rsid w:val="000F4B24"/>
    <w:rsid w:val="000F5B73"/>
    <w:rsid w:val="000F618B"/>
    <w:rsid w:val="000F7D1D"/>
    <w:rsid w:val="00101CE0"/>
    <w:rsid w:val="0010421B"/>
    <w:rsid w:val="00104229"/>
    <w:rsid w:val="001156E2"/>
    <w:rsid w:val="00115D56"/>
    <w:rsid w:val="00115FE1"/>
    <w:rsid w:val="001166EB"/>
    <w:rsid w:val="001168B9"/>
    <w:rsid w:val="00116EBA"/>
    <w:rsid w:val="001177AA"/>
    <w:rsid w:val="00121AE6"/>
    <w:rsid w:val="00123ADD"/>
    <w:rsid w:val="00124EC7"/>
    <w:rsid w:val="001251A3"/>
    <w:rsid w:val="00130058"/>
    <w:rsid w:val="001361DD"/>
    <w:rsid w:val="00136747"/>
    <w:rsid w:val="0013777A"/>
    <w:rsid w:val="00137FC0"/>
    <w:rsid w:val="00140505"/>
    <w:rsid w:val="00140908"/>
    <w:rsid w:val="00140DE5"/>
    <w:rsid w:val="001413D0"/>
    <w:rsid w:val="00142447"/>
    <w:rsid w:val="00142797"/>
    <w:rsid w:val="0014328A"/>
    <w:rsid w:val="0015157A"/>
    <w:rsid w:val="00151D4B"/>
    <w:rsid w:val="001538B3"/>
    <w:rsid w:val="00153D59"/>
    <w:rsid w:val="00155A31"/>
    <w:rsid w:val="00156BE5"/>
    <w:rsid w:val="001579B6"/>
    <w:rsid w:val="00161C22"/>
    <w:rsid w:val="0016251E"/>
    <w:rsid w:val="00162523"/>
    <w:rsid w:val="00163DC8"/>
    <w:rsid w:val="00164584"/>
    <w:rsid w:val="00165CAF"/>
    <w:rsid w:val="00171997"/>
    <w:rsid w:val="001757C2"/>
    <w:rsid w:val="00180AB7"/>
    <w:rsid w:val="001814C6"/>
    <w:rsid w:val="00181FF8"/>
    <w:rsid w:val="0018257C"/>
    <w:rsid w:val="0018385C"/>
    <w:rsid w:val="001842D8"/>
    <w:rsid w:val="001902BE"/>
    <w:rsid w:val="001934F3"/>
    <w:rsid w:val="001957F9"/>
    <w:rsid w:val="00195A4A"/>
    <w:rsid w:val="00197D3B"/>
    <w:rsid w:val="001A1D63"/>
    <w:rsid w:val="001A3FA1"/>
    <w:rsid w:val="001A58B1"/>
    <w:rsid w:val="001A5EDB"/>
    <w:rsid w:val="001A617A"/>
    <w:rsid w:val="001A7007"/>
    <w:rsid w:val="001B0D21"/>
    <w:rsid w:val="001B23DC"/>
    <w:rsid w:val="001B28E1"/>
    <w:rsid w:val="001B36DF"/>
    <w:rsid w:val="001B3E6F"/>
    <w:rsid w:val="001B3F5A"/>
    <w:rsid w:val="001B648A"/>
    <w:rsid w:val="001B6C4B"/>
    <w:rsid w:val="001C02A8"/>
    <w:rsid w:val="001C592D"/>
    <w:rsid w:val="001C59BA"/>
    <w:rsid w:val="001C5EB9"/>
    <w:rsid w:val="001C6D49"/>
    <w:rsid w:val="001C71D1"/>
    <w:rsid w:val="001D25FF"/>
    <w:rsid w:val="001D35A7"/>
    <w:rsid w:val="001D37EA"/>
    <w:rsid w:val="001D3AA3"/>
    <w:rsid w:val="001D4337"/>
    <w:rsid w:val="001D6B07"/>
    <w:rsid w:val="001D6B4A"/>
    <w:rsid w:val="001D7C1D"/>
    <w:rsid w:val="001E03A7"/>
    <w:rsid w:val="001E34CA"/>
    <w:rsid w:val="001E3AE1"/>
    <w:rsid w:val="001E40BA"/>
    <w:rsid w:val="001E58E7"/>
    <w:rsid w:val="001E5E79"/>
    <w:rsid w:val="001E78F8"/>
    <w:rsid w:val="001F0858"/>
    <w:rsid w:val="001F0C33"/>
    <w:rsid w:val="001F1958"/>
    <w:rsid w:val="001F257B"/>
    <w:rsid w:val="001F2E76"/>
    <w:rsid w:val="001F439E"/>
    <w:rsid w:val="001F5E64"/>
    <w:rsid w:val="002007EC"/>
    <w:rsid w:val="00202FFD"/>
    <w:rsid w:val="00203362"/>
    <w:rsid w:val="00204B09"/>
    <w:rsid w:val="00212651"/>
    <w:rsid w:val="0021324C"/>
    <w:rsid w:val="00216825"/>
    <w:rsid w:val="00222761"/>
    <w:rsid w:val="00223FCC"/>
    <w:rsid w:val="00224CCD"/>
    <w:rsid w:val="00230350"/>
    <w:rsid w:val="002328B0"/>
    <w:rsid w:val="002338DC"/>
    <w:rsid w:val="00234B1A"/>
    <w:rsid w:val="00235960"/>
    <w:rsid w:val="002360CB"/>
    <w:rsid w:val="00236B12"/>
    <w:rsid w:val="0023704F"/>
    <w:rsid w:val="0024045F"/>
    <w:rsid w:val="00240C7D"/>
    <w:rsid w:val="00241A93"/>
    <w:rsid w:val="00241F30"/>
    <w:rsid w:val="002436A0"/>
    <w:rsid w:val="00243C41"/>
    <w:rsid w:val="00244CAB"/>
    <w:rsid w:val="00244D68"/>
    <w:rsid w:val="00246546"/>
    <w:rsid w:val="00247057"/>
    <w:rsid w:val="00250BA7"/>
    <w:rsid w:val="00253878"/>
    <w:rsid w:val="00253E7B"/>
    <w:rsid w:val="0025475C"/>
    <w:rsid w:val="00257149"/>
    <w:rsid w:val="002577AE"/>
    <w:rsid w:val="00260601"/>
    <w:rsid w:val="002607BC"/>
    <w:rsid w:val="0026167E"/>
    <w:rsid w:val="0026439A"/>
    <w:rsid w:val="0026476C"/>
    <w:rsid w:val="00264919"/>
    <w:rsid w:val="002663FF"/>
    <w:rsid w:val="00272DF8"/>
    <w:rsid w:val="00274883"/>
    <w:rsid w:val="002749AA"/>
    <w:rsid w:val="002817C0"/>
    <w:rsid w:val="002839EE"/>
    <w:rsid w:val="00286FDA"/>
    <w:rsid w:val="002908B0"/>
    <w:rsid w:val="00290E77"/>
    <w:rsid w:val="002914D0"/>
    <w:rsid w:val="00291A68"/>
    <w:rsid w:val="00291D31"/>
    <w:rsid w:val="00292C6D"/>
    <w:rsid w:val="00295664"/>
    <w:rsid w:val="0029576F"/>
    <w:rsid w:val="00295EFE"/>
    <w:rsid w:val="00296083"/>
    <w:rsid w:val="00296634"/>
    <w:rsid w:val="002A0F1D"/>
    <w:rsid w:val="002A227A"/>
    <w:rsid w:val="002A3716"/>
    <w:rsid w:val="002A49B1"/>
    <w:rsid w:val="002B0D54"/>
    <w:rsid w:val="002B1C84"/>
    <w:rsid w:val="002B3338"/>
    <w:rsid w:val="002B4778"/>
    <w:rsid w:val="002B4E42"/>
    <w:rsid w:val="002B60D5"/>
    <w:rsid w:val="002C00E5"/>
    <w:rsid w:val="002C0A80"/>
    <w:rsid w:val="002C1902"/>
    <w:rsid w:val="002C341C"/>
    <w:rsid w:val="002C437A"/>
    <w:rsid w:val="002C4383"/>
    <w:rsid w:val="002C4E4F"/>
    <w:rsid w:val="002C7678"/>
    <w:rsid w:val="002D1E9A"/>
    <w:rsid w:val="002D2100"/>
    <w:rsid w:val="002D2D21"/>
    <w:rsid w:val="002D3D73"/>
    <w:rsid w:val="002D64C7"/>
    <w:rsid w:val="002E1F08"/>
    <w:rsid w:val="002E53C4"/>
    <w:rsid w:val="002E556D"/>
    <w:rsid w:val="002E5DC4"/>
    <w:rsid w:val="002E745F"/>
    <w:rsid w:val="002F108C"/>
    <w:rsid w:val="002F12E2"/>
    <w:rsid w:val="002F17DC"/>
    <w:rsid w:val="002F3C78"/>
    <w:rsid w:val="002F49E0"/>
    <w:rsid w:val="002F62C7"/>
    <w:rsid w:val="002F7833"/>
    <w:rsid w:val="002F7DD8"/>
    <w:rsid w:val="0030399E"/>
    <w:rsid w:val="003039D5"/>
    <w:rsid w:val="00304332"/>
    <w:rsid w:val="0030595D"/>
    <w:rsid w:val="00305E48"/>
    <w:rsid w:val="00306A82"/>
    <w:rsid w:val="00307051"/>
    <w:rsid w:val="003105C0"/>
    <w:rsid w:val="00314D3A"/>
    <w:rsid w:val="003151F5"/>
    <w:rsid w:val="003153A0"/>
    <w:rsid w:val="003233DA"/>
    <w:rsid w:val="00324FA3"/>
    <w:rsid w:val="003259AD"/>
    <w:rsid w:val="00326971"/>
    <w:rsid w:val="00326B17"/>
    <w:rsid w:val="0033022A"/>
    <w:rsid w:val="00330415"/>
    <w:rsid w:val="003306F5"/>
    <w:rsid w:val="00330814"/>
    <w:rsid w:val="00331CE8"/>
    <w:rsid w:val="0033201F"/>
    <w:rsid w:val="0033256B"/>
    <w:rsid w:val="00334171"/>
    <w:rsid w:val="00335A01"/>
    <w:rsid w:val="00336931"/>
    <w:rsid w:val="0034151A"/>
    <w:rsid w:val="00341BEE"/>
    <w:rsid w:val="00344E5C"/>
    <w:rsid w:val="00345837"/>
    <w:rsid w:val="00351233"/>
    <w:rsid w:val="0035211A"/>
    <w:rsid w:val="0035272D"/>
    <w:rsid w:val="00352824"/>
    <w:rsid w:val="00353E99"/>
    <w:rsid w:val="00353EA6"/>
    <w:rsid w:val="00355758"/>
    <w:rsid w:val="00356EF1"/>
    <w:rsid w:val="00366693"/>
    <w:rsid w:val="0036679C"/>
    <w:rsid w:val="00367557"/>
    <w:rsid w:val="003677AA"/>
    <w:rsid w:val="00367DCF"/>
    <w:rsid w:val="0037270E"/>
    <w:rsid w:val="00375356"/>
    <w:rsid w:val="0038168D"/>
    <w:rsid w:val="00381CFE"/>
    <w:rsid w:val="00383054"/>
    <w:rsid w:val="0038379F"/>
    <w:rsid w:val="0038453F"/>
    <w:rsid w:val="00386783"/>
    <w:rsid w:val="0038699A"/>
    <w:rsid w:val="003905A9"/>
    <w:rsid w:val="00393BC7"/>
    <w:rsid w:val="00393BF0"/>
    <w:rsid w:val="0039689F"/>
    <w:rsid w:val="003A06E4"/>
    <w:rsid w:val="003A0B83"/>
    <w:rsid w:val="003A296D"/>
    <w:rsid w:val="003A2BE3"/>
    <w:rsid w:val="003A462D"/>
    <w:rsid w:val="003A5704"/>
    <w:rsid w:val="003B0E90"/>
    <w:rsid w:val="003B1DCD"/>
    <w:rsid w:val="003C03D6"/>
    <w:rsid w:val="003C5058"/>
    <w:rsid w:val="003C5347"/>
    <w:rsid w:val="003C68C1"/>
    <w:rsid w:val="003C6D3D"/>
    <w:rsid w:val="003D0026"/>
    <w:rsid w:val="003D2DC2"/>
    <w:rsid w:val="003D6BD0"/>
    <w:rsid w:val="003D727E"/>
    <w:rsid w:val="003D741B"/>
    <w:rsid w:val="003D7624"/>
    <w:rsid w:val="003D7DC5"/>
    <w:rsid w:val="003E153A"/>
    <w:rsid w:val="003E2030"/>
    <w:rsid w:val="003E3DE4"/>
    <w:rsid w:val="003E5CC4"/>
    <w:rsid w:val="003E68BF"/>
    <w:rsid w:val="003F0F6D"/>
    <w:rsid w:val="003F21B6"/>
    <w:rsid w:val="003F2816"/>
    <w:rsid w:val="003F477B"/>
    <w:rsid w:val="003F75D6"/>
    <w:rsid w:val="004008BD"/>
    <w:rsid w:val="004013FE"/>
    <w:rsid w:val="004018E9"/>
    <w:rsid w:val="004030D2"/>
    <w:rsid w:val="00403808"/>
    <w:rsid w:val="00404043"/>
    <w:rsid w:val="00404804"/>
    <w:rsid w:val="00412F07"/>
    <w:rsid w:val="00414F2D"/>
    <w:rsid w:val="00415741"/>
    <w:rsid w:val="00416DBB"/>
    <w:rsid w:val="004222AD"/>
    <w:rsid w:val="00423B3B"/>
    <w:rsid w:val="00424873"/>
    <w:rsid w:val="004260E9"/>
    <w:rsid w:val="00427364"/>
    <w:rsid w:val="00427BCF"/>
    <w:rsid w:val="00427C0F"/>
    <w:rsid w:val="00431175"/>
    <w:rsid w:val="004312EB"/>
    <w:rsid w:val="00431F47"/>
    <w:rsid w:val="00432C0E"/>
    <w:rsid w:val="00433AB2"/>
    <w:rsid w:val="0043449A"/>
    <w:rsid w:val="0044209C"/>
    <w:rsid w:val="004421EF"/>
    <w:rsid w:val="004427CB"/>
    <w:rsid w:val="00443443"/>
    <w:rsid w:val="00444A3F"/>
    <w:rsid w:val="00445841"/>
    <w:rsid w:val="00446823"/>
    <w:rsid w:val="004550F3"/>
    <w:rsid w:val="004555E8"/>
    <w:rsid w:val="00455F1A"/>
    <w:rsid w:val="004601C7"/>
    <w:rsid w:val="00462058"/>
    <w:rsid w:val="00462C08"/>
    <w:rsid w:val="0046456B"/>
    <w:rsid w:val="004654E2"/>
    <w:rsid w:val="00467B41"/>
    <w:rsid w:val="004701DF"/>
    <w:rsid w:val="0047029C"/>
    <w:rsid w:val="00470551"/>
    <w:rsid w:val="004719A1"/>
    <w:rsid w:val="00473E08"/>
    <w:rsid w:val="00477948"/>
    <w:rsid w:val="00482EF3"/>
    <w:rsid w:val="004834CF"/>
    <w:rsid w:val="00483E38"/>
    <w:rsid w:val="004847B5"/>
    <w:rsid w:val="00484F31"/>
    <w:rsid w:val="004869B8"/>
    <w:rsid w:val="00491131"/>
    <w:rsid w:val="00492CF1"/>
    <w:rsid w:val="00493217"/>
    <w:rsid w:val="00493CFD"/>
    <w:rsid w:val="00495B36"/>
    <w:rsid w:val="00495EE2"/>
    <w:rsid w:val="00496829"/>
    <w:rsid w:val="004A07A0"/>
    <w:rsid w:val="004A080F"/>
    <w:rsid w:val="004A16C3"/>
    <w:rsid w:val="004A3E18"/>
    <w:rsid w:val="004A50D6"/>
    <w:rsid w:val="004A60A7"/>
    <w:rsid w:val="004B1782"/>
    <w:rsid w:val="004B3B68"/>
    <w:rsid w:val="004B49D2"/>
    <w:rsid w:val="004B6F72"/>
    <w:rsid w:val="004B7370"/>
    <w:rsid w:val="004B7C7A"/>
    <w:rsid w:val="004C40FB"/>
    <w:rsid w:val="004C48DB"/>
    <w:rsid w:val="004C5D5D"/>
    <w:rsid w:val="004C7A85"/>
    <w:rsid w:val="004D325B"/>
    <w:rsid w:val="004D4402"/>
    <w:rsid w:val="004D4EA0"/>
    <w:rsid w:val="004D7F72"/>
    <w:rsid w:val="004E01BC"/>
    <w:rsid w:val="004E067B"/>
    <w:rsid w:val="004E1271"/>
    <w:rsid w:val="004E1D6E"/>
    <w:rsid w:val="004E25CE"/>
    <w:rsid w:val="004E6566"/>
    <w:rsid w:val="004F2C32"/>
    <w:rsid w:val="004F42E0"/>
    <w:rsid w:val="004F43F9"/>
    <w:rsid w:val="004F4DF2"/>
    <w:rsid w:val="004F62AE"/>
    <w:rsid w:val="004F6488"/>
    <w:rsid w:val="004F6E02"/>
    <w:rsid w:val="00500107"/>
    <w:rsid w:val="00500207"/>
    <w:rsid w:val="00500835"/>
    <w:rsid w:val="00502E23"/>
    <w:rsid w:val="00506EA1"/>
    <w:rsid w:val="005127AC"/>
    <w:rsid w:val="00513675"/>
    <w:rsid w:val="0051695E"/>
    <w:rsid w:val="0052111D"/>
    <w:rsid w:val="00526654"/>
    <w:rsid w:val="00526986"/>
    <w:rsid w:val="005269D4"/>
    <w:rsid w:val="00527261"/>
    <w:rsid w:val="00533060"/>
    <w:rsid w:val="005331F7"/>
    <w:rsid w:val="005354F6"/>
    <w:rsid w:val="005371EE"/>
    <w:rsid w:val="0053740B"/>
    <w:rsid w:val="00541224"/>
    <w:rsid w:val="00541D9D"/>
    <w:rsid w:val="00546062"/>
    <w:rsid w:val="0054676A"/>
    <w:rsid w:val="00546B15"/>
    <w:rsid w:val="00551DE0"/>
    <w:rsid w:val="00553B3C"/>
    <w:rsid w:val="00557754"/>
    <w:rsid w:val="005600FD"/>
    <w:rsid w:val="00561A23"/>
    <w:rsid w:val="00564B67"/>
    <w:rsid w:val="005671E9"/>
    <w:rsid w:val="00567357"/>
    <w:rsid w:val="00567B60"/>
    <w:rsid w:val="0057109C"/>
    <w:rsid w:val="00572DD7"/>
    <w:rsid w:val="00576FA5"/>
    <w:rsid w:val="00577629"/>
    <w:rsid w:val="005813BE"/>
    <w:rsid w:val="00584423"/>
    <w:rsid w:val="00584C70"/>
    <w:rsid w:val="005855D8"/>
    <w:rsid w:val="0058652F"/>
    <w:rsid w:val="0058753E"/>
    <w:rsid w:val="00590266"/>
    <w:rsid w:val="00590427"/>
    <w:rsid w:val="00595733"/>
    <w:rsid w:val="00595DAA"/>
    <w:rsid w:val="0059781B"/>
    <w:rsid w:val="005A0801"/>
    <w:rsid w:val="005A0989"/>
    <w:rsid w:val="005A30D6"/>
    <w:rsid w:val="005A35FE"/>
    <w:rsid w:val="005A6414"/>
    <w:rsid w:val="005A78B5"/>
    <w:rsid w:val="005B0A54"/>
    <w:rsid w:val="005B1F22"/>
    <w:rsid w:val="005B2D87"/>
    <w:rsid w:val="005B4EFE"/>
    <w:rsid w:val="005B5A01"/>
    <w:rsid w:val="005C0145"/>
    <w:rsid w:val="005C260E"/>
    <w:rsid w:val="005C2D06"/>
    <w:rsid w:val="005C3B2C"/>
    <w:rsid w:val="005C4EAD"/>
    <w:rsid w:val="005C6D4F"/>
    <w:rsid w:val="005D78C3"/>
    <w:rsid w:val="005E21F6"/>
    <w:rsid w:val="005E5271"/>
    <w:rsid w:val="005E59E5"/>
    <w:rsid w:val="005E5F3C"/>
    <w:rsid w:val="005F13E5"/>
    <w:rsid w:val="005F1508"/>
    <w:rsid w:val="005F2147"/>
    <w:rsid w:val="005F2CF5"/>
    <w:rsid w:val="006010D4"/>
    <w:rsid w:val="00602226"/>
    <w:rsid w:val="006027CE"/>
    <w:rsid w:val="00602AE5"/>
    <w:rsid w:val="00604E22"/>
    <w:rsid w:val="0060535D"/>
    <w:rsid w:val="00606C75"/>
    <w:rsid w:val="0061000F"/>
    <w:rsid w:val="006116DC"/>
    <w:rsid w:val="006116E4"/>
    <w:rsid w:val="00611E19"/>
    <w:rsid w:val="006146F6"/>
    <w:rsid w:val="006154D0"/>
    <w:rsid w:val="00615B7E"/>
    <w:rsid w:val="00617376"/>
    <w:rsid w:val="00617C06"/>
    <w:rsid w:val="006224A4"/>
    <w:rsid w:val="00622D10"/>
    <w:rsid w:val="00625129"/>
    <w:rsid w:val="00625887"/>
    <w:rsid w:val="00626514"/>
    <w:rsid w:val="00630487"/>
    <w:rsid w:val="00630C2B"/>
    <w:rsid w:val="00630ECF"/>
    <w:rsid w:val="006310AF"/>
    <w:rsid w:val="006310E0"/>
    <w:rsid w:val="00631567"/>
    <w:rsid w:val="006325C3"/>
    <w:rsid w:val="00634DA9"/>
    <w:rsid w:val="00635129"/>
    <w:rsid w:val="006372C2"/>
    <w:rsid w:val="006376AB"/>
    <w:rsid w:val="00640BDA"/>
    <w:rsid w:val="006414B4"/>
    <w:rsid w:val="006436C7"/>
    <w:rsid w:val="00643FB1"/>
    <w:rsid w:val="00646400"/>
    <w:rsid w:val="00646B11"/>
    <w:rsid w:val="00647FAB"/>
    <w:rsid w:val="00651609"/>
    <w:rsid w:val="00652992"/>
    <w:rsid w:val="00654474"/>
    <w:rsid w:val="00655085"/>
    <w:rsid w:val="0065589B"/>
    <w:rsid w:val="00657FB0"/>
    <w:rsid w:val="006618D6"/>
    <w:rsid w:val="006634B6"/>
    <w:rsid w:val="00664C71"/>
    <w:rsid w:val="00665E42"/>
    <w:rsid w:val="006663D8"/>
    <w:rsid w:val="0067076B"/>
    <w:rsid w:val="00670F38"/>
    <w:rsid w:val="0067124C"/>
    <w:rsid w:val="00673A8B"/>
    <w:rsid w:val="006743DB"/>
    <w:rsid w:val="00683035"/>
    <w:rsid w:val="006837DD"/>
    <w:rsid w:val="00684FEF"/>
    <w:rsid w:val="00685057"/>
    <w:rsid w:val="00685D6B"/>
    <w:rsid w:val="0068621D"/>
    <w:rsid w:val="00686A7C"/>
    <w:rsid w:val="00694D3D"/>
    <w:rsid w:val="0069618F"/>
    <w:rsid w:val="00696A9E"/>
    <w:rsid w:val="006A056B"/>
    <w:rsid w:val="006A1DFE"/>
    <w:rsid w:val="006A243A"/>
    <w:rsid w:val="006A4290"/>
    <w:rsid w:val="006A49ED"/>
    <w:rsid w:val="006A4E42"/>
    <w:rsid w:val="006A517A"/>
    <w:rsid w:val="006A6944"/>
    <w:rsid w:val="006B04BE"/>
    <w:rsid w:val="006B11AA"/>
    <w:rsid w:val="006B125D"/>
    <w:rsid w:val="006B1ECE"/>
    <w:rsid w:val="006B25AE"/>
    <w:rsid w:val="006B4111"/>
    <w:rsid w:val="006B79A5"/>
    <w:rsid w:val="006C2291"/>
    <w:rsid w:val="006C2E35"/>
    <w:rsid w:val="006C2EA2"/>
    <w:rsid w:val="006C3D6B"/>
    <w:rsid w:val="006D0989"/>
    <w:rsid w:val="006D13EA"/>
    <w:rsid w:val="006D2528"/>
    <w:rsid w:val="006D4300"/>
    <w:rsid w:val="006D5BA4"/>
    <w:rsid w:val="006E06E3"/>
    <w:rsid w:val="006E2D94"/>
    <w:rsid w:val="006E5058"/>
    <w:rsid w:val="006F00BF"/>
    <w:rsid w:val="006F1B20"/>
    <w:rsid w:val="006F1D59"/>
    <w:rsid w:val="006F210A"/>
    <w:rsid w:val="006F3CD5"/>
    <w:rsid w:val="006F3F5B"/>
    <w:rsid w:val="006F5638"/>
    <w:rsid w:val="006F617C"/>
    <w:rsid w:val="006F76BF"/>
    <w:rsid w:val="00701042"/>
    <w:rsid w:val="00701B60"/>
    <w:rsid w:val="00701D93"/>
    <w:rsid w:val="00703C97"/>
    <w:rsid w:val="00705BA1"/>
    <w:rsid w:val="00706770"/>
    <w:rsid w:val="0070767B"/>
    <w:rsid w:val="007141B5"/>
    <w:rsid w:val="007148BE"/>
    <w:rsid w:val="00714D35"/>
    <w:rsid w:val="00720712"/>
    <w:rsid w:val="00720831"/>
    <w:rsid w:val="0072538C"/>
    <w:rsid w:val="0072704B"/>
    <w:rsid w:val="00730F3F"/>
    <w:rsid w:val="007312E2"/>
    <w:rsid w:val="007323AD"/>
    <w:rsid w:val="00741EC3"/>
    <w:rsid w:val="007430AA"/>
    <w:rsid w:val="00743805"/>
    <w:rsid w:val="00750198"/>
    <w:rsid w:val="0075095E"/>
    <w:rsid w:val="0075181D"/>
    <w:rsid w:val="00754AD2"/>
    <w:rsid w:val="00755B2B"/>
    <w:rsid w:val="007614B0"/>
    <w:rsid w:val="00761A19"/>
    <w:rsid w:val="00761BDD"/>
    <w:rsid w:val="00764236"/>
    <w:rsid w:val="0076426E"/>
    <w:rsid w:val="00764F3A"/>
    <w:rsid w:val="00771583"/>
    <w:rsid w:val="00774394"/>
    <w:rsid w:val="00775FD8"/>
    <w:rsid w:val="007814D5"/>
    <w:rsid w:val="00781A00"/>
    <w:rsid w:val="00782F71"/>
    <w:rsid w:val="00784BBD"/>
    <w:rsid w:val="007856B7"/>
    <w:rsid w:val="007971F1"/>
    <w:rsid w:val="00797792"/>
    <w:rsid w:val="007A0031"/>
    <w:rsid w:val="007A6648"/>
    <w:rsid w:val="007A7F42"/>
    <w:rsid w:val="007B0873"/>
    <w:rsid w:val="007B1AD0"/>
    <w:rsid w:val="007B1CA0"/>
    <w:rsid w:val="007B2899"/>
    <w:rsid w:val="007B3082"/>
    <w:rsid w:val="007B31DD"/>
    <w:rsid w:val="007B4F0F"/>
    <w:rsid w:val="007B762F"/>
    <w:rsid w:val="007C0E3D"/>
    <w:rsid w:val="007C0EC6"/>
    <w:rsid w:val="007C2C9A"/>
    <w:rsid w:val="007C5F66"/>
    <w:rsid w:val="007D7271"/>
    <w:rsid w:val="007D735D"/>
    <w:rsid w:val="007D779A"/>
    <w:rsid w:val="007E0B6E"/>
    <w:rsid w:val="007E1DBF"/>
    <w:rsid w:val="007E4C43"/>
    <w:rsid w:val="007E5081"/>
    <w:rsid w:val="007F0958"/>
    <w:rsid w:val="007F1354"/>
    <w:rsid w:val="007F48D7"/>
    <w:rsid w:val="007F50AD"/>
    <w:rsid w:val="007F56D8"/>
    <w:rsid w:val="007F6F3A"/>
    <w:rsid w:val="00800A0A"/>
    <w:rsid w:val="00801EA4"/>
    <w:rsid w:val="008020A3"/>
    <w:rsid w:val="00804F79"/>
    <w:rsid w:val="00807339"/>
    <w:rsid w:val="00812064"/>
    <w:rsid w:val="00812A1D"/>
    <w:rsid w:val="00813778"/>
    <w:rsid w:val="00813899"/>
    <w:rsid w:val="0082305C"/>
    <w:rsid w:val="008252A9"/>
    <w:rsid w:val="008277D2"/>
    <w:rsid w:val="00827998"/>
    <w:rsid w:val="00832BA1"/>
    <w:rsid w:val="00835678"/>
    <w:rsid w:val="00837B61"/>
    <w:rsid w:val="00840667"/>
    <w:rsid w:val="00842655"/>
    <w:rsid w:val="008447F5"/>
    <w:rsid w:val="008451E3"/>
    <w:rsid w:val="00845873"/>
    <w:rsid w:val="008458B5"/>
    <w:rsid w:val="00845A32"/>
    <w:rsid w:val="00845B2A"/>
    <w:rsid w:val="00847BEC"/>
    <w:rsid w:val="0085094B"/>
    <w:rsid w:val="008517DC"/>
    <w:rsid w:val="00852443"/>
    <w:rsid w:val="008526C9"/>
    <w:rsid w:val="008530CB"/>
    <w:rsid w:val="00860770"/>
    <w:rsid w:val="00866233"/>
    <w:rsid w:val="008707B3"/>
    <w:rsid w:val="00871877"/>
    <w:rsid w:val="00871BBA"/>
    <w:rsid w:val="00872447"/>
    <w:rsid w:val="008731E7"/>
    <w:rsid w:val="00874861"/>
    <w:rsid w:val="00874D58"/>
    <w:rsid w:val="00875A4C"/>
    <w:rsid w:val="008779BF"/>
    <w:rsid w:val="00877DC1"/>
    <w:rsid w:val="00880A53"/>
    <w:rsid w:val="00881206"/>
    <w:rsid w:val="0088174C"/>
    <w:rsid w:val="00886F5C"/>
    <w:rsid w:val="0088759F"/>
    <w:rsid w:val="00887F90"/>
    <w:rsid w:val="00890386"/>
    <w:rsid w:val="00890E4F"/>
    <w:rsid w:val="00892EDB"/>
    <w:rsid w:val="00895081"/>
    <w:rsid w:val="008A3435"/>
    <w:rsid w:val="008A5E9E"/>
    <w:rsid w:val="008B08F5"/>
    <w:rsid w:val="008B105E"/>
    <w:rsid w:val="008B50D4"/>
    <w:rsid w:val="008C06F7"/>
    <w:rsid w:val="008C28ED"/>
    <w:rsid w:val="008C2C63"/>
    <w:rsid w:val="008C37E8"/>
    <w:rsid w:val="008D0589"/>
    <w:rsid w:val="008D65CD"/>
    <w:rsid w:val="008E1AD6"/>
    <w:rsid w:val="008E4F33"/>
    <w:rsid w:val="008E5136"/>
    <w:rsid w:val="008E6068"/>
    <w:rsid w:val="008E694F"/>
    <w:rsid w:val="008E7EF8"/>
    <w:rsid w:val="008E7FAF"/>
    <w:rsid w:val="008F1C96"/>
    <w:rsid w:val="008F1CBE"/>
    <w:rsid w:val="008F1D45"/>
    <w:rsid w:val="008F2513"/>
    <w:rsid w:val="008F3AF0"/>
    <w:rsid w:val="00903A67"/>
    <w:rsid w:val="009045B1"/>
    <w:rsid w:val="00904DC5"/>
    <w:rsid w:val="0091057D"/>
    <w:rsid w:val="00910AA7"/>
    <w:rsid w:val="009138D8"/>
    <w:rsid w:val="00913C74"/>
    <w:rsid w:val="009142D8"/>
    <w:rsid w:val="00914A08"/>
    <w:rsid w:val="009169A2"/>
    <w:rsid w:val="00916F8B"/>
    <w:rsid w:val="00917296"/>
    <w:rsid w:val="00917C98"/>
    <w:rsid w:val="00921214"/>
    <w:rsid w:val="00922521"/>
    <w:rsid w:val="00924D00"/>
    <w:rsid w:val="00926366"/>
    <w:rsid w:val="00930D7A"/>
    <w:rsid w:val="00935DFA"/>
    <w:rsid w:val="00941DD1"/>
    <w:rsid w:val="009439E5"/>
    <w:rsid w:val="0094626C"/>
    <w:rsid w:val="009473ED"/>
    <w:rsid w:val="0094751C"/>
    <w:rsid w:val="00947991"/>
    <w:rsid w:val="009501FA"/>
    <w:rsid w:val="009509A5"/>
    <w:rsid w:val="00950F3C"/>
    <w:rsid w:val="00952905"/>
    <w:rsid w:val="00953FE8"/>
    <w:rsid w:val="00956087"/>
    <w:rsid w:val="009569C1"/>
    <w:rsid w:val="009619EC"/>
    <w:rsid w:val="00962013"/>
    <w:rsid w:val="00962C87"/>
    <w:rsid w:val="00962F1E"/>
    <w:rsid w:val="00963490"/>
    <w:rsid w:val="009661FA"/>
    <w:rsid w:val="009674AD"/>
    <w:rsid w:val="0097145A"/>
    <w:rsid w:val="0097287A"/>
    <w:rsid w:val="00972A54"/>
    <w:rsid w:val="00973FF0"/>
    <w:rsid w:val="009745EE"/>
    <w:rsid w:val="00974D49"/>
    <w:rsid w:val="00975E8F"/>
    <w:rsid w:val="009778A0"/>
    <w:rsid w:val="00981373"/>
    <w:rsid w:val="00982F02"/>
    <w:rsid w:val="009851DB"/>
    <w:rsid w:val="00985338"/>
    <w:rsid w:val="009859DF"/>
    <w:rsid w:val="00985A6C"/>
    <w:rsid w:val="00990A91"/>
    <w:rsid w:val="00990CDE"/>
    <w:rsid w:val="009916B2"/>
    <w:rsid w:val="00991E2D"/>
    <w:rsid w:val="009943B2"/>
    <w:rsid w:val="009A3D65"/>
    <w:rsid w:val="009A681A"/>
    <w:rsid w:val="009B013B"/>
    <w:rsid w:val="009B0D09"/>
    <w:rsid w:val="009B0E2F"/>
    <w:rsid w:val="009B1660"/>
    <w:rsid w:val="009B20FD"/>
    <w:rsid w:val="009B2AA3"/>
    <w:rsid w:val="009B2E26"/>
    <w:rsid w:val="009B31AE"/>
    <w:rsid w:val="009B31B5"/>
    <w:rsid w:val="009B31E9"/>
    <w:rsid w:val="009B4E7A"/>
    <w:rsid w:val="009B5574"/>
    <w:rsid w:val="009C05ED"/>
    <w:rsid w:val="009C08E5"/>
    <w:rsid w:val="009C0F32"/>
    <w:rsid w:val="009C34D1"/>
    <w:rsid w:val="009C35F3"/>
    <w:rsid w:val="009C69C5"/>
    <w:rsid w:val="009C7BAB"/>
    <w:rsid w:val="009D1B40"/>
    <w:rsid w:val="009D3C4D"/>
    <w:rsid w:val="009D5307"/>
    <w:rsid w:val="009D6DE7"/>
    <w:rsid w:val="009D7241"/>
    <w:rsid w:val="009E0A62"/>
    <w:rsid w:val="009E1910"/>
    <w:rsid w:val="009E5521"/>
    <w:rsid w:val="009E6F32"/>
    <w:rsid w:val="009E7595"/>
    <w:rsid w:val="009F00E7"/>
    <w:rsid w:val="009F2925"/>
    <w:rsid w:val="009F3167"/>
    <w:rsid w:val="009F3AE9"/>
    <w:rsid w:val="009F3BAF"/>
    <w:rsid w:val="009F5902"/>
    <w:rsid w:val="009F6AE1"/>
    <w:rsid w:val="00A00362"/>
    <w:rsid w:val="00A00A13"/>
    <w:rsid w:val="00A02418"/>
    <w:rsid w:val="00A03E7C"/>
    <w:rsid w:val="00A07F15"/>
    <w:rsid w:val="00A10823"/>
    <w:rsid w:val="00A12CEC"/>
    <w:rsid w:val="00A1396A"/>
    <w:rsid w:val="00A1459E"/>
    <w:rsid w:val="00A2238E"/>
    <w:rsid w:val="00A2290E"/>
    <w:rsid w:val="00A2470D"/>
    <w:rsid w:val="00A25D88"/>
    <w:rsid w:val="00A261E1"/>
    <w:rsid w:val="00A3202A"/>
    <w:rsid w:val="00A321B3"/>
    <w:rsid w:val="00A32A67"/>
    <w:rsid w:val="00A338B5"/>
    <w:rsid w:val="00A34141"/>
    <w:rsid w:val="00A36AEF"/>
    <w:rsid w:val="00A40FDD"/>
    <w:rsid w:val="00A42BDC"/>
    <w:rsid w:val="00A500A7"/>
    <w:rsid w:val="00A510E1"/>
    <w:rsid w:val="00A52261"/>
    <w:rsid w:val="00A5241B"/>
    <w:rsid w:val="00A52A1E"/>
    <w:rsid w:val="00A52B67"/>
    <w:rsid w:val="00A5413A"/>
    <w:rsid w:val="00A54C66"/>
    <w:rsid w:val="00A54D6C"/>
    <w:rsid w:val="00A56D90"/>
    <w:rsid w:val="00A6039F"/>
    <w:rsid w:val="00A6255A"/>
    <w:rsid w:val="00A633D9"/>
    <w:rsid w:val="00A639B1"/>
    <w:rsid w:val="00A67579"/>
    <w:rsid w:val="00A70A86"/>
    <w:rsid w:val="00A7148F"/>
    <w:rsid w:val="00A728A1"/>
    <w:rsid w:val="00A72E6C"/>
    <w:rsid w:val="00A73CA4"/>
    <w:rsid w:val="00A74CE7"/>
    <w:rsid w:val="00A7601B"/>
    <w:rsid w:val="00A7602D"/>
    <w:rsid w:val="00A76AEC"/>
    <w:rsid w:val="00A8022C"/>
    <w:rsid w:val="00A830CA"/>
    <w:rsid w:val="00A8345B"/>
    <w:rsid w:val="00A83CB0"/>
    <w:rsid w:val="00A862F2"/>
    <w:rsid w:val="00A864F2"/>
    <w:rsid w:val="00A8779A"/>
    <w:rsid w:val="00A902C1"/>
    <w:rsid w:val="00A91D13"/>
    <w:rsid w:val="00A92BAE"/>
    <w:rsid w:val="00A941E3"/>
    <w:rsid w:val="00A95C2B"/>
    <w:rsid w:val="00AA0DEE"/>
    <w:rsid w:val="00AA27A4"/>
    <w:rsid w:val="00AA28F3"/>
    <w:rsid w:val="00AA5D7F"/>
    <w:rsid w:val="00AA628C"/>
    <w:rsid w:val="00AB042A"/>
    <w:rsid w:val="00AB0F05"/>
    <w:rsid w:val="00AB330B"/>
    <w:rsid w:val="00AB6966"/>
    <w:rsid w:val="00AB7CE2"/>
    <w:rsid w:val="00AC2CDD"/>
    <w:rsid w:val="00AC5DF7"/>
    <w:rsid w:val="00AC5F35"/>
    <w:rsid w:val="00AD391F"/>
    <w:rsid w:val="00AD7E7B"/>
    <w:rsid w:val="00AE0552"/>
    <w:rsid w:val="00AE50B9"/>
    <w:rsid w:val="00AE58AA"/>
    <w:rsid w:val="00AE7D4F"/>
    <w:rsid w:val="00AF01D5"/>
    <w:rsid w:val="00AF4844"/>
    <w:rsid w:val="00AF6F82"/>
    <w:rsid w:val="00B00586"/>
    <w:rsid w:val="00B013E4"/>
    <w:rsid w:val="00B03906"/>
    <w:rsid w:val="00B0599E"/>
    <w:rsid w:val="00B123A9"/>
    <w:rsid w:val="00B12D5C"/>
    <w:rsid w:val="00B13722"/>
    <w:rsid w:val="00B13D68"/>
    <w:rsid w:val="00B143F4"/>
    <w:rsid w:val="00B1472A"/>
    <w:rsid w:val="00B14D01"/>
    <w:rsid w:val="00B14EF3"/>
    <w:rsid w:val="00B173E2"/>
    <w:rsid w:val="00B17A50"/>
    <w:rsid w:val="00B2096D"/>
    <w:rsid w:val="00B2203F"/>
    <w:rsid w:val="00B2460E"/>
    <w:rsid w:val="00B24D2F"/>
    <w:rsid w:val="00B30B10"/>
    <w:rsid w:val="00B3270B"/>
    <w:rsid w:val="00B32740"/>
    <w:rsid w:val="00B32EC0"/>
    <w:rsid w:val="00B35165"/>
    <w:rsid w:val="00B37AA8"/>
    <w:rsid w:val="00B44B8E"/>
    <w:rsid w:val="00B46286"/>
    <w:rsid w:val="00B50BED"/>
    <w:rsid w:val="00B51182"/>
    <w:rsid w:val="00B525F1"/>
    <w:rsid w:val="00B55D50"/>
    <w:rsid w:val="00B5606D"/>
    <w:rsid w:val="00B561F4"/>
    <w:rsid w:val="00B5697A"/>
    <w:rsid w:val="00B572DC"/>
    <w:rsid w:val="00B60DFA"/>
    <w:rsid w:val="00B617F7"/>
    <w:rsid w:val="00B62ED1"/>
    <w:rsid w:val="00B637E7"/>
    <w:rsid w:val="00B6611D"/>
    <w:rsid w:val="00B73C50"/>
    <w:rsid w:val="00B74569"/>
    <w:rsid w:val="00B74EE1"/>
    <w:rsid w:val="00B755DD"/>
    <w:rsid w:val="00B818E7"/>
    <w:rsid w:val="00B8486C"/>
    <w:rsid w:val="00B84D16"/>
    <w:rsid w:val="00B863BE"/>
    <w:rsid w:val="00B865D2"/>
    <w:rsid w:val="00B92669"/>
    <w:rsid w:val="00B93EF5"/>
    <w:rsid w:val="00BA1DEF"/>
    <w:rsid w:val="00BA2419"/>
    <w:rsid w:val="00BA2520"/>
    <w:rsid w:val="00BA27B9"/>
    <w:rsid w:val="00BA43A2"/>
    <w:rsid w:val="00BA5C21"/>
    <w:rsid w:val="00BA6405"/>
    <w:rsid w:val="00BA7286"/>
    <w:rsid w:val="00BB1C96"/>
    <w:rsid w:val="00BB26FA"/>
    <w:rsid w:val="00BB42B8"/>
    <w:rsid w:val="00BB538B"/>
    <w:rsid w:val="00BB5B0E"/>
    <w:rsid w:val="00BB6CE1"/>
    <w:rsid w:val="00BC1265"/>
    <w:rsid w:val="00BC2A9F"/>
    <w:rsid w:val="00BC4457"/>
    <w:rsid w:val="00BC5A09"/>
    <w:rsid w:val="00BC5CF9"/>
    <w:rsid w:val="00BC618F"/>
    <w:rsid w:val="00BC6478"/>
    <w:rsid w:val="00BC7FAE"/>
    <w:rsid w:val="00BD0084"/>
    <w:rsid w:val="00BD0653"/>
    <w:rsid w:val="00BD230A"/>
    <w:rsid w:val="00BD6C86"/>
    <w:rsid w:val="00BD703F"/>
    <w:rsid w:val="00BE0626"/>
    <w:rsid w:val="00BE1223"/>
    <w:rsid w:val="00BE2581"/>
    <w:rsid w:val="00BE295E"/>
    <w:rsid w:val="00BE6311"/>
    <w:rsid w:val="00BE636C"/>
    <w:rsid w:val="00BE6862"/>
    <w:rsid w:val="00BF37A0"/>
    <w:rsid w:val="00BF4978"/>
    <w:rsid w:val="00BF6C7D"/>
    <w:rsid w:val="00BF7452"/>
    <w:rsid w:val="00BF795A"/>
    <w:rsid w:val="00BF7C02"/>
    <w:rsid w:val="00C01970"/>
    <w:rsid w:val="00C0316C"/>
    <w:rsid w:val="00C035CC"/>
    <w:rsid w:val="00C03842"/>
    <w:rsid w:val="00C05952"/>
    <w:rsid w:val="00C059E9"/>
    <w:rsid w:val="00C109DD"/>
    <w:rsid w:val="00C1175B"/>
    <w:rsid w:val="00C11892"/>
    <w:rsid w:val="00C1227E"/>
    <w:rsid w:val="00C1743C"/>
    <w:rsid w:val="00C20F21"/>
    <w:rsid w:val="00C21718"/>
    <w:rsid w:val="00C22037"/>
    <w:rsid w:val="00C23D6E"/>
    <w:rsid w:val="00C24103"/>
    <w:rsid w:val="00C3130B"/>
    <w:rsid w:val="00C321FC"/>
    <w:rsid w:val="00C35191"/>
    <w:rsid w:val="00C359AB"/>
    <w:rsid w:val="00C359B7"/>
    <w:rsid w:val="00C36192"/>
    <w:rsid w:val="00C45360"/>
    <w:rsid w:val="00C465A0"/>
    <w:rsid w:val="00C4700B"/>
    <w:rsid w:val="00C51F2F"/>
    <w:rsid w:val="00C53E42"/>
    <w:rsid w:val="00C54775"/>
    <w:rsid w:val="00C56A0C"/>
    <w:rsid w:val="00C657C5"/>
    <w:rsid w:val="00C70027"/>
    <w:rsid w:val="00C702FA"/>
    <w:rsid w:val="00C708C4"/>
    <w:rsid w:val="00C719A1"/>
    <w:rsid w:val="00C72196"/>
    <w:rsid w:val="00C73B2D"/>
    <w:rsid w:val="00C75F74"/>
    <w:rsid w:val="00C76CFF"/>
    <w:rsid w:val="00C77759"/>
    <w:rsid w:val="00C81CD0"/>
    <w:rsid w:val="00C82E26"/>
    <w:rsid w:val="00C86645"/>
    <w:rsid w:val="00C90C16"/>
    <w:rsid w:val="00C928F5"/>
    <w:rsid w:val="00C93D7B"/>
    <w:rsid w:val="00C949E8"/>
    <w:rsid w:val="00C97E95"/>
    <w:rsid w:val="00CA5912"/>
    <w:rsid w:val="00CA6212"/>
    <w:rsid w:val="00CB16A4"/>
    <w:rsid w:val="00CB4429"/>
    <w:rsid w:val="00CB4876"/>
    <w:rsid w:val="00CC0FF6"/>
    <w:rsid w:val="00CC410B"/>
    <w:rsid w:val="00CC4EEE"/>
    <w:rsid w:val="00CC525E"/>
    <w:rsid w:val="00CC5D9C"/>
    <w:rsid w:val="00CC6190"/>
    <w:rsid w:val="00CC6AD5"/>
    <w:rsid w:val="00CC6C11"/>
    <w:rsid w:val="00CD1A5F"/>
    <w:rsid w:val="00CD32D4"/>
    <w:rsid w:val="00CD58B4"/>
    <w:rsid w:val="00CD71DD"/>
    <w:rsid w:val="00CE1449"/>
    <w:rsid w:val="00CE3F7C"/>
    <w:rsid w:val="00CE52E5"/>
    <w:rsid w:val="00CE6756"/>
    <w:rsid w:val="00CF15E8"/>
    <w:rsid w:val="00CF1602"/>
    <w:rsid w:val="00CF166C"/>
    <w:rsid w:val="00CF304A"/>
    <w:rsid w:val="00CF4484"/>
    <w:rsid w:val="00CF5D57"/>
    <w:rsid w:val="00CF5DD0"/>
    <w:rsid w:val="00CF6183"/>
    <w:rsid w:val="00D0156D"/>
    <w:rsid w:val="00D03751"/>
    <w:rsid w:val="00D03C26"/>
    <w:rsid w:val="00D03DE5"/>
    <w:rsid w:val="00D119AD"/>
    <w:rsid w:val="00D13A94"/>
    <w:rsid w:val="00D14766"/>
    <w:rsid w:val="00D15223"/>
    <w:rsid w:val="00D15EE6"/>
    <w:rsid w:val="00D232C6"/>
    <w:rsid w:val="00D248B4"/>
    <w:rsid w:val="00D276A7"/>
    <w:rsid w:val="00D277FF"/>
    <w:rsid w:val="00D27937"/>
    <w:rsid w:val="00D27A5A"/>
    <w:rsid w:val="00D27F50"/>
    <w:rsid w:val="00D30777"/>
    <w:rsid w:val="00D331EC"/>
    <w:rsid w:val="00D34F6F"/>
    <w:rsid w:val="00D35F28"/>
    <w:rsid w:val="00D373B3"/>
    <w:rsid w:val="00D3757E"/>
    <w:rsid w:val="00D4317B"/>
    <w:rsid w:val="00D44DD1"/>
    <w:rsid w:val="00D44E69"/>
    <w:rsid w:val="00D45BB4"/>
    <w:rsid w:val="00D46B8D"/>
    <w:rsid w:val="00D52874"/>
    <w:rsid w:val="00D5326F"/>
    <w:rsid w:val="00D535E7"/>
    <w:rsid w:val="00D57B19"/>
    <w:rsid w:val="00D57D0A"/>
    <w:rsid w:val="00D60393"/>
    <w:rsid w:val="00D60416"/>
    <w:rsid w:val="00D633D1"/>
    <w:rsid w:val="00D63B45"/>
    <w:rsid w:val="00D65A67"/>
    <w:rsid w:val="00D65E2D"/>
    <w:rsid w:val="00D66888"/>
    <w:rsid w:val="00D671F0"/>
    <w:rsid w:val="00D738D8"/>
    <w:rsid w:val="00D73BF5"/>
    <w:rsid w:val="00D7487C"/>
    <w:rsid w:val="00D77F27"/>
    <w:rsid w:val="00D80A96"/>
    <w:rsid w:val="00D81AC5"/>
    <w:rsid w:val="00D82E31"/>
    <w:rsid w:val="00D831C6"/>
    <w:rsid w:val="00D8548F"/>
    <w:rsid w:val="00D866E3"/>
    <w:rsid w:val="00D86C1E"/>
    <w:rsid w:val="00D86D5B"/>
    <w:rsid w:val="00D875EC"/>
    <w:rsid w:val="00D879BD"/>
    <w:rsid w:val="00D90108"/>
    <w:rsid w:val="00D9036F"/>
    <w:rsid w:val="00D9053E"/>
    <w:rsid w:val="00D916B8"/>
    <w:rsid w:val="00D93F1A"/>
    <w:rsid w:val="00D948D9"/>
    <w:rsid w:val="00D95C42"/>
    <w:rsid w:val="00D960E2"/>
    <w:rsid w:val="00D961C4"/>
    <w:rsid w:val="00D96B31"/>
    <w:rsid w:val="00DA2656"/>
    <w:rsid w:val="00DA3537"/>
    <w:rsid w:val="00DA4EE3"/>
    <w:rsid w:val="00DA639A"/>
    <w:rsid w:val="00DA7307"/>
    <w:rsid w:val="00DA7551"/>
    <w:rsid w:val="00DB0FA9"/>
    <w:rsid w:val="00DB1743"/>
    <w:rsid w:val="00DB48C2"/>
    <w:rsid w:val="00DC0BDA"/>
    <w:rsid w:val="00DC1075"/>
    <w:rsid w:val="00DC5F5C"/>
    <w:rsid w:val="00DC63D8"/>
    <w:rsid w:val="00DD0D9B"/>
    <w:rsid w:val="00DD14C2"/>
    <w:rsid w:val="00DD3178"/>
    <w:rsid w:val="00DD45C9"/>
    <w:rsid w:val="00DD528B"/>
    <w:rsid w:val="00DD6CA7"/>
    <w:rsid w:val="00DE4548"/>
    <w:rsid w:val="00DE4A52"/>
    <w:rsid w:val="00DE4AF8"/>
    <w:rsid w:val="00DE4BEE"/>
    <w:rsid w:val="00DE4C92"/>
    <w:rsid w:val="00DF3390"/>
    <w:rsid w:val="00DF347E"/>
    <w:rsid w:val="00DF57B8"/>
    <w:rsid w:val="00DF69C4"/>
    <w:rsid w:val="00DF7758"/>
    <w:rsid w:val="00E001B6"/>
    <w:rsid w:val="00E017EC"/>
    <w:rsid w:val="00E01AC2"/>
    <w:rsid w:val="00E038FE"/>
    <w:rsid w:val="00E03A10"/>
    <w:rsid w:val="00E0401A"/>
    <w:rsid w:val="00E04232"/>
    <w:rsid w:val="00E05ACD"/>
    <w:rsid w:val="00E06167"/>
    <w:rsid w:val="00E0735F"/>
    <w:rsid w:val="00E12CAB"/>
    <w:rsid w:val="00E134C7"/>
    <w:rsid w:val="00E14289"/>
    <w:rsid w:val="00E158D5"/>
    <w:rsid w:val="00E167CB"/>
    <w:rsid w:val="00E21C32"/>
    <w:rsid w:val="00E224E8"/>
    <w:rsid w:val="00E25C58"/>
    <w:rsid w:val="00E25D8B"/>
    <w:rsid w:val="00E26547"/>
    <w:rsid w:val="00E3116C"/>
    <w:rsid w:val="00E374AB"/>
    <w:rsid w:val="00E504AA"/>
    <w:rsid w:val="00E50E9C"/>
    <w:rsid w:val="00E51923"/>
    <w:rsid w:val="00E52354"/>
    <w:rsid w:val="00E52A31"/>
    <w:rsid w:val="00E5304F"/>
    <w:rsid w:val="00E5461A"/>
    <w:rsid w:val="00E55760"/>
    <w:rsid w:val="00E565AD"/>
    <w:rsid w:val="00E6179A"/>
    <w:rsid w:val="00E62481"/>
    <w:rsid w:val="00E64D97"/>
    <w:rsid w:val="00E70AF9"/>
    <w:rsid w:val="00E7272D"/>
    <w:rsid w:val="00E7319A"/>
    <w:rsid w:val="00E735D1"/>
    <w:rsid w:val="00E7461B"/>
    <w:rsid w:val="00E74D35"/>
    <w:rsid w:val="00E75431"/>
    <w:rsid w:val="00E75F5A"/>
    <w:rsid w:val="00E76845"/>
    <w:rsid w:val="00E830B4"/>
    <w:rsid w:val="00E84F13"/>
    <w:rsid w:val="00E925BB"/>
    <w:rsid w:val="00E9288A"/>
    <w:rsid w:val="00E92A57"/>
    <w:rsid w:val="00E93422"/>
    <w:rsid w:val="00EA1297"/>
    <w:rsid w:val="00EA3BCA"/>
    <w:rsid w:val="00EA60FF"/>
    <w:rsid w:val="00EB1531"/>
    <w:rsid w:val="00EB1730"/>
    <w:rsid w:val="00EB2CFA"/>
    <w:rsid w:val="00EB3CE6"/>
    <w:rsid w:val="00EB67EA"/>
    <w:rsid w:val="00EC230C"/>
    <w:rsid w:val="00EC2575"/>
    <w:rsid w:val="00EC5AFD"/>
    <w:rsid w:val="00EC611E"/>
    <w:rsid w:val="00EC66A9"/>
    <w:rsid w:val="00EC6773"/>
    <w:rsid w:val="00ED008F"/>
    <w:rsid w:val="00ED01DD"/>
    <w:rsid w:val="00ED0918"/>
    <w:rsid w:val="00ED652B"/>
    <w:rsid w:val="00ED6AFC"/>
    <w:rsid w:val="00EE30B0"/>
    <w:rsid w:val="00EE3B0F"/>
    <w:rsid w:val="00EE4309"/>
    <w:rsid w:val="00EE472E"/>
    <w:rsid w:val="00EE5185"/>
    <w:rsid w:val="00EE71C7"/>
    <w:rsid w:val="00EF1BB2"/>
    <w:rsid w:val="00EF3043"/>
    <w:rsid w:val="00EF722D"/>
    <w:rsid w:val="00F0398D"/>
    <w:rsid w:val="00F04729"/>
    <w:rsid w:val="00F05C76"/>
    <w:rsid w:val="00F06A6B"/>
    <w:rsid w:val="00F0716E"/>
    <w:rsid w:val="00F124B2"/>
    <w:rsid w:val="00F1496A"/>
    <w:rsid w:val="00F15204"/>
    <w:rsid w:val="00F15401"/>
    <w:rsid w:val="00F2124F"/>
    <w:rsid w:val="00F23476"/>
    <w:rsid w:val="00F248D3"/>
    <w:rsid w:val="00F24E75"/>
    <w:rsid w:val="00F24FA9"/>
    <w:rsid w:val="00F26829"/>
    <w:rsid w:val="00F26909"/>
    <w:rsid w:val="00F26F27"/>
    <w:rsid w:val="00F274C1"/>
    <w:rsid w:val="00F3238E"/>
    <w:rsid w:val="00F3284A"/>
    <w:rsid w:val="00F34520"/>
    <w:rsid w:val="00F345BD"/>
    <w:rsid w:val="00F36295"/>
    <w:rsid w:val="00F3713D"/>
    <w:rsid w:val="00F44CB6"/>
    <w:rsid w:val="00F46BFF"/>
    <w:rsid w:val="00F47E46"/>
    <w:rsid w:val="00F50E31"/>
    <w:rsid w:val="00F5298A"/>
    <w:rsid w:val="00F5377E"/>
    <w:rsid w:val="00F53901"/>
    <w:rsid w:val="00F55E83"/>
    <w:rsid w:val="00F60C54"/>
    <w:rsid w:val="00F61D52"/>
    <w:rsid w:val="00F6236E"/>
    <w:rsid w:val="00F62EFC"/>
    <w:rsid w:val="00F63F8C"/>
    <w:rsid w:val="00F640BF"/>
    <w:rsid w:val="00F6519A"/>
    <w:rsid w:val="00F704F7"/>
    <w:rsid w:val="00F70F8C"/>
    <w:rsid w:val="00F71A6F"/>
    <w:rsid w:val="00F71E23"/>
    <w:rsid w:val="00F74AF0"/>
    <w:rsid w:val="00F752AB"/>
    <w:rsid w:val="00F77ECA"/>
    <w:rsid w:val="00F80D92"/>
    <w:rsid w:val="00F836D7"/>
    <w:rsid w:val="00F84216"/>
    <w:rsid w:val="00F8465C"/>
    <w:rsid w:val="00F856BF"/>
    <w:rsid w:val="00F87485"/>
    <w:rsid w:val="00F939D2"/>
    <w:rsid w:val="00F94555"/>
    <w:rsid w:val="00F947CC"/>
    <w:rsid w:val="00F9570F"/>
    <w:rsid w:val="00F9720F"/>
    <w:rsid w:val="00FA09DF"/>
    <w:rsid w:val="00FA0C91"/>
    <w:rsid w:val="00FA1ACE"/>
    <w:rsid w:val="00FA2420"/>
    <w:rsid w:val="00FA2FBE"/>
    <w:rsid w:val="00FA4A62"/>
    <w:rsid w:val="00FA7E25"/>
    <w:rsid w:val="00FB21D4"/>
    <w:rsid w:val="00FB3BF5"/>
    <w:rsid w:val="00FB3EEE"/>
    <w:rsid w:val="00FB4612"/>
    <w:rsid w:val="00FB55DE"/>
    <w:rsid w:val="00FB7180"/>
    <w:rsid w:val="00FC5449"/>
    <w:rsid w:val="00FC6E7F"/>
    <w:rsid w:val="00FC7BE7"/>
    <w:rsid w:val="00FD439B"/>
    <w:rsid w:val="00FD5F78"/>
    <w:rsid w:val="00FD6714"/>
    <w:rsid w:val="00FD6DF0"/>
    <w:rsid w:val="00FD7267"/>
    <w:rsid w:val="00FE36A7"/>
    <w:rsid w:val="00FE3E9E"/>
    <w:rsid w:val="00FF0408"/>
    <w:rsid w:val="00FF05B2"/>
    <w:rsid w:val="00FF1EF1"/>
    <w:rsid w:val="00FF2A0E"/>
    <w:rsid w:val="00FF54FF"/>
    <w:rsid w:val="00FF696F"/>
    <w:rsid w:val="00FF79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4CB152"/>
  <w15:docId w15:val="{2CF3A9D0-8C3D-4389-846C-827E3053B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72E6C"/>
    <w:pPr>
      <w:spacing w:after="200" w:line="276" w:lineRule="auto"/>
      <w:jc w:val="both"/>
    </w:pPr>
    <w:rPr>
      <w:rFonts w:ascii="Arial" w:hAnsi="Arial"/>
      <w:sz w:val="20"/>
    </w:rPr>
  </w:style>
  <w:style w:type="paragraph" w:styleId="Nadpis1">
    <w:name w:val="heading 1"/>
    <w:basedOn w:val="Normln"/>
    <w:next w:val="Normln"/>
    <w:link w:val="Nadpis1Char"/>
    <w:qFormat/>
    <w:locked/>
    <w:rsid w:val="00E735D1"/>
    <w:pPr>
      <w:keepNext/>
      <w:keepLines/>
      <w:suppressAutoHyphens/>
      <w:spacing w:before="480" w:after="240" w:line="240" w:lineRule="auto"/>
      <w:outlineLvl w:val="0"/>
    </w:pPr>
    <w:rPr>
      <w:rFonts w:asciiTheme="majorHAnsi" w:eastAsiaTheme="majorEastAsia" w:hAnsiTheme="majorHAnsi" w:cstheme="majorBidi"/>
      <w:b/>
      <w:bCs/>
      <w:color w:val="0000DC"/>
      <w:sz w:val="32"/>
      <w:szCs w:val="28"/>
      <w:lang w:eastAsia="ar-SA"/>
    </w:rPr>
  </w:style>
  <w:style w:type="paragraph" w:styleId="Nadpis2">
    <w:name w:val="heading 2"/>
    <w:basedOn w:val="nadpis20"/>
    <w:next w:val="Normln"/>
    <w:link w:val="Nadpis2Char"/>
    <w:unhideWhenUsed/>
    <w:qFormat/>
    <w:locked/>
    <w:rsid w:val="00F60C54"/>
    <w:pPr>
      <w:numPr>
        <w:ilvl w:val="1"/>
      </w:numPr>
      <w:spacing w:before="480" w:after="240"/>
      <w:outlineLvl w:val="1"/>
    </w:pPr>
    <w:rPr>
      <w:sz w:val="28"/>
    </w:rPr>
  </w:style>
  <w:style w:type="paragraph" w:styleId="Nadpis3">
    <w:name w:val="heading 3"/>
    <w:basedOn w:val="Normln"/>
    <w:next w:val="Normln"/>
    <w:link w:val="Nadpis3Char"/>
    <w:unhideWhenUsed/>
    <w:qFormat/>
    <w:locked/>
    <w:rsid w:val="00C72196"/>
    <w:pPr>
      <w:keepNext/>
      <w:keepLines/>
      <w:spacing w:before="120" w:after="120"/>
      <w:outlineLvl w:val="2"/>
    </w:pPr>
    <w:rPr>
      <w:rFonts w:asciiTheme="majorHAnsi" w:eastAsiaTheme="majorEastAsia" w:hAnsiTheme="majorHAnsi" w:cstheme="majorBidi"/>
      <w:b/>
      <w:color w:val="0000DC"/>
      <w:sz w:val="24"/>
      <w:szCs w:val="24"/>
    </w:rPr>
  </w:style>
  <w:style w:type="paragraph" w:styleId="Nadpis4">
    <w:name w:val="heading 4"/>
    <w:basedOn w:val="Normln"/>
    <w:next w:val="Normln"/>
    <w:link w:val="Nadpis4Char"/>
    <w:unhideWhenUsed/>
    <w:qFormat/>
    <w:locked/>
    <w:rsid w:val="001C59BA"/>
    <w:pPr>
      <w:keepNext/>
      <w:keepLines/>
      <w:spacing w:before="120" w:after="120"/>
      <w:outlineLvl w:val="3"/>
    </w:pPr>
    <w:rPr>
      <w:rFonts w:asciiTheme="majorHAnsi" w:eastAsiaTheme="majorEastAsia" w:hAnsiTheme="majorHAnsi" w:cstheme="majorBidi"/>
      <w:b/>
      <w:iCs/>
      <w:color w:val="0000DC"/>
    </w:rPr>
  </w:style>
  <w:style w:type="paragraph" w:styleId="Nadpis5">
    <w:name w:val="heading 5"/>
    <w:basedOn w:val="Normln"/>
    <w:next w:val="Normln"/>
    <w:link w:val="Nadpis5Char"/>
    <w:unhideWhenUsed/>
    <w:locked/>
    <w:rsid w:val="00C72196"/>
    <w:pPr>
      <w:keepNext/>
      <w:keepLines/>
      <w:spacing w:before="40" w:after="0"/>
      <w:outlineLvl w:val="4"/>
    </w:pPr>
    <w:rPr>
      <w:rFonts w:asciiTheme="majorHAnsi" w:eastAsiaTheme="majorEastAsia" w:hAnsiTheme="majorHAnsi" w:cstheme="majorBidi"/>
      <w:color w:val="0000DC"/>
    </w:rPr>
  </w:style>
  <w:style w:type="paragraph" w:styleId="Nadpis6">
    <w:name w:val="heading 6"/>
    <w:basedOn w:val="Normln"/>
    <w:next w:val="Normln"/>
    <w:link w:val="Nadpis6Char"/>
    <w:unhideWhenUsed/>
    <w:locked/>
    <w:rsid w:val="00C72196"/>
    <w:pPr>
      <w:keepNext/>
      <w:keepLines/>
      <w:spacing w:before="40" w:after="0"/>
      <w:outlineLvl w:val="5"/>
    </w:pPr>
    <w:rPr>
      <w:rFonts w:asciiTheme="majorHAnsi" w:eastAsiaTheme="majorEastAsia" w:hAnsiTheme="majorHAnsi" w:cstheme="majorBidi"/>
      <w:color w:val="0000DC"/>
    </w:rPr>
  </w:style>
  <w:style w:type="paragraph" w:styleId="Nadpis7">
    <w:name w:val="heading 7"/>
    <w:basedOn w:val="Normln"/>
    <w:next w:val="Normln"/>
    <w:link w:val="Nadpis7Char"/>
    <w:unhideWhenUsed/>
    <w:locked/>
    <w:rsid w:val="00C72196"/>
    <w:pPr>
      <w:keepNext/>
      <w:keepLines/>
      <w:spacing w:before="40" w:after="0"/>
      <w:outlineLvl w:val="6"/>
    </w:pPr>
    <w:rPr>
      <w:rFonts w:asciiTheme="majorHAnsi" w:eastAsiaTheme="majorEastAsia" w:hAnsiTheme="majorHAnsi" w:cstheme="majorBidi"/>
      <w:i/>
      <w:iCs/>
      <w:color w:val="0000DC"/>
    </w:rPr>
  </w:style>
  <w:style w:type="paragraph" w:styleId="Nadpis8">
    <w:name w:val="heading 8"/>
    <w:basedOn w:val="Normln"/>
    <w:next w:val="Normln"/>
    <w:link w:val="Nadpis8Char"/>
    <w:unhideWhenUsed/>
    <w:qFormat/>
    <w:locked/>
    <w:rsid w:val="00F0472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84216"/>
    <w:pPr>
      <w:numPr>
        <w:numId w:val="2"/>
      </w:numPr>
      <w:spacing w:before="120" w:after="120" w:line="240" w:lineRule="exact"/>
      <w:contextualSpacing/>
      <w:jc w:val="left"/>
    </w:pPr>
    <w:rPr>
      <w:rFonts w:eastAsiaTheme="minorHAnsi" w:cstheme="minorBidi"/>
      <w:lang w:eastAsia="en-US"/>
    </w:rPr>
  </w:style>
  <w:style w:type="character" w:styleId="Zdraznn">
    <w:name w:val="Emphasis"/>
    <w:basedOn w:val="Standardnpsmoodstavce"/>
    <w:uiPriority w:val="99"/>
    <w:rsid w:val="00C22037"/>
    <w:rPr>
      <w:rFonts w:cs="Times New Roman"/>
      <w:i/>
      <w:iCs/>
    </w:rPr>
  </w:style>
  <w:style w:type="paragraph" w:styleId="Zhlav">
    <w:name w:val="header"/>
    <w:basedOn w:val="Normln"/>
    <w:link w:val="ZhlavChar"/>
    <w:rsid w:val="00E64D97"/>
    <w:pPr>
      <w:tabs>
        <w:tab w:val="center" w:pos="4536"/>
        <w:tab w:val="right" w:pos="9072"/>
      </w:tabs>
      <w:spacing w:after="0" w:line="240" w:lineRule="auto"/>
    </w:pPr>
  </w:style>
  <w:style w:type="character" w:customStyle="1" w:styleId="ZhlavChar">
    <w:name w:val="Záhlaví Char"/>
    <w:basedOn w:val="Standardnpsmoodstavce"/>
    <w:link w:val="Zhlav"/>
    <w:locked/>
    <w:rsid w:val="00E64D97"/>
    <w:rPr>
      <w:rFonts w:cs="Times New Roman"/>
    </w:rPr>
  </w:style>
  <w:style w:type="paragraph" w:styleId="Zpat">
    <w:name w:val="footer"/>
    <w:basedOn w:val="Normln"/>
    <w:link w:val="ZpatChar"/>
    <w:uiPriority w:val="99"/>
    <w:rsid w:val="00304332"/>
    <w:pPr>
      <w:tabs>
        <w:tab w:val="center" w:pos="4536"/>
        <w:tab w:val="right" w:pos="9072"/>
      </w:tabs>
      <w:spacing w:after="0" w:line="240" w:lineRule="auto"/>
    </w:pPr>
    <w:rPr>
      <w:rFonts w:cs="Arial"/>
      <w:color w:val="0000DC"/>
      <w:sz w:val="16"/>
      <w:szCs w:val="16"/>
    </w:rPr>
  </w:style>
  <w:style w:type="character" w:customStyle="1" w:styleId="ZpatChar">
    <w:name w:val="Zápatí Char"/>
    <w:basedOn w:val="Standardnpsmoodstavce"/>
    <w:link w:val="Zpat"/>
    <w:uiPriority w:val="99"/>
    <w:qFormat/>
    <w:locked/>
    <w:rsid w:val="00304332"/>
    <w:rPr>
      <w:rFonts w:ascii="Arial" w:hAnsi="Arial" w:cs="Arial"/>
      <w:color w:val="0000DC"/>
      <w:sz w:val="16"/>
      <w:szCs w:val="16"/>
    </w:rPr>
  </w:style>
  <w:style w:type="character" w:styleId="Odkaznakoment">
    <w:name w:val="annotation reference"/>
    <w:basedOn w:val="Standardnpsmoodstavce"/>
    <w:uiPriority w:val="99"/>
    <w:semiHidden/>
    <w:rsid w:val="00991E2D"/>
    <w:rPr>
      <w:rFonts w:cs="Times New Roman"/>
      <w:sz w:val="16"/>
      <w:szCs w:val="16"/>
    </w:rPr>
  </w:style>
  <w:style w:type="paragraph" w:styleId="Textkomente">
    <w:name w:val="annotation text"/>
    <w:basedOn w:val="Normln"/>
    <w:link w:val="TextkomenteChar"/>
    <w:uiPriority w:val="99"/>
    <w:semiHidden/>
    <w:rsid w:val="00991E2D"/>
    <w:pPr>
      <w:spacing w:line="240" w:lineRule="auto"/>
    </w:pPr>
    <w:rPr>
      <w:szCs w:val="20"/>
    </w:rPr>
  </w:style>
  <w:style w:type="character" w:customStyle="1" w:styleId="TextkomenteChar">
    <w:name w:val="Text komentáře Char"/>
    <w:basedOn w:val="Standardnpsmoodstavce"/>
    <w:link w:val="Textkomente"/>
    <w:uiPriority w:val="99"/>
    <w:semiHidden/>
    <w:locked/>
    <w:rsid w:val="00991E2D"/>
    <w:rPr>
      <w:rFonts w:cs="Times New Roman"/>
      <w:sz w:val="20"/>
      <w:szCs w:val="20"/>
    </w:rPr>
  </w:style>
  <w:style w:type="paragraph" w:styleId="Pedmtkomente">
    <w:name w:val="annotation subject"/>
    <w:basedOn w:val="Textkomente"/>
    <w:next w:val="Textkomente"/>
    <w:link w:val="PedmtkomenteChar"/>
    <w:uiPriority w:val="99"/>
    <w:semiHidden/>
    <w:rsid w:val="00991E2D"/>
    <w:rPr>
      <w:b/>
      <w:bCs/>
    </w:rPr>
  </w:style>
  <w:style w:type="character" w:customStyle="1" w:styleId="PedmtkomenteChar">
    <w:name w:val="Předmět komentáře Char"/>
    <w:basedOn w:val="TextkomenteChar"/>
    <w:link w:val="Pedmtkomente"/>
    <w:uiPriority w:val="99"/>
    <w:semiHidden/>
    <w:locked/>
    <w:rsid w:val="00991E2D"/>
    <w:rPr>
      <w:rFonts w:cs="Times New Roman"/>
      <w:b/>
      <w:bCs/>
      <w:sz w:val="20"/>
      <w:szCs w:val="20"/>
    </w:rPr>
  </w:style>
  <w:style w:type="paragraph" w:styleId="Textbubliny">
    <w:name w:val="Balloon Text"/>
    <w:basedOn w:val="Normln"/>
    <w:link w:val="TextbublinyChar"/>
    <w:uiPriority w:val="99"/>
    <w:semiHidden/>
    <w:rsid w:val="00991E2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91E2D"/>
    <w:rPr>
      <w:rFonts w:ascii="Tahoma" w:hAnsi="Tahoma" w:cs="Tahoma"/>
      <w:sz w:val="16"/>
      <w:szCs w:val="16"/>
    </w:rPr>
  </w:style>
  <w:style w:type="paragraph" w:styleId="Revize">
    <w:name w:val="Revision"/>
    <w:hidden/>
    <w:uiPriority w:val="99"/>
    <w:semiHidden/>
    <w:rsid w:val="001D35A7"/>
  </w:style>
  <w:style w:type="paragraph" w:styleId="Nzev">
    <w:name w:val="Title"/>
    <w:basedOn w:val="Normln"/>
    <w:next w:val="Normln"/>
    <w:link w:val="NzevChar"/>
    <w:uiPriority w:val="10"/>
    <w:locked/>
    <w:rsid w:val="0008150F"/>
    <w:pPr>
      <w:spacing w:after="0" w:line="240" w:lineRule="auto"/>
      <w:contextualSpacing/>
    </w:pPr>
    <w:rPr>
      <w:rFonts w:asciiTheme="majorHAnsi" w:eastAsiaTheme="majorEastAsia" w:hAnsiTheme="majorHAnsi" w:cstheme="majorBidi"/>
      <w:spacing w:val="-10"/>
      <w:sz w:val="56"/>
      <w:szCs w:val="56"/>
      <w:lang w:eastAsia="ja-JP"/>
    </w:rPr>
  </w:style>
  <w:style w:type="character" w:customStyle="1" w:styleId="NzevChar">
    <w:name w:val="Název Char"/>
    <w:basedOn w:val="Standardnpsmoodstavce"/>
    <w:link w:val="Nzev"/>
    <w:uiPriority w:val="10"/>
    <w:rsid w:val="0008150F"/>
    <w:rPr>
      <w:rFonts w:asciiTheme="majorHAnsi" w:eastAsiaTheme="majorEastAsia" w:hAnsiTheme="majorHAnsi" w:cstheme="majorBidi"/>
      <w:spacing w:val="-10"/>
      <w:sz w:val="56"/>
      <w:szCs w:val="56"/>
      <w:lang w:eastAsia="ja-JP"/>
    </w:rPr>
  </w:style>
  <w:style w:type="paragraph" w:styleId="Prosttext">
    <w:name w:val="Plain Text"/>
    <w:basedOn w:val="Normln"/>
    <w:link w:val="ProsttextChar"/>
    <w:uiPriority w:val="99"/>
    <w:unhideWhenUsed/>
    <w:rsid w:val="007971F1"/>
    <w:pPr>
      <w:spacing w:after="0" w:line="240" w:lineRule="auto"/>
    </w:pPr>
    <w:rPr>
      <w:rFonts w:eastAsiaTheme="minorHAnsi" w:cstheme="minorBidi"/>
      <w:szCs w:val="21"/>
      <w:lang w:eastAsia="en-US"/>
    </w:rPr>
  </w:style>
  <w:style w:type="character" w:customStyle="1" w:styleId="ProsttextChar">
    <w:name w:val="Prostý text Char"/>
    <w:basedOn w:val="Standardnpsmoodstavce"/>
    <w:link w:val="Prosttext"/>
    <w:uiPriority w:val="99"/>
    <w:rsid w:val="007971F1"/>
    <w:rPr>
      <w:rFonts w:eastAsiaTheme="minorHAnsi" w:cstheme="minorBidi"/>
      <w:szCs w:val="21"/>
      <w:lang w:eastAsia="en-US"/>
    </w:rPr>
  </w:style>
  <w:style w:type="character" w:customStyle="1" w:styleId="s10">
    <w:name w:val="s10"/>
    <w:basedOn w:val="Standardnpsmoodstavce"/>
    <w:rsid w:val="00FF0408"/>
  </w:style>
  <w:style w:type="character" w:customStyle="1" w:styleId="Nadpis1Char">
    <w:name w:val="Nadpis 1 Char"/>
    <w:basedOn w:val="Standardnpsmoodstavce"/>
    <w:link w:val="Nadpis1"/>
    <w:rsid w:val="00F60C54"/>
    <w:rPr>
      <w:rFonts w:asciiTheme="majorHAnsi" w:eastAsiaTheme="majorEastAsia" w:hAnsiTheme="majorHAnsi" w:cstheme="majorBidi"/>
      <w:b/>
      <w:bCs/>
      <w:color w:val="0000DC"/>
      <w:sz w:val="32"/>
      <w:szCs w:val="28"/>
      <w:lang w:eastAsia="ar-SA"/>
    </w:rPr>
  </w:style>
  <w:style w:type="paragraph" w:styleId="Normlnweb">
    <w:name w:val="Normal (Web)"/>
    <w:basedOn w:val="Normln"/>
    <w:uiPriority w:val="99"/>
    <w:unhideWhenUsed/>
    <w:rsid w:val="006A6944"/>
    <w:pPr>
      <w:spacing w:before="100" w:beforeAutospacing="1" w:after="100" w:afterAutospacing="1" w:line="240" w:lineRule="auto"/>
    </w:pPr>
    <w:rPr>
      <w:rFonts w:eastAsia="Times New Roman"/>
      <w:sz w:val="24"/>
      <w:szCs w:val="24"/>
    </w:rPr>
  </w:style>
  <w:style w:type="paragraph" w:styleId="Textpoznpodarou">
    <w:name w:val="footnote text"/>
    <w:basedOn w:val="Normln"/>
    <w:link w:val="TextpoznpodarouChar"/>
    <w:qFormat/>
    <w:rsid w:val="00115D56"/>
    <w:pPr>
      <w:tabs>
        <w:tab w:val="left" w:pos="284"/>
      </w:tabs>
      <w:suppressAutoHyphens/>
      <w:spacing w:after="0" w:line="240" w:lineRule="exact"/>
      <w:ind w:left="113" w:hanging="113"/>
    </w:pPr>
    <w:rPr>
      <w:rFonts w:asciiTheme="majorHAnsi" w:eastAsia="SimSun" w:hAnsiTheme="majorHAnsi"/>
      <w:color w:val="000000" w:themeColor="text1"/>
      <w:sz w:val="16"/>
      <w:szCs w:val="20"/>
      <w:lang w:eastAsia="ar-SA"/>
    </w:rPr>
  </w:style>
  <w:style w:type="character" w:customStyle="1" w:styleId="TextpoznpodarouChar">
    <w:name w:val="Text pozn. pod čarou Char"/>
    <w:basedOn w:val="Standardnpsmoodstavce"/>
    <w:link w:val="Textpoznpodarou"/>
    <w:rsid w:val="00115D56"/>
    <w:rPr>
      <w:rFonts w:asciiTheme="majorHAnsi" w:eastAsia="SimSun" w:hAnsiTheme="majorHAnsi"/>
      <w:color w:val="000000" w:themeColor="text1"/>
      <w:sz w:val="16"/>
      <w:szCs w:val="20"/>
      <w:lang w:eastAsia="ar-SA"/>
    </w:rPr>
  </w:style>
  <w:style w:type="character" w:styleId="Znakapoznpodarou">
    <w:name w:val="footnote reference"/>
    <w:basedOn w:val="Standardnpsmoodstavce"/>
    <w:qFormat/>
    <w:rsid w:val="003306F5"/>
    <w:rPr>
      <w:b/>
      <w:color w:val="0000DC"/>
      <w:vertAlign w:val="superscript"/>
    </w:rPr>
  </w:style>
  <w:style w:type="character" w:styleId="Siln">
    <w:name w:val="Strong"/>
    <w:basedOn w:val="Standardnpsmoodstavce"/>
    <w:uiPriority w:val="22"/>
    <w:qFormat/>
    <w:locked/>
    <w:rsid w:val="006A6944"/>
    <w:rPr>
      <w:b/>
      <w:bCs/>
    </w:rPr>
  </w:style>
  <w:style w:type="character" w:styleId="Hypertextovodkaz">
    <w:name w:val="Hyperlink"/>
    <w:basedOn w:val="Standardnpsmoodstavce"/>
    <w:uiPriority w:val="99"/>
    <w:rsid w:val="00C72196"/>
    <w:rPr>
      <w:color w:val="0000DC"/>
      <w:u w:val="single"/>
    </w:rPr>
  </w:style>
  <w:style w:type="paragraph" w:customStyle="1" w:styleId="nadpis20">
    <w:name w:val="nadpis2"/>
    <w:basedOn w:val="Nadpis1"/>
    <w:link w:val="nadpis2Char0"/>
    <w:rsid w:val="006A6944"/>
    <w:pPr>
      <w:spacing w:before="360" w:after="120"/>
    </w:pPr>
    <w:rPr>
      <w:sz w:val="24"/>
    </w:rPr>
  </w:style>
  <w:style w:type="character" w:customStyle="1" w:styleId="nadpis2Char0">
    <w:name w:val="nadpis2 Char"/>
    <w:basedOn w:val="Nadpis1Char"/>
    <w:link w:val="nadpis20"/>
    <w:rsid w:val="006A6944"/>
    <w:rPr>
      <w:rFonts w:asciiTheme="majorHAnsi" w:eastAsiaTheme="majorEastAsia" w:hAnsiTheme="majorHAnsi" w:cstheme="majorBidi"/>
      <w:b/>
      <w:bCs/>
      <w:color w:val="094F8F"/>
      <w:sz w:val="24"/>
      <w:szCs w:val="28"/>
      <w:lang w:eastAsia="ar-SA"/>
    </w:rPr>
  </w:style>
  <w:style w:type="paragraph" w:customStyle="1" w:styleId="Tabulkanadpis">
    <w:name w:val="Tabulka (nadpis)"/>
    <w:basedOn w:val="Titulek"/>
    <w:link w:val="TabulkanadpisChar"/>
    <w:qFormat/>
    <w:rsid w:val="00C72196"/>
    <w:pPr>
      <w:keepNext/>
      <w:suppressAutoHyphens/>
      <w:spacing w:before="240" w:after="240"/>
    </w:pPr>
    <w:rPr>
      <w:rFonts w:asciiTheme="majorHAnsi" w:eastAsia="SimSun" w:hAnsiTheme="majorHAnsi"/>
      <w:bCs/>
      <w:i w:val="0"/>
      <w:iCs w:val="0"/>
      <w:color w:val="0000DC"/>
      <w:sz w:val="20"/>
      <w:szCs w:val="24"/>
      <w:lang w:val="en-GB" w:eastAsia="ar-SA"/>
    </w:rPr>
  </w:style>
  <w:style w:type="character" w:customStyle="1" w:styleId="TabulkanadpisChar">
    <w:name w:val="Tabulka (nadpis) Char"/>
    <w:basedOn w:val="Standardnpsmoodstavce"/>
    <w:link w:val="Tabulkanadpis"/>
    <w:rsid w:val="00C72196"/>
    <w:rPr>
      <w:rFonts w:asciiTheme="majorHAnsi" w:eastAsia="SimSun" w:hAnsiTheme="majorHAnsi"/>
      <w:bCs/>
      <w:color w:val="0000DC"/>
      <w:sz w:val="20"/>
      <w:szCs w:val="24"/>
      <w:lang w:val="en-GB" w:eastAsia="ar-SA"/>
    </w:rPr>
  </w:style>
  <w:style w:type="paragraph" w:styleId="Titulek">
    <w:name w:val="caption"/>
    <w:basedOn w:val="Normln"/>
    <w:next w:val="Normln"/>
    <w:semiHidden/>
    <w:unhideWhenUsed/>
    <w:qFormat/>
    <w:locked/>
    <w:rsid w:val="006A6944"/>
    <w:pPr>
      <w:spacing w:line="240" w:lineRule="auto"/>
    </w:pPr>
    <w:rPr>
      <w:i/>
      <w:iCs/>
      <w:color w:val="1F497D" w:themeColor="text2"/>
      <w:sz w:val="18"/>
      <w:szCs w:val="18"/>
    </w:rPr>
  </w:style>
  <w:style w:type="paragraph" w:styleId="Bezmezer">
    <w:name w:val="No Spacing"/>
    <w:uiPriority w:val="1"/>
    <w:qFormat/>
    <w:rsid w:val="00B00586"/>
    <w:pPr>
      <w:spacing w:line="276" w:lineRule="auto"/>
    </w:pPr>
    <w:rPr>
      <w:rFonts w:asciiTheme="majorHAnsi" w:hAnsiTheme="majorHAnsi"/>
      <w:sz w:val="20"/>
    </w:rPr>
  </w:style>
  <w:style w:type="table" w:customStyle="1" w:styleId="Svtltabulkasmkou1zvraznn11">
    <w:name w:val="Světlá tabulka s mřížkou 1 – zvýraznění 11"/>
    <w:basedOn w:val="Normlntabulka"/>
    <w:uiPriority w:val="46"/>
    <w:rsid w:val="00C1189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rosttabulka21">
    <w:name w:val="Prostá tabulka 21"/>
    <w:basedOn w:val="Normlntabulka"/>
    <w:uiPriority w:val="42"/>
    <w:rsid w:val="001405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tabulka"/>
    <w:uiPriority w:val="43"/>
    <w:rsid w:val="00C1189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tabulka"/>
    <w:uiPriority w:val="44"/>
    <w:rsid w:val="00C118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lka">
    <w:name w:val="Tabulka"/>
    <w:basedOn w:val="Bezmezer"/>
    <w:link w:val="TabulkaChar"/>
    <w:qFormat/>
    <w:rsid w:val="00595DAA"/>
    <w:pPr>
      <w:spacing w:line="240" w:lineRule="auto"/>
    </w:pPr>
    <w:rPr>
      <w:rFonts w:cstheme="majorHAnsi"/>
      <w:sz w:val="18"/>
    </w:rPr>
  </w:style>
  <w:style w:type="table" w:customStyle="1" w:styleId="Prosttabulka11">
    <w:name w:val="Prostá tabulka 11"/>
    <w:aliases w:val="GAMU Řádky"/>
    <w:basedOn w:val="Normlntabulka"/>
    <w:uiPriority w:val="41"/>
    <w:rsid w:val="006F3CD5"/>
    <w:pPr>
      <w:keepLines/>
    </w:pPr>
    <w:rPr>
      <w:rFonts w:asciiTheme="majorHAnsi" w:hAnsiTheme="majorHAnsi"/>
      <w:sz w:val="18"/>
    </w:rPr>
    <w:tblPr>
      <w:tblBorders>
        <w:top w:val="single" w:sz="4" w:space="0" w:color="404040" w:themeColor="text1" w:themeTint="BF"/>
        <w:bottom w:val="single" w:sz="4" w:space="0" w:color="404040" w:themeColor="text1" w:themeTint="BF"/>
        <w:insideH w:val="single" w:sz="4" w:space="0" w:color="404040" w:themeColor="text1" w:themeTint="BF"/>
      </w:tblBorders>
      <w:tblCellMar>
        <w:top w:w="85" w:type="dxa"/>
        <w:left w:w="0" w:type="dxa"/>
        <w:bottom w:w="85" w:type="dxa"/>
        <w:right w:w="85" w:type="dxa"/>
      </w:tblCellMar>
    </w:tblPr>
    <w:tcPr>
      <w:shd w:val="clear" w:color="auto" w:fill="auto"/>
      <w:vAlign w:val="center"/>
    </w:tcPr>
    <w:tblStylePr w:type="firstRow">
      <w:rPr>
        <w:rFonts w:asciiTheme="majorHAnsi" w:hAnsiTheme="majorHAnsi"/>
        <w:b/>
        <w:bCs/>
        <w:color w:val="002776"/>
        <w:sz w:val="20"/>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val="0"/>
        <w:bCs/>
      </w:rPr>
      <w:tblPr/>
      <w:tcPr>
        <w:tcBorders>
          <w:top w:val="nil"/>
          <w:bottom w:val="single" w:sz="2" w:space="0" w:color="A6A6A6" w:themeColor="background1" w:themeShade="A6"/>
          <w:insideH w:val="nil"/>
        </w:tcBorders>
        <w:shd w:val="clear" w:color="auto" w:fill="auto"/>
      </w:tcPr>
    </w:tblStylePr>
    <w:tblStylePr w:type="firstCol">
      <w:rPr>
        <w:b w:val="0"/>
        <w:bCs/>
      </w:rPr>
    </w:tblStylePr>
    <w:tblStylePr w:type="lastCol">
      <w:rPr>
        <w:b w:val="0"/>
        <w:bCs/>
      </w:rPr>
    </w:tblStylePr>
  </w:style>
  <w:style w:type="table" w:styleId="Mkatabulky">
    <w:name w:val="Table Grid"/>
    <w:basedOn w:val="Normlntabulka"/>
    <w:uiPriority w:val="39"/>
    <w:locked/>
    <w:rsid w:val="00F83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kaChar">
    <w:name w:val="Tabulka Char"/>
    <w:basedOn w:val="Standardnpsmoodstavce"/>
    <w:link w:val="Tabulka"/>
    <w:rsid w:val="00595DAA"/>
    <w:rPr>
      <w:rFonts w:asciiTheme="majorHAnsi" w:hAnsiTheme="majorHAnsi" w:cstheme="majorHAnsi"/>
      <w:sz w:val="18"/>
    </w:rPr>
  </w:style>
  <w:style w:type="table" w:customStyle="1" w:styleId="Svtltabulkasmkou11">
    <w:name w:val="Světlá tabulka s mřížkou 11"/>
    <w:aliases w:val="GAMU Sloupce"/>
    <w:basedOn w:val="Prosttabulka11"/>
    <w:uiPriority w:val="46"/>
    <w:rsid w:val="00973FF0"/>
    <w:pPr>
      <w:ind w:left="85"/>
    </w:pPr>
    <w:tblPr>
      <w:tblStyleColBandSize w:val="1"/>
      <w:tblBorders>
        <w:top w:val="none" w:sz="0" w:space="0" w:color="auto"/>
        <w:bottom w:val="none" w:sz="0" w:space="0" w:color="auto"/>
        <w:insideH w:val="single" w:sz="4" w:space="0" w:color="auto"/>
        <w:insideV w:val="single" w:sz="4" w:space="0" w:color="404040" w:themeColor="text1" w:themeTint="BF"/>
      </w:tblBorders>
    </w:tblPr>
    <w:tcPr>
      <w:shd w:val="clear" w:color="auto" w:fill="auto"/>
    </w:tcPr>
    <w:tblStylePr w:type="firstRow">
      <w:rPr>
        <w:rFonts w:asciiTheme="majorHAnsi" w:hAnsiTheme="majorHAnsi"/>
        <w:b/>
        <w:bCs/>
        <w:color w:val="002776"/>
        <w:sz w:val="18"/>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bCs/>
      </w:rPr>
      <w:tblPr/>
      <w:tcPr>
        <w:tcBorders>
          <w:top w:val="single" w:sz="4" w:space="0" w:color="666666" w:themeColor="text1" w:themeTint="99"/>
          <w:bottom w:val="single" w:sz="2" w:space="0" w:color="A6A6A6" w:themeColor="background1" w:themeShade="A6"/>
          <w:insideH w:val="nil"/>
        </w:tcBorders>
        <w:shd w:val="clear" w:color="auto" w:fill="auto"/>
      </w:tcPr>
    </w:tblStylePr>
    <w:tblStylePr w:type="firstCol">
      <w:pPr>
        <w:wordWrap/>
        <w:ind w:leftChars="0" w:left="0" w:rightChars="0" w:right="0" w:firstLineChars="0" w:firstLine="0"/>
        <w:mirrorIndents w:val="0"/>
      </w:pPr>
      <w:rPr>
        <w:b w:val="0"/>
        <w:bCs/>
      </w:rPr>
    </w:tblStylePr>
    <w:tblStylePr w:type="lastCol">
      <w:rPr>
        <w:b w:val="0"/>
        <w:bCs/>
      </w:rPr>
    </w:tblStylePr>
    <w:tblStylePr w:type="band2Vert">
      <w:tblPr/>
      <w:tcPr>
        <w:shd w:val="clear" w:color="auto" w:fill="F2F2F2" w:themeFill="background1" w:themeFillShade="F2"/>
      </w:tcPr>
    </w:tblStylePr>
  </w:style>
  <w:style w:type="table" w:styleId="Klasicktabulka1">
    <w:name w:val="Table Classic 1"/>
    <w:basedOn w:val="Normlntabulka"/>
    <w:uiPriority w:val="99"/>
    <w:semiHidden/>
    <w:unhideWhenUsed/>
    <w:rsid w:val="00F836D7"/>
    <w:pPr>
      <w:spacing w:after="200" w:line="276" w:lineRule="auto"/>
    </w:pPr>
    <w:rPr>
      <w:rFonts w:asciiTheme="minorHAnsi" w:hAnsiTheme="minorHAnsi"/>
      <w:sz w:val="18"/>
    </w:rPr>
    <w:tblPr>
      <w:tblBorders>
        <w:top w:val="single" w:sz="4" w:space="0" w:color="094F8F"/>
        <w:bottom w:val="single" w:sz="4" w:space="0" w:color="094F8F"/>
        <w:insideH w:val="single" w:sz="4" w:space="0" w:color="094F8F"/>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adpis2Char">
    <w:name w:val="Nadpis 2 Char"/>
    <w:basedOn w:val="Standardnpsmoodstavce"/>
    <w:link w:val="Nadpis2"/>
    <w:rsid w:val="00F60C54"/>
    <w:rPr>
      <w:rFonts w:asciiTheme="majorHAnsi" w:eastAsiaTheme="majorEastAsia" w:hAnsiTheme="majorHAnsi" w:cstheme="majorBidi"/>
      <w:b/>
      <w:bCs/>
      <w:color w:val="0000DC"/>
      <w:sz w:val="28"/>
      <w:szCs w:val="28"/>
      <w:lang w:eastAsia="ar-SA"/>
    </w:rPr>
  </w:style>
  <w:style w:type="character" w:customStyle="1" w:styleId="Nadpis3Char">
    <w:name w:val="Nadpis 3 Char"/>
    <w:basedOn w:val="Standardnpsmoodstavce"/>
    <w:link w:val="Nadpis3"/>
    <w:rsid w:val="00C72196"/>
    <w:rPr>
      <w:rFonts w:asciiTheme="majorHAnsi" w:eastAsiaTheme="majorEastAsia" w:hAnsiTheme="majorHAnsi" w:cstheme="majorBidi"/>
      <w:b/>
      <w:color w:val="0000DC"/>
      <w:sz w:val="24"/>
      <w:szCs w:val="24"/>
    </w:rPr>
  </w:style>
  <w:style w:type="character" w:customStyle="1" w:styleId="Nadpis4Char">
    <w:name w:val="Nadpis 4 Char"/>
    <w:basedOn w:val="Standardnpsmoodstavce"/>
    <w:link w:val="Nadpis4"/>
    <w:rsid w:val="001C59BA"/>
    <w:rPr>
      <w:rFonts w:asciiTheme="majorHAnsi" w:eastAsiaTheme="majorEastAsia" w:hAnsiTheme="majorHAnsi" w:cstheme="majorBidi"/>
      <w:b/>
      <w:iCs/>
      <w:color w:val="0000DC"/>
      <w:sz w:val="20"/>
    </w:rPr>
  </w:style>
  <w:style w:type="character" w:customStyle="1" w:styleId="Nadpis5Char">
    <w:name w:val="Nadpis 5 Char"/>
    <w:basedOn w:val="Standardnpsmoodstavce"/>
    <w:link w:val="Nadpis5"/>
    <w:rsid w:val="00C72196"/>
    <w:rPr>
      <w:rFonts w:asciiTheme="majorHAnsi" w:eastAsiaTheme="majorEastAsia" w:hAnsiTheme="majorHAnsi" w:cstheme="majorBidi"/>
      <w:color w:val="0000DC"/>
      <w:sz w:val="20"/>
    </w:rPr>
  </w:style>
  <w:style w:type="table" w:customStyle="1" w:styleId="Tabulkasmkou31">
    <w:name w:val="Tabulka s mřížkou 31"/>
    <w:basedOn w:val="Normlntabulka"/>
    <w:uiPriority w:val="48"/>
    <w:rsid w:val="006A1D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Svtltabulkasmkou1zvraznn61">
    <w:name w:val="Světlá tabulka s mřížkou 1 – zvýraznění 61"/>
    <w:basedOn w:val="Normlntabulka"/>
    <w:uiPriority w:val="46"/>
    <w:rsid w:val="006A1DF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6A1DF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adpis6Char">
    <w:name w:val="Nadpis 6 Char"/>
    <w:basedOn w:val="Standardnpsmoodstavce"/>
    <w:link w:val="Nadpis6"/>
    <w:rsid w:val="00C72196"/>
    <w:rPr>
      <w:rFonts w:asciiTheme="majorHAnsi" w:eastAsiaTheme="majorEastAsia" w:hAnsiTheme="majorHAnsi" w:cstheme="majorBidi"/>
      <w:color w:val="0000DC"/>
      <w:sz w:val="20"/>
    </w:rPr>
  </w:style>
  <w:style w:type="character" w:customStyle="1" w:styleId="Nadpis7Char">
    <w:name w:val="Nadpis 7 Char"/>
    <w:basedOn w:val="Standardnpsmoodstavce"/>
    <w:link w:val="Nadpis7"/>
    <w:rsid w:val="00C72196"/>
    <w:rPr>
      <w:rFonts w:asciiTheme="majorHAnsi" w:eastAsiaTheme="majorEastAsia" w:hAnsiTheme="majorHAnsi" w:cstheme="majorBidi"/>
      <w:i/>
      <w:iCs/>
      <w:color w:val="0000DC"/>
      <w:sz w:val="20"/>
    </w:rPr>
  </w:style>
  <w:style w:type="character" w:styleId="Odkazintenzivn">
    <w:name w:val="Intense Reference"/>
    <w:basedOn w:val="Standardnpsmoodstavce"/>
    <w:uiPriority w:val="32"/>
    <w:rsid w:val="00F640BF"/>
    <w:rPr>
      <w:b/>
      <w:bCs/>
      <w:smallCaps/>
      <w:color w:val="0000DC"/>
      <w:spacing w:val="5"/>
    </w:rPr>
  </w:style>
  <w:style w:type="paragraph" w:styleId="Vrazncitt">
    <w:name w:val="Intense Quote"/>
    <w:basedOn w:val="Normln"/>
    <w:next w:val="Normln"/>
    <w:link w:val="VrazncittChar"/>
    <w:uiPriority w:val="30"/>
    <w:rsid w:val="00625887"/>
    <w:pPr>
      <w:pBdr>
        <w:top w:val="single" w:sz="4" w:space="10" w:color="0000DC"/>
        <w:bottom w:val="single" w:sz="4" w:space="10" w:color="0000DC"/>
      </w:pBdr>
      <w:spacing w:before="360" w:after="360"/>
      <w:ind w:left="864" w:right="864"/>
      <w:jc w:val="center"/>
    </w:pPr>
    <w:rPr>
      <w:i/>
      <w:iCs/>
      <w:color w:val="0000DC"/>
    </w:rPr>
  </w:style>
  <w:style w:type="character" w:customStyle="1" w:styleId="VrazncittChar">
    <w:name w:val="Výrazný citát Char"/>
    <w:basedOn w:val="Standardnpsmoodstavce"/>
    <w:link w:val="Vrazncitt"/>
    <w:uiPriority w:val="30"/>
    <w:rsid w:val="00625887"/>
    <w:rPr>
      <w:rFonts w:ascii="Arial" w:hAnsi="Arial"/>
      <w:i/>
      <w:iCs/>
      <w:color w:val="0000DC"/>
      <w:sz w:val="20"/>
    </w:rPr>
  </w:style>
  <w:style w:type="paragraph" w:customStyle="1" w:styleId="Odrka">
    <w:name w:val="Odrážka"/>
    <w:basedOn w:val="Normln"/>
    <w:qFormat/>
    <w:rsid w:val="006D4300"/>
    <w:pPr>
      <w:numPr>
        <w:numId w:val="1"/>
      </w:numPr>
      <w:spacing w:after="120" w:line="240" w:lineRule="exact"/>
      <w:contextualSpacing/>
      <w:jc w:val="left"/>
    </w:pPr>
    <w:rPr>
      <w:rFonts w:eastAsiaTheme="minorHAnsi" w:cstheme="minorBidi"/>
      <w:bCs/>
      <w:lang w:eastAsia="en-US"/>
    </w:rPr>
  </w:style>
  <w:style w:type="paragraph" w:customStyle="1" w:styleId="Odstavecseseznamem2">
    <w:name w:val="Odstavec se seznamem 2"/>
    <w:basedOn w:val="Odstavecseseznamem"/>
    <w:qFormat/>
    <w:rsid w:val="00D15223"/>
  </w:style>
  <w:style w:type="paragraph" w:customStyle="1" w:styleId="slovanodrka">
    <w:name w:val="Číslovaná odrážka"/>
    <w:basedOn w:val="Odrka"/>
    <w:qFormat/>
    <w:rsid w:val="00D15223"/>
    <w:pPr>
      <w:numPr>
        <w:numId w:val="3"/>
      </w:numPr>
    </w:pPr>
    <w:rPr>
      <w:bCs w:val="0"/>
    </w:rPr>
  </w:style>
  <w:style w:type="character" w:styleId="Zdraznnintenzivn">
    <w:name w:val="Intense Emphasis"/>
    <w:basedOn w:val="Standardnpsmoodstavce"/>
    <w:uiPriority w:val="21"/>
    <w:rsid w:val="0014328A"/>
    <w:rPr>
      <w:i/>
      <w:iCs/>
      <w:color w:val="0000DC"/>
    </w:rPr>
  </w:style>
  <w:style w:type="paragraph" w:customStyle="1" w:styleId="Zpatsslovnmstrnky">
    <w:name w:val="Zápatí s číslováním stránky"/>
    <w:basedOn w:val="Zpat"/>
    <w:link w:val="ZpatsslovnmstrnkyChar"/>
    <w:rsid w:val="0014328A"/>
    <w:pPr>
      <w:tabs>
        <w:tab w:val="clear" w:pos="4536"/>
        <w:tab w:val="clear" w:pos="9072"/>
        <w:tab w:val="left" w:pos="0"/>
      </w:tabs>
      <w:spacing w:line="240" w:lineRule="exact"/>
      <w:ind w:left="-680"/>
      <w:jc w:val="left"/>
    </w:pPr>
    <w:rPr>
      <w:rFonts w:eastAsiaTheme="minorHAnsi"/>
      <w:szCs w:val="14"/>
      <w:lang w:eastAsia="en-US"/>
    </w:rPr>
  </w:style>
  <w:style w:type="paragraph" w:customStyle="1" w:styleId="slovnstrnky">
    <w:name w:val="Číslování stránky"/>
    <w:basedOn w:val="Zpatsslovnmstrnky"/>
    <w:link w:val="slovnstrnkyChar"/>
    <w:qFormat/>
    <w:rsid w:val="009B2E26"/>
    <w:rPr>
      <w:color w:val="000000" w:themeColor="text1"/>
      <w:sz w:val="20"/>
      <w:szCs w:val="20"/>
    </w:rPr>
  </w:style>
  <w:style w:type="character" w:customStyle="1" w:styleId="ZpatsslovnmstrnkyChar">
    <w:name w:val="Zápatí s číslováním stránky Char"/>
    <w:basedOn w:val="ZpatChar"/>
    <w:link w:val="Zpatsslovnmstrnky"/>
    <w:rsid w:val="009B2E26"/>
    <w:rPr>
      <w:rFonts w:ascii="Arial" w:eastAsiaTheme="minorHAnsi" w:hAnsi="Arial" w:cs="Arial"/>
      <w:color w:val="0000DC"/>
      <w:sz w:val="16"/>
      <w:szCs w:val="14"/>
      <w:lang w:eastAsia="en-US"/>
    </w:rPr>
  </w:style>
  <w:style w:type="character" w:customStyle="1" w:styleId="slovnstrnkyChar">
    <w:name w:val="Číslování stránky Char"/>
    <w:basedOn w:val="ZpatsslovnmstrnkyChar"/>
    <w:link w:val="slovnstrnky"/>
    <w:rsid w:val="009B2E26"/>
    <w:rPr>
      <w:rFonts w:ascii="Arial" w:eastAsiaTheme="minorHAnsi" w:hAnsi="Arial" w:cs="Arial"/>
      <w:color w:val="000000" w:themeColor="text1"/>
      <w:sz w:val="20"/>
      <w:szCs w:val="20"/>
      <w:lang w:eastAsia="en-US"/>
    </w:rPr>
  </w:style>
  <w:style w:type="paragraph" w:customStyle="1" w:styleId="Zpatprvnstrnky-univerzita">
    <w:name w:val="Zápatí první stránky - univerzita"/>
    <w:basedOn w:val="Normln"/>
    <w:next w:val="Zpat"/>
    <w:qFormat/>
    <w:rsid w:val="00FB21D4"/>
    <w:pPr>
      <w:tabs>
        <w:tab w:val="center" w:pos="4536"/>
        <w:tab w:val="right" w:pos="9072"/>
      </w:tabs>
      <w:spacing w:after="0" w:line="240" w:lineRule="exact"/>
      <w:jc w:val="left"/>
    </w:pPr>
    <w:rPr>
      <w:rFonts w:eastAsiaTheme="minorHAnsi" w:cs="Arial"/>
      <w:b/>
      <w:color w:val="0000DC"/>
      <w:sz w:val="16"/>
      <w:szCs w:val="16"/>
      <w:lang w:eastAsia="en-US"/>
    </w:rPr>
  </w:style>
  <w:style w:type="paragraph" w:customStyle="1" w:styleId="Nzevdokumentu">
    <w:name w:val="Název dokumentu"/>
    <w:basedOn w:val="Normln"/>
    <w:qFormat/>
    <w:rsid w:val="00DB1743"/>
    <w:pPr>
      <w:spacing w:line="640" w:lineRule="exact"/>
    </w:pPr>
    <w:rPr>
      <w:b/>
      <w:color w:val="0000DC"/>
      <w:sz w:val="52"/>
      <w:szCs w:val="52"/>
    </w:rPr>
  </w:style>
  <w:style w:type="paragraph" w:customStyle="1" w:styleId="Podtituldokumentu">
    <w:name w:val="Podtitul dokumentu"/>
    <w:basedOn w:val="Normln"/>
    <w:qFormat/>
    <w:rsid w:val="00EB2CFA"/>
    <w:rPr>
      <w:color w:val="0000DC"/>
      <w:sz w:val="52"/>
      <w:szCs w:val="52"/>
    </w:rPr>
  </w:style>
  <w:style w:type="paragraph" w:styleId="Nadpisobsahu">
    <w:name w:val="TOC Heading"/>
    <w:basedOn w:val="Nadpis1"/>
    <w:next w:val="Normln"/>
    <w:uiPriority w:val="39"/>
    <w:unhideWhenUsed/>
    <w:qFormat/>
    <w:rsid w:val="001902BE"/>
    <w:pPr>
      <w:suppressAutoHyphens w:val="0"/>
      <w:spacing w:before="240"/>
      <w:jc w:val="left"/>
      <w:outlineLvl w:val="9"/>
    </w:pPr>
    <w:rPr>
      <w:b w:val="0"/>
      <w:bCs w:val="0"/>
      <w:szCs w:val="32"/>
      <w:lang w:eastAsia="cs-CZ"/>
    </w:rPr>
  </w:style>
  <w:style w:type="paragraph" w:styleId="Obsah1">
    <w:name w:val="toc 1"/>
    <w:basedOn w:val="Normln"/>
    <w:next w:val="Normln"/>
    <w:autoRedefine/>
    <w:uiPriority w:val="39"/>
    <w:locked/>
    <w:rsid w:val="00E224E8"/>
    <w:pPr>
      <w:spacing w:after="120"/>
      <w:ind w:left="397" w:hanging="397"/>
    </w:pPr>
  </w:style>
  <w:style w:type="paragraph" w:styleId="Obsah2">
    <w:name w:val="toc 2"/>
    <w:basedOn w:val="Normln"/>
    <w:next w:val="Normln"/>
    <w:autoRedefine/>
    <w:uiPriority w:val="39"/>
    <w:locked/>
    <w:rsid w:val="001D7C1D"/>
    <w:pPr>
      <w:tabs>
        <w:tab w:val="left" w:pos="993"/>
        <w:tab w:val="right" w:leader="dot" w:pos="9174"/>
      </w:tabs>
      <w:spacing w:after="120" w:line="240" w:lineRule="auto"/>
      <w:ind w:left="964" w:hanging="567"/>
    </w:pPr>
    <w:rPr>
      <w:noProof/>
    </w:rPr>
  </w:style>
  <w:style w:type="paragraph" w:styleId="Obsah3">
    <w:name w:val="toc 3"/>
    <w:basedOn w:val="Normln"/>
    <w:next w:val="Normln"/>
    <w:autoRedefine/>
    <w:uiPriority w:val="39"/>
    <w:locked/>
    <w:rsid w:val="00880A53"/>
    <w:pPr>
      <w:tabs>
        <w:tab w:val="right" w:leader="dot" w:pos="9174"/>
      </w:tabs>
      <w:spacing w:after="120" w:line="240" w:lineRule="auto"/>
      <w:ind w:left="1276"/>
    </w:pPr>
    <w:rPr>
      <w:noProof/>
      <w:lang w:eastAsia="ar-SA"/>
    </w:rPr>
  </w:style>
  <w:style w:type="character" w:customStyle="1" w:styleId="Nevyeenzmnka1">
    <w:name w:val="Nevyřešená zmínka1"/>
    <w:basedOn w:val="Standardnpsmoodstavce"/>
    <w:uiPriority w:val="99"/>
    <w:semiHidden/>
    <w:unhideWhenUsed/>
    <w:rsid w:val="00584423"/>
    <w:rPr>
      <w:color w:val="605E5C"/>
      <w:shd w:val="clear" w:color="auto" w:fill="E1DFDD"/>
    </w:rPr>
  </w:style>
  <w:style w:type="paragraph" w:styleId="Obsah4">
    <w:name w:val="toc 4"/>
    <w:basedOn w:val="Normln"/>
    <w:next w:val="Normln"/>
    <w:autoRedefine/>
    <w:uiPriority w:val="39"/>
    <w:locked/>
    <w:rsid w:val="004B3B68"/>
    <w:pPr>
      <w:tabs>
        <w:tab w:val="right" w:leader="dot" w:pos="9174"/>
      </w:tabs>
      <w:spacing w:after="100"/>
      <w:ind w:left="2124"/>
    </w:pPr>
    <w:rPr>
      <w:noProof/>
      <w:lang w:eastAsia="ar-SA"/>
    </w:rPr>
  </w:style>
  <w:style w:type="paragraph" w:customStyle="1" w:styleId="Obrzeknebografnastedspopiskem">
    <w:name w:val="Obrázek nebo graf na střed s popiskem"/>
    <w:basedOn w:val="Normln"/>
    <w:qFormat/>
    <w:rsid w:val="00AA27A4"/>
    <w:pPr>
      <w:jc w:val="center"/>
    </w:pPr>
    <w:rPr>
      <w:i/>
      <w:noProof/>
      <w:sz w:val="18"/>
    </w:rPr>
  </w:style>
  <w:style w:type="character" w:styleId="Nevyeenzmnka">
    <w:name w:val="Unresolved Mention"/>
    <w:basedOn w:val="Standardnpsmoodstavce"/>
    <w:uiPriority w:val="99"/>
    <w:semiHidden/>
    <w:unhideWhenUsed/>
    <w:rsid w:val="00E735D1"/>
    <w:rPr>
      <w:color w:val="605E5C"/>
      <w:shd w:val="clear" w:color="auto" w:fill="E1DFDD"/>
    </w:rPr>
  </w:style>
  <w:style w:type="paragraph" w:styleId="Podnadpis">
    <w:name w:val="Subtitle"/>
    <w:basedOn w:val="Normln"/>
    <w:next w:val="Normln"/>
    <w:link w:val="PodnadpisChar"/>
    <w:locked/>
    <w:rsid w:val="00E735D1"/>
    <w:pPr>
      <w:numPr>
        <w:ilvl w:val="1"/>
      </w:numPr>
      <w:spacing w:after="160"/>
    </w:pPr>
    <w:rPr>
      <w:rFonts w:eastAsiaTheme="minorEastAsia" w:cstheme="minorBidi"/>
      <w:color w:val="000000" w:themeColor="text1"/>
      <w:spacing w:val="15"/>
      <w:sz w:val="22"/>
    </w:rPr>
  </w:style>
  <w:style w:type="character" w:customStyle="1" w:styleId="PodnadpisChar">
    <w:name w:val="Podnadpis Char"/>
    <w:basedOn w:val="Standardnpsmoodstavce"/>
    <w:link w:val="Podnadpis"/>
    <w:rsid w:val="00E735D1"/>
    <w:rPr>
      <w:rFonts w:ascii="Arial" w:eastAsiaTheme="minorEastAsia" w:hAnsi="Arial" w:cstheme="minorBidi"/>
      <w:color w:val="000000" w:themeColor="text1"/>
      <w:spacing w:val="15"/>
    </w:rPr>
  </w:style>
  <w:style w:type="character" w:customStyle="1" w:styleId="Nadpis8Char">
    <w:name w:val="Nadpis 8 Char"/>
    <w:basedOn w:val="Standardnpsmoodstavce"/>
    <w:link w:val="Nadpis8"/>
    <w:rsid w:val="00F04729"/>
    <w:rPr>
      <w:rFonts w:asciiTheme="majorHAnsi" w:eastAsiaTheme="majorEastAsia" w:hAnsiTheme="majorHAnsi" w:cstheme="majorBidi"/>
      <w:color w:val="272727" w:themeColor="text1" w:themeTint="D8"/>
      <w:sz w:val="21"/>
      <w:szCs w:val="21"/>
    </w:rPr>
  </w:style>
  <w:style w:type="paragraph" w:customStyle="1" w:styleId="l5">
    <w:name w:val="l5"/>
    <w:basedOn w:val="Normln"/>
    <w:rsid w:val="00890E4F"/>
    <w:pPr>
      <w:spacing w:before="100" w:beforeAutospacing="1" w:after="100" w:afterAutospacing="1" w:line="240" w:lineRule="auto"/>
      <w:jc w:val="left"/>
    </w:pPr>
    <w:rPr>
      <w:rFonts w:ascii="Times New Roman" w:eastAsia="Times New Roman" w:hAnsi="Times New Roman"/>
      <w:sz w:val="24"/>
      <w:szCs w:val="24"/>
    </w:rPr>
  </w:style>
  <w:style w:type="paragraph" w:customStyle="1" w:styleId="l6">
    <w:name w:val="l6"/>
    <w:basedOn w:val="Normln"/>
    <w:rsid w:val="00890E4F"/>
    <w:pPr>
      <w:spacing w:before="100" w:beforeAutospacing="1" w:after="100" w:afterAutospacing="1" w:line="240" w:lineRule="auto"/>
      <w:jc w:val="left"/>
    </w:pPr>
    <w:rPr>
      <w:rFonts w:ascii="Times New Roman" w:eastAsia="Times New Roman" w:hAnsi="Times New Roman"/>
      <w:sz w:val="24"/>
      <w:szCs w:val="24"/>
    </w:rPr>
  </w:style>
  <w:style w:type="character" w:styleId="PromnnHTML">
    <w:name w:val="HTML Variable"/>
    <w:basedOn w:val="Standardnpsmoodstavce"/>
    <w:uiPriority w:val="99"/>
    <w:semiHidden/>
    <w:unhideWhenUsed/>
    <w:rsid w:val="00890E4F"/>
    <w:rPr>
      <w:i/>
      <w:iCs/>
    </w:rPr>
  </w:style>
  <w:style w:type="paragraph" w:customStyle="1" w:styleId="l2">
    <w:name w:val="l2"/>
    <w:basedOn w:val="Normln"/>
    <w:rsid w:val="003A2BE3"/>
    <w:pPr>
      <w:spacing w:before="100" w:beforeAutospacing="1" w:after="100" w:afterAutospacing="1" w:line="240" w:lineRule="auto"/>
      <w:jc w:val="left"/>
    </w:pPr>
    <w:rPr>
      <w:rFonts w:ascii="Times New Roman" w:eastAsia="Times New Roman" w:hAnsi="Times New Roman"/>
      <w:sz w:val="24"/>
      <w:szCs w:val="24"/>
    </w:rPr>
  </w:style>
  <w:style w:type="paragraph" w:customStyle="1" w:styleId="l3">
    <w:name w:val="l3"/>
    <w:basedOn w:val="Normln"/>
    <w:rsid w:val="003A2BE3"/>
    <w:pPr>
      <w:spacing w:before="100" w:beforeAutospacing="1" w:after="100" w:afterAutospacing="1" w:line="240" w:lineRule="auto"/>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94884">
      <w:bodyDiv w:val="1"/>
      <w:marLeft w:val="0"/>
      <w:marRight w:val="0"/>
      <w:marTop w:val="0"/>
      <w:marBottom w:val="0"/>
      <w:divBdr>
        <w:top w:val="none" w:sz="0" w:space="0" w:color="auto"/>
        <w:left w:val="none" w:sz="0" w:space="0" w:color="auto"/>
        <w:bottom w:val="none" w:sz="0" w:space="0" w:color="auto"/>
        <w:right w:val="none" w:sz="0" w:space="0" w:color="auto"/>
      </w:divBdr>
    </w:div>
    <w:div w:id="271209794">
      <w:bodyDiv w:val="1"/>
      <w:marLeft w:val="0"/>
      <w:marRight w:val="0"/>
      <w:marTop w:val="0"/>
      <w:marBottom w:val="0"/>
      <w:divBdr>
        <w:top w:val="none" w:sz="0" w:space="0" w:color="auto"/>
        <w:left w:val="none" w:sz="0" w:space="0" w:color="auto"/>
        <w:bottom w:val="none" w:sz="0" w:space="0" w:color="auto"/>
        <w:right w:val="none" w:sz="0" w:space="0" w:color="auto"/>
      </w:divBdr>
    </w:div>
    <w:div w:id="306210523">
      <w:bodyDiv w:val="1"/>
      <w:marLeft w:val="0"/>
      <w:marRight w:val="0"/>
      <w:marTop w:val="0"/>
      <w:marBottom w:val="0"/>
      <w:divBdr>
        <w:top w:val="none" w:sz="0" w:space="0" w:color="auto"/>
        <w:left w:val="none" w:sz="0" w:space="0" w:color="auto"/>
        <w:bottom w:val="none" w:sz="0" w:space="0" w:color="auto"/>
        <w:right w:val="none" w:sz="0" w:space="0" w:color="auto"/>
      </w:divBdr>
    </w:div>
    <w:div w:id="476186058">
      <w:marLeft w:val="0"/>
      <w:marRight w:val="0"/>
      <w:marTop w:val="0"/>
      <w:marBottom w:val="0"/>
      <w:divBdr>
        <w:top w:val="none" w:sz="0" w:space="0" w:color="auto"/>
        <w:left w:val="none" w:sz="0" w:space="0" w:color="auto"/>
        <w:bottom w:val="none" w:sz="0" w:space="0" w:color="auto"/>
        <w:right w:val="none" w:sz="0" w:space="0" w:color="auto"/>
      </w:divBdr>
      <w:divsChild>
        <w:div w:id="476186062">
          <w:marLeft w:val="0"/>
          <w:marRight w:val="0"/>
          <w:marTop w:val="0"/>
          <w:marBottom w:val="0"/>
          <w:divBdr>
            <w:top w:val="none" w:sz="0" w:space="0" w:color="auto"/>
            <w:left w:val="none" w:sz="0" w:space="0" w:color="auto"/>
            <w:bottom w:val="none" w:sz="0" w:space="0" w:color="auto"/>
            <w:right w:val="none" w:sz="0" w:space="0" w:color="auto"/>
          </w:divBdr>
        </w:div>
      </w:divsChild>
    </w:div>
    <w:div w:id="476186059">
      <w:marLeft w:val="0"/>
      <w:marRight w:val="0"/>
      <w:marTop w:val="0"/>
      <w:marBottom w:val="0"/>
      <w:divBdr>
        <w:top w:val="none" w:sz="0" w:space="0" w:color="auto"/>
        <w:left w:val="none" w:sz="0" w:space="0" w:color="auto"/>
        <w:bottom w:val="none" w:sz="0" w:space="0" w:color="auto"/>
        <w:right w:val="none" w:sz="0" w:space="0" w:color="auto"/>
      </w:divBdr>
    </w:div>
    <w:div w:id="476186060">
      <w:marLeft w:val="0"/>
      <w:marRight w:val="0"/>
      <w:marTop w:val="0"/>
      <w:marBottom w:val="0"/>
      <w:divBdr>
        <w:top w:val="none" w:sz="0" w:space="0" w:color="auto"/>
        <w:left w:val="none" w:sz="0" w:space="0" w:color="auto"/>
        <w:bottom w:val="none" w:sz="0" w:space="0" w:color="auto"/>
        <w:right w:val="none" w:sz="0" w:space="0" w:color="auto"/>
      </w:divBdr>
    </w:div>
    <w:div w:id="476186061">
      <w:marLeft w:val="0"/>
      <w:marRight w:val="0"/>
      <w:marTop w:val="0"/>
      <w:marBottom w:val="0"/>
      <w:divBdr>
        <w:top w:val="none" w:sz="0" w:space="0" w:color="auto"/>
        <w:left w:val="none" w:sz="0" w:space="0" w:color="auto"/>
        <w:bottom w:val="none" w:sz="0" w:space="0" w:color="auto"/>
        <w:right w:val="none" w:sz="0" w:space="0" w:color="auto"/>
      </w:divBdr>
    </w:div>
    <w:div w:id="476186063">
      <w:marLeft w:val="0"/>
      <w:marRight w:val="0"/>
      <w:marTop w:val="0"/>
      <w:marBottom w:val="0"/>
      <w:divBdr>
        <w:top w:val="none" w:sz="0" w:space="0" w:color="auto"/>
        <w:left w:val="none" w:sz="0" w:space="0" w:color="auto"/>
        <w:bottom w:val="none" w:sz="0" w:space="0" w:color="auto"/>
        <w:right w:val="none" w:sz="0" w:space="0" w:color="auto"/>
      </w:divBdr>
    </w:div>
    <w:div w:id="584611174">
      <w:bodyDiv w:val="1"/>
      <w:marLeft w:val="0"/>
      <w:marRight w:val="0"/>
      <w:marTop w:val="0"/>
      <w:marBottom w:val="0"/>
      <w:divBdr>
        <w:top w:val="none" w:sz="0" w:space="0" w:color="auto"/>
        <w:left w:val="none" w:sz="0" w:space="0" w:color="auto"/>
        <w:bottom w:val="none" w:sz="0" w:space="0" w:color="auto"/>
        <w:right w:val="none" w:sz="0" w:space="0" w:color="auto"/>
      </w:divBdr>
    </w:div>
    <w:div w:id="766463046">
      <w:bodyDiv w:val="1"/>
      <w:marLeft w:val="0"/>
      <w:marRight w:val="0"/>
      <w:marTop w:val="0"/>
      <w:marBottom w:val="0"/>
      <w:divBdr>
        <w:top w:val="none" w:sz="0" w:space="0" w:color="auto"/>
        <w:left w:val="none" w:sz="0" w:space="0" w:color="auto"/>
        <w:bottom w:val="none" w:sz="0" w:space="0" w:color="auto"/>
        <w:right w:val="none" w:sz="0" w:space="0" w:color="auto"/>
      </w:divBdr>
    </w:div>
    <w:div w:id="809322256">
      <w:bodyDiv w:val="1"/>
      <w:marLeft w:val="0"/>
      <w:marRight w:val="0"/>
      <w:marTop w:val="0"/>
      <w:marBottom w:val="0"/>
      <w:divBdr>
        <w:top w:val="none" w:sz="0" w:space="0" w:color="auto"/>
        <w:left w:val="none" w:sz="0" w:space="0" w:color="auto"/>
        <w:bottom w:val="none" w:sz="0" w:space="0" w:color="auto"/>
        <w:right w:val="none" w:sz="0" w:space="0" w:color="auto"/>
      </w:divBdr>
    </w:div>
    <w:div w:id="981040122">
      <w:bodyDiv w:val="1"/>
      <w:marLeft w:val="0"/>
      <w:marRight w:val="0"/>
      <w:marTop w:val="0"/>
      <w:marBottom w:val="0"/>
      <w:divBdr>
        <w:top w:val="none" w:sz="0" w:space="0" w:color="auto"/>
        <w:left w:val="none" w:sz="0" w:space="0" w:color="auto"/>
        <w:bottom w:val="none" w:sz="0" w:space="0" w:color="auto"/>
        <w:right w:val="none" w:sz="0" w:space="0" w:color="auto"/>
      </w:divBdr>
    </w:div>
    <w:div w:id="1570001247">
      <w:bodyDiv w:val="1"/>
      <w:marLeft w:val="0"/>
      <w:marRight w:val="0"/>
      <w:marTop w:val="0"/>
      <w:marBottom w:val="0"/>
      <w:divBdr>
        <w:top w:val="none" w:sz="0" w:space="0" w:color="auto"/>
        <w:left w:val="none" w:sz="0" w:space="0" w:color="auto"/>
        <w:bottom w:val="none" w:sz="0" w:space="0" w:color="auto"/>
        <w:right w:val="none" w:sz="0" w:space="0" w:color="auto"/>
      </w:divBdr>
    </w:div>
    <w:div w:id="1826118554">
      <w:bodyDiv w:val="1"/>
      <w:marLeft w:val="0"/>
      <w:marRight w:val="0"/>
      <w:marTop w:val="0"/>
      <w:marBottom w:val="0"/>
      <w:divBdr>
        <w:top w:val="none" w:sz="0" w:space="0" w:color="auto"/>
        <w:left w:val="none" w:sz="0" w:space="0" w:color="auto"/>
        <w:bottom w:val="none" w:sz="0" w:space="0" w:color="auto"/>
        <w:right w:val="none" w:sz="0" w:space="0" w:color="auto"/>
      </w:divBdr>
      <w:divsChild>
        <w:div w:id="172109152">
          <w:marLeft w:val="1166"/>
          <w:marRight w:val="0"/>
          <w:marTop w:val="0"/>
          <w:marBottom w:val="0"/>
          <w:divBdr>
            <w:top w:val="none" w:sz="0" w:space="0" w:color="auto"/>
            <w:left w:val="none" w:sz="0" w:space="0" w:color="auto"/>
            <w:bottom w:val="none" w:sz="0" w:space="0" w:color="auto"/>
            <w:right w:val="none" w:sz="0" w:space="0" w:color="auto"/>
          </w:divBdr>
        </w:div>
        <w:div w:id="1205486636">
          <w:marLeft w:val="1166"/>
          <w:marRight w:val="0"/>
          <w:marTop w:val="0"/>
          <w:marBottom w:val="0"/>
          <w:divBdr>
            <w:top w:val="none" w:sz="0" w:space="0" w:color="auto"/>
            <w:left w:val="none" w:sz="0" w:space="0" w:color="auto"/>
            <w:bottom w:val="none" w:sz="0" w:space="0" w:color="auto"/>
            <w:right w:val="none" w:sz="0" w:space="0" w:color="auto"/>
          </w:divBdr>
        </w:div>
        <w:div w:id="1997566705">
          <w:marLeft w:val="1166"/>
          <w:marRight w:val="0"/>
          <w:marTop w:val="0"/>
          <w:marBottom w:val="0"/>
          <w:divBdr>
            <w:top w:val="none" w:sz="0" w:space="0" w:color="auto"/>
            <w:left w:val="none" w:sz="0" w:space="0" w:color="auto"/>
            <w:bottom w:val="none" w:sz="0" w:space="0" w:color="auto"/>
            <w:right w:val="none" w:sz="0" w:space="0" w:color="auto"/>
          </w:divBdr>
        </w:div>
        <w:div w:id="2013340523">
          <w:marLeft w:val="1166"/>
          <w:marRight w:val="0"/>
          <w:marTop w:val="0"/>
          <w:marBottom w:val="0"/>
          <w:divBdr>
            <w:top w:val="none" w:sz="0" w:space="0" w:color="auto"/>
            <w:left w:val="none" w:sz="0" w:space="0" w:color="auto"/>
            <w:bottom w:val="none" w:sz="0" w:space="0" w:color="auto"/>
            <w:right w:val="none" w:sz="0" w:space="0" w:color="auto"/>
          </w:divBdr>
        </w:div>
        <w:div w:id="1255474824">
          <w:marLeft w:val="1166"/>
          <w:marRight w:val="0"/>
          <w:marTop w:val="0"/>
          <w:marBottom w:val="0"/>
          <w:divBdr>
            <w:top w:val="none" w:sz="0" w:space="0" w:color="auto"/>
            <w:left w:val="none" w:sz="0" w:space="0" w:color="auto"/>
            <w:bottom w:val="none" w:sz="0" w:space="0" w:color="auto"/>
            <w:right w:val="none" w:sz="0" w:space="0" w:color="auto"/>
          </w:divBdr>
        </w:div>
        <w:div w:id="429811403">
          <w:marLeft w:val="1166"/>
          <w:marRight w:val="0"/>
          <w:marTop w:val="0"/>
          <w:marBottom w:val="0"/>
          <w:divBdr>
            <w:top w:val="none" w:sz="0" w:space="0" w:color="auto"/>
            <w:left w:val="none" w:sz="0" w:space="0" w:color="auto"/>
            <w:bottom w:val="none" w:sz="0" w:space="0" w:color="auto"/>
            <w:right w:val="none" w:sz="0" w:space="0" w:color="auto"/>
          </w:divBdr>
        </w:div>
        <w:div w:id="102000049">
          <w:marLeft w:val="1166"/>
          <w:marRight w:val="0"/>
          <w:marTop w:val="0"/>
          <w:marBottom w:val="0"/>
          <w:divBdr>
            <w:top w:val="none" w:sz="0" w:space="0" w:color="auto"/>
            <w:left w:val="none" w:sz="0" w:space="0" w:color="auto"/>
            <w:bottom w:val="none" w:sz="0" w:space="0" w:color="auto"/>
            <w:right w:val="none" w:sz="0" w:space="0" w:color="auto"/>
          </w:divBdr>
        </w:div>
        <w:div w:id="954365930">
          <w:marLeft w:val="1166"/>
          <w:marRight w:val="0"/>
          <w:marTop w:val="0"/>
          <w:marBottom w:val="0"/>
          <w:divBdr>
            <w:top w:val="none" w:sz="0" w:space="0" w:color="auto"/>
            <w:left w:val="none" w:sz="0" w:space="0" w:color="auto"/>
            <w:bottom w:val="none" w:sz="0" w:space="0" w:color="auto"/>
            <w:right w:val="none" w:sz="0" w:space="0" w:color="auto"/>
          </w:divBdr>
        </w:div>
        <w:div w:id="670792259">
          <w:marLeft w:val="1166"/>
          <w:marRight w:val="0"/>
          <w:marTop w:val="0"/>
          <w:marBottom w:val="0"/>
          <w:divBdr>
            <w:top w:val="none" w:sz="0" w:space="0" w:color="auto"/>
            <w:left w:val="none" w:sz="0" w:space="0" w:color="auto"/>
            <w:bottom w:val="none" w:sz="0" w:space="0" w:color="auto"/>
            <w:right w:val="none" w:sz="0" w:space="0" w:color="auto"/>
          </w:divBdr>
        </w:div>
        <w:div w:id="1269003760">
          <w:marLeft w:val="1166"/>
          <w:marRight w:val="0"/>
          <w:marTop w:val="0"/>
          <w:marBottom w:val="0"/>
          <w:divBdr>
            <w:top w:val="none" w:sz="0" w:space="0" w:color="auto"/>
            <w:left w:val="none" w:sz="0" w:space="0" w:color="auto"/>
            <w:bottom w:val="none" w:sz="0" w:space="0" w:color="auto"/>
            <w:right w:val="none" w:sz="0" w:space="0" w:color="auto"/>
          </w:divBdr>
        </w:div>
        <w:div w:id="1748454071">
          <w:marLeft w:val="1166"/>
          <w:marRight w:val="0"/>
          <w:marTop w:val="0"/>
          <w:marBottom w:val="0"/>
          <w:divBdr>
            <w:top w:val="none" w:sz="0" w:space="0" w:color="auto"/>
            <w:left w:val="none" w:sz="0" w:space="0" w:color="auto"/>
            <w:bottom w:val="none" w:sz="0" w:space="0" w:color="auto"/>
            <w:right w:val="none" w:sz="0" w:space="0" w:color="auto"/>
          </w:divBdr>
        </w:div>
      </w:divsChild>
    </w:div>
    <w:div w:id="188686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image" Target="media/image12.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5351\Downloads\edu_hlavickovy_papir_cz_barva.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CE1B73-2A4B-4D1A-9F5E-8250CD02994B}" type="doc">
      <dgm:prSet loTypeId="urn:microsoft.com/office/officeart/2005/8/layout/pyramid1" loCatId="pyramid" qsTypeId="urn:microsoft.com/office/officeart/2005/8/quickstyle/simple1" qsCatId="simple" csTypeId="urn:microsoft.com/office/officeart/2005/8/colors/accent1_2" csCatId="accent1" phldr="1"/>
      <dgm:spPr/>
    </dgm:pt>
    <dgm:pt modelId="{F36BBC58-9180-4FA3-94CF-29FEED8782EC}">
      <dgm:prSet phldrT="[Text]" custT="1"/>
      <dgm:spPr/>
      <dgm:t>
        <a:bodyPr/>
        <a:lstStyle/>
        <a:p>
          <a:pPr algn="ctr"/>
          <a:r>
            <a:rPr lang="cs-CZ" sz="1400" dirty="0">
              <a:solidFill>
                <a:srgbClr val="FF0000"/>
              </a:solidFill>
            </a:rPr>
            <a:t>ÚSTAVA A ÚSTAVNÍ ZÁKONY </a:t>
          </a:r>
          <a:endParaRPr lang="en-US" sz="1400" dirty="0">
            <a:solidFill>
              <a:srgbClr val="FF0000"/>
            </a:solidFill>
          </a:endParaRPr>
        </a:p>
      </dgm:t>
    </dgm:pt>
    <dgm:pt modelId="{AE8CF9EE-DC47-4964-92E0-E8A95C7E829B}" type="parTrans" cxnId="{1E45D2A7-93EA-4044-85F6-2D79AF1EE287}">
      <dgm:prSet/>
      <dgm:spPr/>
      <dgm:t>
        <a:bodyPr/>
        <a:lstStyle/>
        <a:p>
          <a:pPr algn="ctr"/>
          <a:endParaRPr lang="en-US"/>
        </a:p>
      </dgm:t>
    </dgm:pt>
    <dgm:pt modelId="{C37C108B-1CC8-480D-973C-9AABD3B0E0FD}" type="sibTrans" cxnId="{1E45D2A7-93EA-4044-85F6-2D79AF1EE287}">
      <dgm:prSet/>
      <dgm:spPr/>
      <dgm:t>
        <a:bodyPr/>
        <a:lstStyle/>
        <a:p>
          <a:pPr algn="ctr"/>
          <a:endParaRPr lang="en-US"/>
        </a:p>
      </dgm:t>
    </dgm:pt>
    <dgm:pt modelId="{0267901A-13D5-450D-8D6F-1B84871269E8}">
      <dgm:prSet phldrT="[Text]"/>
      <dgm:spPr/>
      <dgm:t>
        <a:bodyPr/>
        <a:lstStyle/>
        <a:p>
          <a:pPr algn="ctr"/>
          <a:r>
            <a:rPr lang="cs-CZ" dirty="0">
              <a:solidFill>
                <a:srgbClr val="FF0000"/>
              </a:solidFill>
            </a:rPr>
            <a:t>NAŘÍZENÍ VLÁDY</a:t>
          </a:r>
          <a:endParaRPr lang="en-US" dirty="0">
            <a:solidFill>
              <a:srgbClr val="FF0000"/>
            </a:solidFill>
          </a:endParaRPr>
        </a:p>
      </dgm:t>
    </dgm:pt>
    <dgm:pt modelId="{865CC0ED-B1EE-414B-A82A-1B6D3F12FDB3}" type="parTrans" cxnId="{DAF112A4-AFC6-4EDA-87C7-AAF42D541E9A}">
      <dgm:prSet/>
      <dgm:spPr/>
      <dgm:t>
        <a:bodyPr/>
        <a:lstStyle/>
        <a:p>
          <a:pPr algn="ctr"/>
          <a:endParaRPr lang="en-US"/>
        </a:p>
      </dgm:t>
    </dgm:pt>
    <dgm:pt modelId="{EC7E39E0-B62D-440C-92C0-20B34586F2FB}" type="sibTrans" cxnId="{DAF112A4-AFC6-4EDA-87C7-AAF42D541E9A}">
      <dgm:prSet/>
      <dgm:spPr/>
      <dgm:t>
        <a:bodyPr/>
        <a:lstStyle/>
        <a:p>
          <a:pPr algn="ctr"/>
          <a:endParaRPr lang="en-US"/>
        </a:p>
      </dgm:t>
    </dgm:pt>
    <dgm:pt modelId="{1EB1208B-5D28-4DB6-BB14-5A7C6620BAC2}">
      <dgm:prSet phldrT="[Text]"/>
      <dgm:spPr/>
      <dgm:t>
        <a:bodyPr/>
        <a:lstStyle/>
        <a:p>
          <a:pPr algn="ctr"/>
          <a:r>
            <a:rPr lang="cs-CZ" dirty="0">
              <a:solidFill>
                <a:srgbClr val="FF0000"/>
              </a:solidFill>
            </a:rPr>
            <a:t>VYHLÁŠKY MINISTERSTEV</a:t>
          </a:r>
          <a:endParaRPr lang="en-US" dirty="0">
            <a:solidFill>
              <a:srgbClr val="FF0000"/>
            </a:solidFill>
          </a:endParaRPr>
        </a:p>
      </dgm:t>
    </dgm:pt>
    <dgm:pt modelId="{5CDD5E9C-DC1E-4B6B-9A37-70D1BB1088F0}" type="parTrans" cxnId="{CF9BB9A5-6BDC-4610-9DDF-C327DE43C106}">
      <dgm:prSet/>
      <dgm:spPr/>
      <dgm:t>
        <a:bodyPr/>
        <a:lstStyle/>
        <a:p>
          <a:pPr algn="ctr"/>
          <a:endParaRPr lang="en-US"/>
        </a:p>
      </dgm:t>
    </dgm:pt>
    <dgm:pt modelId="{7900D62F-3265-4B22-B8B3-72D1DF320494}" type="sibTrans" cxnId="{CF9BB9A5-6BDC-4610-9DDF-C327DE43C106}">
      <dgm:prSet/>
      <dgm:spPr/>
      <dgm:t>
        <a:bodyPr/>
        <a:lstStyle/>
        <a:p>
          <a:pPr algn="ctr"/>
          <a:endParaRPr lang="en-US"/>
        </a:p>
      </dgm:t>
    </dgm:pt>
    <dgm:pt modelId="{F83801C7-1088-4FF9-B14D-0C5390476677}">
      <dgm:prSet/>
      <dgm:spPr/>
      <dgm:t>
        <a:bodyPr/>
        <a:lstStyle/>
        <a:p>
          <a:pPr algn="ctr"/>
          <a:r>
            <a:rPr lang="cs-CZ" dirty="0">
              <a:solidFill>
                <a:srgbClr val="FF0000"/>
              </a:solidFill>
            </a:rPr>
            <a:t>ZÁKONY A ZÁKONNÁ OPATŘENÍ</a:t>
          </a:r>
          <a:endParaRPr lang="en-US" dirty="0">
            <a:solidFill>
              <a:srgbClr val="FF0000"/>
            </a:solidFill>
          </a:endParaRPr>
        </a:p>
      </dgm:t>
    </dgm:pt>
    <dgm:pt modelId="{0B2D989F-DA6B-486E-B5C5-52BFD5B3CEA0}" type="parTrans" cxnId="{408A6BFE-7171-4A41-85CD-2632AFB01B10}">
      <dgm:prSet/>
      <dgm:spPr/>
      <dgm:t>
        <a:bodyPr/>
        <a:lstStyle/>
        <a:p>
          <a:pPr algn="ctr"/>
          <a:endParaRPr lang="en-US"/>
        </a:p>
      </dgm:t>
    </dgm:pt>
    <dgm:pt modelId="{746344DB-5949-4DC0-ADEB-10BF4904534E}" type="sibTrans" cxnId="{408A6BFE-7171-4A41-85CD-2632AFB01B10}">
      <dgm:prSet/>
      <dgm:spPr/>
      <dgm:t>
        <a:bodyPr/>
        <a:lstStyle/>
        <a:p>
          <a:pPr algn="ctr"/>
          <a:endParaRPr lang="en-US"/>
        </a:p>
      </dgm:t>
    </dgm:pt>
    <dgm:pt modelId="{E5A63708-CEA5-4ADF-91BE-FFDC01A9F63A}">
      <dgm:prSet/>
      <dgm:spPr/>
      <dgm:t>
        <a:bodyPr/>
        <a:lstStyle/>
        <a:p>
          <a:pPr algn="ctr"/>
          <a:r>
            <a:rPr lang="cs-CZ" dirty="0">
              <a:solidFill>
                <a:srgbClr val="FF0000"/>
              </a:solidFill>
            </a:rPr>
            <a:t>OBECNĚ ZÁVAZNÉ VYHLÁŠKY/NAŘÍZENÍ OBCÍ A KRAJŮ</a:t>
          </a:r>
          <a:endParaRPr lang="en-US" dirty="0">
            <a:solidFill>
              <a:srgbClr val="FF0000"/>
            </a:solidFill>
          </a:endParaRPr>
        </a:p>
      </dgm:t>
    </dgm:pt>
    <dgm:pt modelId="{0DAC5814-8CC6-412C-8F81-7CD692E2DFD6}" type="parTrans" cxnId="{EF1E0CA3-D212-4A79-8379-A76CCADBC14A}">
      <dgm:prSet/>
      <dgm:spPr/>
      <dgm:t>
        <a:bodyPr/>
        <a:lstStyle/>
        <a:p>
          <a:pPr algn="ctr"/>
          <a:endParaRPr lang="en-US"/>
        </a:p>
      </dgm:t>
    </dgm:pt>
    <dgm:pt modelId="{4312B6EB-A13A-445D-B568-0F71D7BAE965}" type="sibTrans" cxnId="{EF1E0CA3-D212-4A79-8379-A76CCADBC14A}">
      <dgm:prSet/>
      <dgm:spPr/>
      <dgm:t>
        <a:bodyPr/>
        <a:lstStyle/>
        <a:p>
          <a:pPr algn="ctr"/>
          <a:endParaRPr lang="en-US"/>
        </a:p>
      </dgm:t>
    </dgm:pt>
    <dgm:pt modelId="{2EC8C273-4683-4089-97A6-D4564D1FAD68}" type="pres">
      <dgm:prSet presAssocID="{D2CE1B73-2A4B-4D1A-9F5E-8250CD02994B}" presName="Name0" presStyleCnt="0">
        <dgm:presLayoutVars>
          <dgm:dir/>
          <dgm:animLvl val="lvl"/>
          <dgm:resizeHandles val="exact"/>
        </dgm:presLayoutVars>
      </dgm:prSet>
      <dgm:spPr/>
    </dgm:pt>
    <dgm:pt modelId="{1589123F-E4A1-4C2C-B90D-8EFD1B524FB1}" type="pres">
      <dgm:prSet presAssocID="{F36BBC58-9180-4FA3-94CF-29FEED8782EC}" presName="Name8" presStyleCnt="0"/>
      <dgm:spPr/>
    </dgm:pt>
    <dgm:pt modelId="{5C50E0CC-B74A-4020-B2B0-C2C9B54697AC}" type="pres">
      <dgm:prSet presAssocID="{F36BBC58-9180-4FA3-94CF-29FEED8782EC}" presName="level" presStyleLbl="node1" presStyleIdx="0" presStyleCnt="5">
        <dgm:presLayoutVars>
          <dgm:chMax val="1"/>
          <dgm:bulletEnabled val="1"/>
        </dgm:presLayoutVars>
      </dgm:prSet>
      <dgm:spPr/>
    </dgm:pt>
    <dgm:pt modelId="{E8AABD59-AF81-49C8-ACEB-C25F8D975488}" type="pres">
      <dgm:prSet presAssocID="{F36BBC58-9180-4FA3-94CF-29FEED8782EC}" presName="levelTx" presStyleLbl="revTx" presStyleIdx="0" presStyleCnt="0">
        <dgm:presLayoutVars>
          <dgm:chMax val="1"/>
          <dgm:bulletEnabled val="1"/>
        </dgm:presLayoutVars>
      </dgm:prSet>
      <dgm:spPr/>
    </dgm:pt>
    <dgm:pt modelId="{A2B475FC-2497-4C19-843E-AA32FE177B0E}" type="pres">
      <dgm:prSet presAssocID="{F83801C7-1088-4FF9-B14D-0C5390476677}" presName="Name8" presStyleCnt="0"/>
      <dgm:spPr/>
    </dgm:pt>
    <dgm:pt modelId="{5CD96624-722E-4188-A61E-42249429D442}" type="pres">
      <dgm:prSet presAssocID="{F83801C7-1088-4FF9-B14D-0C5390476677}" presName="level" presStyleLbl="node1" presStyleIdx="1" presStyleCnt="5">
        <dgm:presLayoutVars>
          <dgm:chMax val="1"/>
          <dgm:bulletEnabled val="1"/>
        </dgm:presLayoutVars>
      </dgm:prSet>
      <dgm:spPr/>
    </dgm:pt>
    <dgm:pt modelId="{DAE3E736-0744-4A9B-A994-550BDFAD03A5}" type="pres">
      <dgm:prSet presAssocID="{F83801C7-1088-4FF9-B14D-0C5390476677}" presName="levelTx" presStyleLbl="revTx" presStyleIdx="0" presStyleCnt="0">
        <dgm:presLayoutVars>
          <dgm:chMax val="1"/>
          <dgm:bulletEnabled val="1"/>
        </dgm:presLayoutVars>
      </dgm:prSet>
      <dgm:spPr/>
    </dgm:pt>
    <dgm:pt modelId="{F9388C10-70AA-41FF-A186-0C472F803FD0}" type="pres">
      <dgm:prSet presAssocID="{0267901A-13D5-450D-8D6F-1B84871269E8}" presName="Name8" presStyleCnt="0"/>
      <dgm:spPr/>
    </dgm:pt>
    <dgm:pt modelId="{EFEEFD7C-B7F9-498C-A7C2-EE740EC6122F}" type="pres">
      <dgm:prSet presAssocID="{0267901A-13D5-450D-8D6F-1B84871269E8}" presName="level" presStyleLbl="node1" presStyleIdx="2" presStyleCnt="5">
        <dgm:presLayoutVars>
          <dgm:chMax val="1"/>
          <dgm:bulletEnabled val="1"/>
        </dgm:presLayoutVars>
      </dgm:prSet>
      <dgm:spPr/>
    </dgm:pt>
    <dgm:pt modelId="{5D59BBDD-EE80-4BD0-A612-3E1B4FBB73C9}" type="pres">
      <dgm:prSet presAssocID="{0267901A-13D5-450D-8D6F-1B84871269E8}" presName="levelTx" presStyleLbl="revTx" presStyleIdx="0" presStyleCnt="0">
        <dgm:presLayoutVars>
          <dgm:chMax val="1"/>
          <dgm:bulletEnabled val="1"/>
        </dgm:presLayoutVars>
      </dgm:prSet>
      <dgm:spPr/>
    </dgm:pt>
    <dgm:pt modelId="{F5CA1AD0-EC84-4C31-8607-C6F490D98C96}" type="pres">
      <dgm:prSet presAssocID="{1EB1208B-5D28-4DB6-BB14-5A7C6620BAC2}" presName="Name8" presStyleCnt="0"/>
      <dgm:spPr/>
    </dgm:pt>
    <dgm:pt modelId="{1333D817-D384-4EDA-AE29-BEC5B59BF5F8}" type="pres">
      <dgm:prSet presAssocID="{1EB1208B-5D28-4DB6-BB14-5A7C6620BAC2}" presName="level" presStyleLbl="node1" presStyleIdx="3" presStyleCnt="5">
        <dgm:presLayoutVars>
          <dgm:chMax val="1"/>
          <dgm:bulletEnabled val="1"/>
        </dgm:presLayoutVars>
      </dgm:prSet>
      <dgm:spPr/>
    </dgm:pt>
    <dgm:pt modelId="{8C125796-8521-4041-BD1E-1548E4D0D7CE}" type="pres">
      <dgm:prSet presAssocID="{1EB1208B-5D28-4DB6-BB14-5A7C6620BAC2}" presName="levelTx" presStyleLbl="revTx" presStyleIdx="0" presStyleCnt="0">
        <dgm:presLayoutVars>
          <dgm:chMax val="1"/>
          <dgm:bulletEnabled val="1"/>
        </dgm:presLayoutVars>
      </dgm:prSet>
      <dgm:spPr/>
    </dgm:pt>
    <dgm:pt modelId="{ACCFE326-0104-41A2-9ADF-FD72D53A4D57}" type="pres">
      <dgm:prSet presAssocID="{E5A63708-CEA5-4ADF-91BE-FFDC01A9F63A}" presName="Name8" presStyleCnt="0"/>
      <dgm:spPr/>
    </dgm:pt>
    <dgm:pt modelId="{A34D2FE0-516B-4AB3-9A41-1E9BF70714AD}" type="pres">
      <dgm:prSet presAssocID="{E5A63708-CEA5-4ADF-91BE-FFDC01A9F63A}" presName="level" presStyleLbl="node1" presStyleIdx="4" presStyleCnt="5">
        <dgm:presLayoutVars>
          <dgm:chMax val="1"/>
          <dgm:bulletEnabled val="1"/>
        </dgm:presLayoutVars>
      </dgm:prSet>
      <dgm:spPr/>
    </dgm:pt>
    <dgm:pt modelId="{53B74082-3414-4E5D-B897-40FEFB7390FC}" type="pres">
      <dgm:prSet presAssocID="{E5A63708-CEA5-4ADF-91BE-FFDC01A9F63A}" presName="levelTx" presStyleLbl="revTx" presStyleIdx="0" presStyleCnt="0">
        <dgm:presLayoutVars>
          <dgm:chMax val="1"/>
          <dgm:bulletEnabled val="1"/>
        </dgm:presLayoutVars>
      </dgm:prSet>
      <dgm:spPr/>
    </dgm:pt>
  </dgm:ptLst>
  <dgm:cxnLst>
    <dgm:cxn modelId="{62C68204-A631-4509-BB1C-430C5EDF2503}" type="presOf" srcId="{F83801C7-1088-4FF9-B14D-0C5390476677}" destId="{DAE3E736-0744-4A9B-A994-550BDFAD03A5}" srcOrd="1" destOrd="0" presId="urn:microsoft.com/office/officeart/2005/8/layout/pyramid1"/>
    <dgm:cxn modelId="{FECC4617-DC7A-43D3-A51E-23AA7258A2FD}" type="presOf" srcId="{F36BBC58-9180-4FA3-94CF-29FEED8782EC}" destId="{5C50E0CC-B74A-4020-B2B0-C2C9B54697AC}" srcOrd="0" destOrd="0" presId="urn:microsoft.com/office/officeart/2005/8/layout/pyramid1"/>
    <dgm:cxn modelId="{B5E5192D-01EA-442B-A6D7-3A20BF57D248}" type="presOf" srcId="{D2CE1B73-2A4B-4D1A-9F5E-8250CD02994B}" destId="{2EC8C273-4683-4089-97A6-D4564D1FAD68}" srcOrd="0" destOrd="0" presId="urn:microsoft.com/office/officeart/2005/8/layout/pyramid1"/>
    <dgm:cxn modelId="{DBCBB13C-C0CC-4B25-A494-E6FE99ADD719}" type="presOf" srcId="{0267901A-13D5-450D-8D6F-1B84871269E8}" destId="{EFEEFD7C-B7F9-498C-A7C2-EE740EC6122F}" srcOrd="0" destOrd="0" presId="urn:microsoft.com/office/officeart/2005/8/layout/pyramid1"/>
    <dgm:cxn modelId="{EA295755-A499-431E-B183-79CFDBE718B9}" type="presOf" srcId="{1EB1208B-5D28-4DB6-BB14-5A7C6620BAC2}" destId="{1333D817-D384-4EDA-AE29-BEC5B59BF5F8}" srcOrd="0" destOrd="0" presId="urn:microsoft.com/office/officeart/2005/8/layout/pyramid1"/>
    <dgm:cxn modelId="{EA8C0759-709D-45F2-800D-699E65F8BEEB}" type="presOf" srcId="{1EB1208B-5D28-4DB6-BB14-5A7C6620BAC2}" destId="{8C125796-8521-4041-BD1E-1548E4D0D7CE}" srcOrd="1" destOrd="0" presId="urn:microsoft.com/office/officeart/2005/8/layout/pyramid1"/>
    <dgm:cxn modelId="{4419CA87-FE1F-45AD-80A7-2D5F77E6B43B}" type="presOf" srcId="{F36BBC58-9180-4FA3-94CF-29FEED8782EC}" destId="{E8AABD59-AF81-49C8-ACEB-C25F8D975488}" srcOrd="1" destOrd="0" presId="urn:microsoft.com/office/officeart/2005/8/layout/pyramid1"/>
    <dgm:cxn modelId="{47031A9D-654A-429F-87CE-324BF9DBA487}" type="presOf" srcId="{E5A63708-CEA5-4ADF-91BE-FFDC01A9F63A}" destId="{53B74082-3414-4E5D-B897-40FEFB7390FC}" srcOrd="1" destOrd="0" presId="urn:microsoft.com/office/officeart/2005/8/layout/pyramid1"/>
    <dgm:cxn modelId="{EF1E0CA3-D212-4A79-8379-A76CCADBC14A}" srcId="{D2CE1B73-2A4B-4D1A-9F5E-8250CD02994B}" destId="{E5A63708-CEA5-4ADF-91BE-FFDC01A9F63A}" srcOrd="4" destOrd="0" parTransId="{0DAC5814-8CC6-412C-8F81-7CD692E2DFD6}" sibTransId="{4312B6EB-A13A-445D-B568-0F71D7BAE965}"/>
    <dgm:cxn modelId="{DAF112A4-AFC6-4EDA-87C7-AAF42D541E9A}" srcId="{D2CE1B73-2A4B-4D1A-9F5E-8250CD02994B}" destId="{0267901A-13D5-450D-8D6F-1B84871269E8}" srcOrd="2" destOrd="0" parTransId="{865CC0ED-B1EE-414B-A82A-1B6D3F12FDB3}" sibTransId="{EC7E39E0-B62D-440C-92C0-20B34586F2FB}"/>
    <dgm:cxn modelId="{CF9BB9A5-6BDC-4610-9DDF-C327DE43C106}" srcId="{D2CE1B73-2A4B-4D1A-9F5E-8250CD02994B}" destId="{1EB1208B-5D28-4DB6-BB14-5A7C6620BAC2}" srcOrd="3" destOrd="0" parTransId="{5CDD5E9C-DC1E-4B6B-9A37-70D1BB1088F0}" sibTransId="{7900D62F-3265-4B22-B8B3-72D1DF320494}"/>
    <dgm:cxn modelId="{1E45D2A7-93EA-4044-85F6-2D79AF1EE287}" srcId="{D2CE1B73-2A4B-4D1A-9F5E-8250CD02994B}" destId="{F36BBC58-9180-4FA3-94CF-29FEED8782EC}" srcOrd="0" destOrd="0" parTransId="{AE8CF9EE-DC47-4964-92E0-E8A95C7E829B}" sibTransId="{C37C108B-1CC8-480D-973C-9AABD3B0E0FD}"/>
    <dgm:cxn modelId="{296308C7-B69A-41E0-B157-1321D9B21B68}" type="presOf" srcId="{F83801C7-1088-4FF9-B14D-0C5390476677}" destId="{5CD96624-722E-4188-A61E-42249429D442}" srcOrd="0" destOrd="0" presId="urn:microsoft.com/office/officeart/2005/8/layout/pyramid1"/>
    <dgm:cxn modelId="{7583A1CE-B9B1-4707-921B-F88843A50726}" type="presOf" srcId="{E5A63708-CEA5-4ADF-91BE-FFDC01A9F63A}" destId="{A34D2FE0-516B-4AB3-9A41-1E9BF70714AD}" srcOrd="0" destOrd="0" presId="urn:microsoft.com/office/officeart/2005/8/layout/pyramid1"/>
    <dgm:cxn modelId="{EABF4CD7-2727-49C5-A5E9-9D8614D922B0}" type="presOf" srcId="{0267901A-13D5-450D-8D6F-1B84871269E8}" destId="{5D59BBDD-EE80-4BD0-A612-3E1B4FBB73C9}" srcOrd="1" destOrd="0" presId="urn:microsoft.com/office/officeart/2005/8/layout/pyramid1"/>
    <dgm:cxn modelId="{408A6BFE-7171-4A41-85CD-2632AFB01B10}" srcId="{D2CE1B73-2A4B-4D1A-9F5E-8250CD02994B}" destId="{F83801C7-1088-4FF9-B14D-0C5390476677}" srcOrd="1" destOrd="0" parTransId="{0B2D989F-DA6B-486E-B5C5-52BFD5B3CEA0}" sibTransId="{746344DB-5949-4DC0-ADEB-10BF4904534E}"/>
    <dgm:cxn modelId="{C46F5009-2A50-494F-99B6-9D0A97E41624}" type="presParOf" srcId="{2EC8C273-4683-4089-97A6-D4564D1FAD68}" destId="{1589123F-E4A1-4C2C-B90D-8EFD1B524FB1}" srcOrd="0" destOrd="0" presId="urn:microsoft.com/office/officeart/2005/8/layout/pyramid1"/>
    <dgm:cxn modelId="{05DD6601-526C-445F-9FE9-1FE862AB91CB}" type="presParOf" srcId="{1589123F-E4A1-4C2C-B90D-8EFD1B524FB1}" destId="{5C50E0CC-B74A-4020-B2B0-C2C9B54697AC}" srcOrd="0" destOrd="0" presId="urn:microsoft.com/office/officeart/2005/8/layout/pyramid1"/>
    <dgm:cxn modelId="{6068E967-8B4B-4551-AAF3-010AF2E1ECAE}" type="presParOf" srcId="{1589123F-E4A1-4C2C-B90D-8EFD1B524FB1}" destId="{E8AABD59-AF81-49C8-ACEB-C25F8D975488}" srcOrd="1" destOrd="0" presId="urn:microsoft.com/office/officeart/2005/8/layout/pyramid1"/>
    <dgm:cxn modelId="{0F48A46D-8551-4CF7-AAD9-FA54C562409B}" type="presParOf" srcId="{2EC8C273-4683-4089-97A6-D4564D1FAD68}" destId="{A2B475FC-2497-4C19-843E-AA32FE177B0E}" srcOrd="1" destOrd="0" presId="urn:microsoft.com/office/officeart/2005/8/layout/pyramid1"/>
    <dgm:cxn modelId="{66B1BA3E-6A2C-49D0-B46A-6556640AE69C}" type="presParOf" srcId="{A2B475FC-2497-4C19-843E-AA32FE177B0E}" destId="{5CD96624-722E-4188-A61E-42249429D442}" srcOrd="0" destOrd="0" presId="urn:microsoft.com/office/officeart/2005/8/layout/pyramid1"/>
    <dgm:cxn modelId="{A7DB88C8-AD05-4B71-965E-BC75CC4DE225}" type="presParOf" srcId="{A2B475FC-2497-4C19-843E-AA32FE177B0E}" destId="{DAE3E736-0744-4A9B-A994-550BDFAD03A5}" srcOrd="1" destOrd="0" presId="urn:microsoft.com/office/officeart/2005/8/layout/pyramid1"/>
    <dgm:cxn modelId="{97D1DF4A-9A3D-4416-A50E-27240DE02D5B}" type="presParOf" srcId="{2EC8C273-4683-4089-97A6-D4564D1FAD68}" destId="{F9388C10-70AA-41FF-A186-0C472F803FD0}" srcOrd="2" destOrd="0" presId="urn:microsoft.com/office/officeart/2005/8/layout/pyramid1"/>
    <dgm:cxn modelId="{9CD4E5F6-563E-4F84-BE2E-57DF6ED4EDDD}" type="presParOf" srcId="{F9388C10-70AA-41FF-A186-0C472F803FD0}" destId="{EFEEFD7C-B7F9-498C-A7C2-EE740EC6122F}" srcOrd="0" destOrd="0" presId="urn:microsoft.com/office/officeart/2005/8/layout/pyramid1"/>
    <dgm:cxn modelId="{09145621-3FEA-472E-9660-60EDFB4C8E67}" type="presParOf" srcId="{F9388C10-70AA-41FF-A186-0C472F803FD0}" destId="{5D59BBDD-EE80-4BD0-A612-3E1B4FBB73C9}" srcOrd="1" destOrd="0" presId="urn:microsoft.com/office/officeart/2005/8/layout/pyramid1"/>
    <dgm:cxn modelId="{27D38003-B5DA-46A3-B326-B4029ED64607}" type="presParOf" srcId="{2EC8C273-4683-4089-97A6-D4564D1FAD68}" destId="{F5CA1AD0-EC84-4C31-8607-C6F490D98C96}" srcOrd="3" destOrd="0" presId="urn:microsoft.com/office/officeart/2005/8/layout/pyramid1"/>
    <dgm:cxn modelId="{E7DA7830-BE21-4644-ADE1-DC1CB75C23CD}" type="presParOf" srcId="{F5CA1AD0-EC84-4C31-8607-C6F490D98C96}" destId="{1333D817-D384-4EDA-AE29-BEC5B59BF5F8}" srcOrd="0" destOrd="0" presId="urn:microsoft.com/office/officeart/2005/8/layout/pyramid1"/>
    <dgm:cxn modelId="{AD9339B8-AE72-4A30-B00A-BD0EB8C612DD}" type="presParOf" srcId="{F5CA1AD0-EC84-4C31-8607-C6F490D98C96}" destId="{8C125796-8521-4041-BD1E-1548E4D0D7CE}" srcOrd="1" destOrd="0" presId="urn:microsoft.com/office/officeart/2005/8/layout/pyramid1"/>
    <dgm:cxn modelId="{CCCF0A7B-4ABE-42AD-B07D-15FF03B7CD3A}" type="presParOf" srcId="{2EC8C273-4683-4089-97A6-D4564D1FAD68}" destId="{ACCFE326-0104-41A2-9ADF-FD72D53A4D57}" srcOrd="4" destOrd="0" presId="urn:microsoft.com/office/officeart/2005/8/layout/pyramid1"/>
    <dgm:cxn modelId="{9BEEDABD-3043-4650-BE64-8AAC0A6E5496}" type="presParOf" srcId="{ACCFE326-0104-41A2-9ADF-FD72D53A4D57}" destId="{A34D2FE0-516B-4AB3-9A41-1E9BF70714AD}" srcOrd="0" destOrd="0" presId="urn:microsoft.com/office/officeart/2005/8/layout/pyramid1"/>
    <dgm:cxn modelId="{18C6233F-0281-4448-A11E-86AAB73B9CD4}" type="presParOf" srcId="{ACCFE326-0104-41A2-9ADF-FD72D53A4D57}" destId="{53B74082-3414-4E5D-B897-40FEFB7390FC}"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0E0CC-B74A-4020-B2B0-C2C9B54697AC}">
      <dsp:nvSpPr>
        <dsp:cNvPr id="0" name=""/>
        <dsp:cNvSpPr/>
      </dsp:nvSpPr>
      <dsp:spPr>
        <a:xfrm>
          <a:off x="2077719" y="0"/>
          <a:ext cx="1038859" cy="568960"/>
        </a:xfrm>
        <a:prstGeom prst="trapezoid">
          <a:avLst>
            <a:gd name="adj" fmla="val 9129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cs-CZ" sz="1400" kern="1200" dirty="0">
              <a:solidFill>
                <a:srgbClr val="FF0000"/>
              </a:solidFill>
            </a:rPr>
            <a:t>ÚSTAVA A ÚSTAVNÍ ZÁKONY </a:t>
          </a:r>
          <a:endParaRPr lang="en-US" sz="1400" kern="1200" dirty="0">
            <a:solidFill>
              <a:srgbClr val="FF0000"/>
            </a:solidFill>
          </a:endParaRPr>
        </a:p>
      </dsp:txBody>
      <dsp:txXfrm>
        <a:off x="2077719" y="0"/>
        <a:ext cx="1038859" cy="568960"/>
      </dsp:txXfrm>
    </dsp:sp>
    <dsp:sp modelId="{5CD96624-722E-4188-A61E-42249429D442}">
      <dsp:nvSpPr>
        <dsp:cNvPr id="0" name=""/>
        <dsp:cNvSpPr/>
      </dsp:nvSpPr>
      <dsp:spPr>
        <a:xfrm>
          <a:off x="1558289" y="568960"/>
          <a:ext cx="2077719" cy="568960"/>
        </a:xfrm>
        <a:prstGeom prst="trapezoid">
          <a:avLst>
            <a:gd name="adj" fmla="val 9129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dirty="0">
              <a:solidFill>
                <a:srgbClr val="FF0000"/>
              </a:solidFill>
            </a:rPr>
            <a:t>ZÁKONY A ZÁKONNÁ OPATŘENÍ</a:t>
          </a:r>
          <a:endParaRPr lang="en-US" sz="1300" kern="1200" dirty="0">
            <a:solidFill>
              <a:srgbClr val="FF0000"/>
            </a:solidFill>
          </a:endParaRPr>
        </a:p>
      </dsp:txBody>
      <dsp:txXfrm>
        <a:off x="1921890" y="568960"/>
        <a:ext cx="1350518" cy="568960"/>
      </dsp:txXfrm>
    </dsp:sp>
    <dsp:sp modelId="{EFEEFD7C-B7F9-498C-A7C2-EE740EC6122F}">
      <dsp:nvSpPr>
        <dsp:cNvPr id="0" name=""/>
        <dsp:cNvSpPr/>
      </dsp:nvSpPr>
      <dsp:spPr>
        <a:xfrm>
          <a:off x="1038859" y="1137920"/>
          <a:ext cx="3116579" cy="568960"/>
        </a:xfrm>
        <a:prstGeom prst="trapezoid">
          <a:avLst>
            <a:gd name="adj" fmla="val 9129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dirty="0">
              <a:solidFill>
                <a:srgbClr val="FF0000"/>
              </a:solidFill>
            </a:rPr>
            <a:t>NAŘÍZENÍ VLÁDY</a:t>
          </a:r>
          <a:endParaRPr lang="en-US" sz="1300" kern="1200" dirty="0">
            <a:solidFill>
              <a:srgbClr val="FF0000"/>
            </a:solidFill>
          </a:endParaRPr>
        </a:p>
      </dsp:txBody>
      <dsp:txXfrm>
        <a:off x="1584261" y="1137920"/>
        <a:ext cx="2025777" cy="568960"/>
      </dsp:txXfrm>
    </dsp:sp>
    <dsp:sp modelId="{1333D817-D384-4EDA-AE29-BEC5B59BF5F8}">
      <dsp:nvSpPr>
        <dsp:cNvPr id="0" name=""/>
        <dsp:cNvSpPr/>
      </dsp:nvSpPr>
      <dsp:spPr>
        <a:xfrm>
          <a:off x="519429" y="1706880"/>
          <a:ext cx="4155439" cy="568960"/>
        </a:xfrm>
        <a:prstGeom prst="trapezoid">
          <a:avLst>
            <a:gd name="adj" fmla="val 9129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dirty="0">
              <a:solidFill>
                <a:srgbClr val="FF0000"/>
              </a:solidFill>
            </a:rPr>
            <a:t>VYHLÁŠKY MINISTERSTEV</a:t>
          </a:r>
          <a:endParaRPr lang="en-US" sz="1300" kern="1200" dirty="0">
            <a:solidFill>
              <a:srgbClr val="FF0000"/>
            </a:solidFill>
          </a:endParaRPr>
        </a:p>
      </dsp:txBody>
      <dsp:txXfrm>
        <a:off x="1246631" y="1706880"/>
        <a:ext cx="2701036" cy="568960"/>
      </dsp:txXfrm>
    </dsp:sp>
    <dsp:sp modelId="{A34D2FE0-516B-4AB3-9A41-1E9BF70714AD}">
      <dsp:nvSpPr>
        <dsp:cNvPr id="0" name=""/>
        <dsp:cNvSpPr/>
      </dsp:nvSpPr>
      <dsp:spPr>
        <a:xfrm>
          <a:off x="0" y="2275840"/>
          <a:ext cx="5194299" cy="568960"/>
        </a:xfrm>
        <a:prstGeom prst="trapezoid">
          <a:avLst>
            <a:gd name="adj" fmla="val 9129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dirty="0">
              <a:solidFill>
                <a:srgbClr val="FF0000"/>
              </a:solidFill>
            </a:rPr>
            <a:t>OBECNĚ ZÁVAZNÉ VYHLÁŠKY/NAŘÍZENÍ OBCÍ A KRAJŮ</a:t>
          </a:r>
          <a:endParaRPr lang="en-US" sz="1300" kern="1200" dirty="0">
            <a:solidFill>
              <a:srgbClr val="FF0000"/>
            </a:solidFill>
          </a:endParaRPr>
        </a:p>
      </dsp:txBody>
      <dsp:txXfrm>
        <a:off x="909002" y="2275840"/>
        <a:ext cx="3376295" cy="5689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AMU">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E1B65030F719B4795FFADFEFE1E0415" ma:contentTypeVersion="2" ma:contentTypeDescription="Vytvoří nový dokument" ma:contentTypeScope="" ma:versionID="f65d874b2eb09a9320232c80ca53453b">
  <xsd:schema xmlns:xsd="http://www.w3.org/2001/XMLSchema" xmlns:xs="http://www.w3.org/2001/XMLSchema" xmlns:p="http://schemas.microsoft.com/office/2006/metadata/properties" xmlns:ns2="200ac2cc-c96c-431f-864a-2438eeee06c6" targetNamespace="http://schemas.microsoft.com/office/2006/metadata/properties" ma:root="true" ma:fieldsID="4ed606ae1e7f727be2fbf02904a3b51d" ns2:_="">
    <xsd:import namespace="200ac2cc-c96c-431f-864a-2438eeee06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ac2cc-c96c-431f-864a-2438eeee06c6"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37C0D9-A2FD-4548-BD6C-033090E4B482}">
  <ds:schemaRefs>
    <ds:schemaRef ds:uri="http://schemas.microsoft.com/sharepoint/v3/contenttype/forms"/>
  </ds:schemaRefs>
</ds:datastoreItem>
</file>

<file path=customXml/itemProps2.xml><?xml version="1.0" encoding="utf-8"?>
<ds:datastoreItem xmlns:ds="http://schemas.openxmlformats.org/officeDocument/2006/customXml" ds:itemID="{8996B375-818C-4958-AB84-CDC829BB8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ac2cc-c96c-431f-864a-2438eeee0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59E4A-9728-49C3-B325-925F54E53B30}">
  <ds:schemaRefs>
    <ds:schemaRef ds:uri="http://schemas.openxmlformats.org/officeDocument/2006/bibliography"/>
  </ds:schemaRefs>
</ds:datastoreItem>
</file>

<file path=customXml/itemProps4.xml><?xml version="1.0" encoding="utf-8"?>
<ds:datastoreItem xmlns:ds="http://schemas.openxmlformats.org/officeDocument/2006/customXml" ds:itemID="{5504DF10-326B-4BCE-848B-9153183A36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edu_hlavickovy_papir_cz_barva</Template>
  <TotalTime>0</TotalTime>
  <Pages>13</Pages>
  <Words>4051</Words>
  <Characters>23906</Characters>
  <Application>Microsoft Office Word</Application>
  <DocSecurity>0</DocSecurity>
  <Lines>199</Lines>
  <Paragraphs>55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ATC</Company>
  <LinksUpToDate>false</LinksUpToDate>
  <CharactersWithSpaces>27902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Malachta</dc:creator>
  <cp:lastModifiedBy>Radovan Malachta</cp:lastModifiedBy>
  <cp:revision>21</cp:revision>
  <cp:lastPrinted>2020-01-04T17:40:00Z</cp:lastPrinted>
  <dcterms:created xsi:type="dcterms:W3CDTF">2022-02-17T09:54:00Z</dcterms:created>
  <dcterms:modified xsi:type="dcterms:W3CDTF">2023-02-20T22:22:00Z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0x010100DE1B65030F719B4795FFADFEFE1E0415</vt:lpwstr>
  </property>
</Properties>
</file>