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D4" w:rsidRDefault="003B39D4" w:rsidP="003B39D4">
      <w:pPr>
        <w:jc w:val="center"/>
      </w:pPr>
      <w:r>
        <w:t>Материал для семинара</w:t>
      </w:r>
      <w:bookmarkStart w:id="0" w:name="_GoBack"/>
      <w:bookmarkEnd w:id="0"/>
    </w:p>
    <w:p w:rsidR="003B39D4" w:rsidRDefault="003B39D4" w:rsidP="003B39D4"/>
    <w:p w:rsidR="003B39D4" w:rsidRDefault="003B39D4" w:rsidP="00A14F0E">
      <w:pPr>
        <w:jc w:val="both"/>
      </w:pPr>
      <w:r>
        <w:t>Акмеизм генетически связан с символизмом. Возникло течение в начале 1900-х годов молодыми поэтами, посещавшими в 1900-е годы «ивановские среды» (т.е.</w:t>
      </w:r>
      <w:r w:rsidR="00A14F0E">
        <w:rPr>
          <w:lang w:val="uk-UA"/>
        </w:rPr>
        <w:t xml:space="preserve"> </w:t>
      </w:r>
      <w:r>
        <w:t xml:space="preserve">собрания на петербургской квартире </w:t>
      </w:r>
      <w:proofErr w:type="spellStart"/>
      <w:r>
        <w:t>Вяч</w:t>
      </w:r>
      <w:proofErr w:type="spellEnd"/>
      <w:r>
        <w:t>. Иванова, прозванной поэтами «башней»).</w:t>
      </w:r>
    </w:p>
    <w:p w:rsidR="003B39D4" w:rsidRDefault="003B39D4" w:rsidP="00A14F0E">
      <w:pPr>
        <w:jc w:val="both"/>
      </w:pPr>
      <w:r>
        <w:t>1906-1907 годы сложилась группа поэтов (именовавшая себя «кружком молодых») объединенных оппозиционностью к поэтической технике символизма: стремление научиться у символистов стихотворной технике соединялась с желанием преодолеть умозрительность и утопизм символистских теорий.</w:t>
      </w:r>
    </w:p>
    <w:p w:rsidR="003B39D4" w:rsidRDefault="003B39D4" w:rsidP="00A14F0E">
      <w:pPr>
        <w:jc w:val="both"/>
      </w:pPr>
      <w:r>
        <w:t xml:space="preserve">1909 год – «кружок молодых» во главе с </w:t>
      </w:r>
      <w:proofErr w:type="spellStart"/>
      <w:r>
        <w:t>С</w:t>
      </w:r>
      <w:proofErr w:type="spellEnd"/>
      <w:r>
        <w:t>. Городецким (</w:t>
      </w:r>
      <w:proofErr w:type="spellStart"/>
      <w:r>
        <w:t>зд</w:t>
      </w:r>
      <w:proofErr w:type="spellEnd"/>
      <w:r>
        <w:t>. Н. Гумилев, А. Толстой) организовал журнал «Аполлон» и, позднее, «Общество ревнителей художественного слова» (позднее – «Поэтическая академия», а с октября 1911 года – «Цех поэтов»).</w:t>
      </w:r>
    </w:p>
    <w:p w:rsidR="003B39D4" w:rsidRDefault="003B39D4" w:rsidP="00A14F0E">
      <w:pPr>
        <w:jc w:val="both"/>
      </w:pPr>
      <w:r>
        <w:t>1912 год участники «Цеха поэтов» во главе с Городецким и Гумилевым объявили о создании</w:t>
      </w:r>
    </w:p>
    <w:p w:rsidR="003B39D4" w:rsidRDefault="003B39D4" w:rsidP="00A14F0E">
      <w:pPr>
        <w:jc w:val="both"/>
      </w:pPr>
      <w:r>
        <w:t>нового поэтического течения - акмеизма, что привело к размежеванию внутри «цеха».</w:t>
      </w:r>
    </w:p>
    <w:p w:rsidR="003B39D4" w:rsidRDefault="003B39D4" w:rsidP="00A14F0E">
      <w:pPr>
        <w:jc w:val="both"/>
      </w:pPr>
      <w:r>
        <w:t xml:space="preserve">Акмеисты Цех поэтов </w:t>
      </w:r>
    </w:p>
    <w:p w:rsidR="003B39D4" w:rsidRDefault="003B39D4" w:rsidP="00A14F0E">
      <w:pPr>
        <w:jc w:val="both"/>
      </w:pPr>
      <w:r>
        <w:t>Н. Гумилев, А. Ахматова, С. Городецкий,</w:t>
      </w:r>
    </w:p>
    <w:p w:rsidR="003B39D4" w:rsidRDefault="003B39D4" w:rsidP="00A14F0E">
      <w:pPr>
        <w:jc w:val="both"/>
      </w:pPr>
      <w:r>
        <w:t xml:space="preserve">О. Мандельштам, М. </w:t>
      </w:r>
      <w:proofErr w:type="spellStart"/>
      <w:r>
        <w:t>Зинкевич</w:t>
      </w:r>
      <w:proofErr w:type="spellEnd"/>
      <w:r>
        <w:t>, В. Нарбут</w:t>
      </w:r>
    </w:p>
    <w:p w:rsidR="003B39D4" w:rsidRDefault="003B39D4" w:rsidP="00A14F0E">
      <w:pPr>
        <w:jc w:val="both"/>
      </w:pPr>
      <w:r>
        <w:t>Г. Адамович, Г. Иванов, М. Лозинский</w:t>
      </w:r>
    </w:p>
    <w:p w:rsidR="003B39D4" w:rsidRDefault="003B39D4" w:rsidP="00A14F0E">
      <w:pPr>
        <w:jc w:val="both"/>
      </w:pPr>
      <w:r>
        <w:t>и др.</w:t>
      </w:r>
    </w:p>
    <w:p w:rsidR="003B39D4" w:rsidRDefault="003B39D4" w:rsidP="00A14F0E">
      <w:pPr>
        <w:jc w:val="both"/>
      </w:pPr>
      <w:r>
        <w:t xml:space="preserve">Акмеизм (от греч. </w:t>
      </w:r>
      <w:proofErr w:type="spellStart"/>
      <w:r>
        <w:t>Acme</w:t>
      </w:r>
      <w:proofErr w:type="spellEnd"/>
      <w:r>
        <w:t xml:space="preserve"> – «высшая степень чего-либо, расцвет, вершина, острие»)</w:t>
      </w:r>
    </w:p>
    <w:p w:rsidR="003B39D4" w:rsidRDefault="003B39D4" w:rsidP="00A14F0E">
      <w:pPr>
        <w:jc w:val="both"/>
      </w:pPr>
      <w:r>
        <w:t xml:space="preserve">Сверстники футуристов, акмеисты в своих программных заявлениях стремились размежеваться и </w:t>
      </w:r>
      <w:r w:rsidR="00A14F0E">
        <w:t>с ними,</w:t>
      </w:r>
      <w:r>
        <w:t xml:space="preserve"> и с символистами. Программной принято считать статьи М. Кузьмина «О прекрасной ясности» (опубликована в 1910г.), давшей еще одно название акмеизму – </w:t>
      </w:r>
      <w:proofErr w:type="spellStart"/>
      <w:r>
        <w:t>кларизм</w:t>
      </w:r>
      <w:proofErr w:type="spellEnd"/>
      <w:r>
        <w:t xml:space="preserve"> (от лат. </w:t>
      </w:r>
      <w:proofErr w:type="spellStart"/>
      <w:r>
        <w:t>Clarus</w:t>
      </w:r>
      <w:proofErr w:type="spellEnd"/>
      <w:r>
        <w:t xml:space="preserve"> - ясный) и статью Н. Гумилева «Наследие символизма и акмеизм» в которых содержатся основные принципы нового поэтического течения:</w:t>
      </w:r>
    </w:p>
    <w:p w:rsidR="003B39D4" w:rsidRDefault="003B39D4" w:rsidP="003B39D4">
      <w:r>
        <w:t>2.2.  Составить таблицу, используя следующие параметры:</w:t>
      </w:r>
    </w:p>
    <w:p w:rsidR="003B39D4" w:rsidRDefault="003B39D4" w:rsidP="003B39D4">
      <w:pPr>
        <w:jc w:val="both"/>
      </w:pPr>
      <w:r>
        <w:t>Логичность художественного замысла, разум и гармония, мистическое содержание, абсолютизация иррациональных начал творчества , четкость организации всех элементов художественной формы,  символы, стройность композиции,  нормативность творчества, расширение художественной впечатлительности неприятие утилитаризма в искусстве , предметный мир значителен сам по себе,  предметный мир являет высшие сущности,  отказ от социальных и гражданских тем,  попытка заново открыть ценность человеческой жизни, проповедь «земного» мироощущения, вкус к подлинности, стремление познать непознаваемое, связь с пространственными искусствами музыкальность.</w:t>
      </w:r>
    </w:p>
    <w:p w:rsidR="003B39D4" w:rsidRDefault="003B39D4" w:rsidP="003B3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9D4" w:rsidTr="003B39D4">
        <w:tc>
          <w:tcPr>
            <w:tcW w:w="4672" w:type="dxa"/>
          </w:tcPr>
          <w:p w:rsidR="003B39D4" w:rsidRDefault="003B39D4" w:rsidP="003B39D4">
            <w:r>
              <w:t>Акмеизм</w:t>
            </w:r>
          </w:p>
        </w:tc>
        <w:tc>
          <w:tcPr>
            <w:tcW w:w="4673" w:type="dxa"/>
          </w:tcPr>
          <w:p w:rsidR="003B39D4" w:rsidRDefault="003B39D4" w:rsidP="003B39D4">
            <w:r>
              <w:t>Символизм</w:t>
            </w:r>
          </w:p>
        </w:tc>
      </w:tr>
      <w:tr w:rsidR="003B39D4" w:rsidTr="003B39D4">
        <w:tc>
          <w:tcPr>
            <w:tcW w:w="4672" w:type="dxa"/>
          </w:tcPr>
          <w:p w:rsidR="003B39D4" w:rsidRDefault="003B39D4" w:rsidP="003B39D4"/>
        </w:tc>
        <w:tc>
          <w:tcPr>
            <w:tcW w:w="4673" w:type="dxa"/>
          </w:tcPr>
          <w:p w:rsidR="003B39D4" w:rsidRDefault="003B39D4" w:rsidP="003B39D4"/>
        </w:tc>
      </w:tr>
      <w:tr w:rsidR="003B39D4" w:rsidTr="003B39D4">
        <w:tc>
          <w:tcPr>
            <w:tcW w:w="4672" w:type="dxa"/>
          </w:tcPr>
          <w:p w:rsidR="003B39D4" w:rsidRDefault="003B39D4" w:rsidP="003B39D4"/>
        </w:tc>
        <w:tc>
          <w:tcPr>
            <w:tcW w:w="4673" w:type="dxa"/>
          </w:tcPr>
          <w:p w:rsidR="003B39D4" w:rsidRDefault="003B39D4" w:rsidP="003B39D4"/>
        </w:tc>
      </w:tr>
      <w:tr w:rsidR="003B39D4" w:rsidTr="003B39D4">
        <w:tc>
          <w:tcPr>
            <w:tcW w:w="4672" w:type="dxa"/>
          </w:tcPr>
          <w:p w:rsidR="003B39D4" w:rsidRDefault="003B39D4" w:rsidP="003B39D4"/>
        </w:tc>
        <w:tc>
          <w:tcPr>
            <w:tcW w:w="4673" w:type="dxa"/>
          </w:tcPr>
          <w:p w:rsidR="003B39D4" w:rsidRDefault="003B39D4" w:rsidP="003B39D4"/>
        </w:tc>
      </w:tr>
      <w:tr w:rsidR="003B39D4" w:rsidTr="003B39D4">
        <w:tc>
          <w:tcPr>
            <w:tcW w:w="4672" w:type="dxa"/>
          </w:tcPr>
          <w:p w:rsidR="003B39D4" w:rsidRDefault="003B39D4" w:rsidP="003B39D4"/>
        </w:tc>
        <w:tc>
          <w:tcPr>
            <w:tcW w:w="4673" w:type="dxa"/>
          </w:tcPr>
          <w:p w:rsidR="003B39D4" w:rsidRDefault="003B39D4" w:rsidP="003B39D4"/>
        </w:tc>
      </w:tr>
      <w:tr w:rsidR="003B39D4" w:rsidTr="003B39D4">
        <w:tc>
          <w:tcPr>
            <w:tcW w:w="4672" w:type="dxa"/>
          </w:tcPr>
          <w:p w:rsidR="003B39D4" w:rsidRDefault="003B39D4" w:rsidP="003B39D4"/>
        </w:tc>
        <w:tc>
          <w:tcPr>
            <w:tcW w:w="4673" w:type="dxa"/>
          </w:tcPr>
          <w:p w:rsidR="003B39D4" w:rsidRDefault="003B39D4" w:rsidP="003B39D4"/>
        </w:tc>
      </w:tr>
    </w:tbl>
    <w:p w:rsidR="003B39D4" w:rsidRDefault="003B39D4" w:rsidP="003B39D4">
      <w:r>
        <w:lastRenderedPageBreak/>
        <w:t>3. Основные мотивы лирики</w:t>
      </w:r>
    </w:p>
    <w:p w:rsidR="003B39D4" w:rsidRDefault="003B39D4" w:rsidP="003B3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9D4" w:rsidTr="003E6E16">
        <w:tc>
          <w:tcPr>
            <w:tcW w:w="4672" w:type="dxa"/>
          </w:tcPr>
          <w:p w:rsidR="003B39D4" w:rsidRDefault="003B39D4" w:rsidP="003E6E16">
            <w:r>
              <w:t>Акмеизм</w:t>
            </w:r>
          </w:p>
        </w:tc>
        <w:tc>
          <w:tcPr>
            <w:tcW w:w="4673" w:type="dxa"/>
          </w:tcPr>
          <w:p w:rsidR="003B39D4" w:rsidRDefault="003B39D4" w:rsidP="003E6E16">
            <w:r>
              <w:t>Символизм</w:t>
            </w:r>
          </w:p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  <w:tr w:rsidR="003B39D4" w:rsidTr="003E6E16">
        <w:tc>
          <w:tcPr>
            <w:tcW w:w="4672" w:type="dxa"/>
          </w:tcPr>
          <w:p w:rsidR="003B39D4" w:rsidRDefault="003B39D4" w:rsidP="003E6E16"/>
        </w:tc>
        <w:tc>
          <w:tcPr>
            <w:tcW w:w="4673" w:type="dxa"/>
          </w:tcPr>
          <w:p w:rsidR="003B39D4" w:rsidRDefault="003B39D4" w:rsidP="003E6E16"/>
        </w:tc>
      </w:tr>
    </w:tbl>
    <w:p w:rsidR="003B39D4" w:rsidRDefault="003B39D4" w:rsidP="003B39D4"/>
    <w:p w:rsidR="003B39D4" w:rsidRDefault="003B39D4" w:rsidP="003B39D4"/>
    <w:p w:rsidR="003B39D4" w:rsidRDefault="003B39D4" w:rsidP="003B39D4"/>
    <w:p w:rsidR="003B39D4" w:rsidRDefault="003B39D4" w:rsidP="003B39D4"/>
    <w:p w:rsidR="003B39D4" w:rsidRDefault="003B39D4" w:rsidP="003B39D4"/>
    <w:p w:rsidR="003B39D4" w:rsidRDefault="003B39D4" w:rsidP="003B39D4"/>
    <w:p w:rsidR="003B39D4" w:rsidRDefault="003B39D4" w:rsidP="003B39D4"/>
    <w:sectPr w:rsidR="003B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D4"/>
    <w:rsid w:val="003B39D4"/>
    <w:rsid w:val="00A14F0E"/>
    <w:rsid w:val="00D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9F9"/>
  <w15:chartTrackingRefBased/>
  <w15:docId w15:val="{C8D25B66-19F9-4451-B51D-F9DCD49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2023-02-24T11:41:00Z</dcterms:created>
  <dcterms:modified xsi:type="dcterms:W3CDTF">2023-03-01T12:28:00Z</dcterms:modified>
</cp:coreProperties>
</file>