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----------- will complete 10 presented parent training assignments based on the principles and tactics of applied behavior analysis, with 90% accuracy across each assignment.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Assignments on:  Positive reinforcement, negative reinforcement, punishment, extinction, contingency, mands, tacts, intraverbals, token systems, and generalization.  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A:  Target completion of the presented assignment on positive reinforcement.  Graph percentage grade after each completion attempt.  Criteria is 90% x 1.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Formal Instruction 1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