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33AC" w14:textId="77777777" w:rsidR="00346FCB" w:rsidRPr="00346FCB" w:rsidRDefault="00346FCB" w:rsidP="00346FC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261A60A" w14:textId="77777777" w:rsidR="00346FCB" w:rsidRDefault="00346FCB" w:rsidP="00346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FCB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97F127" w14:textId="5AE3708D" w:rsidR="00346FCB" w:rsidRPr="00346FCB" w:rsidRDefault="00346FCB" w:rsidP="00346FC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46F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4" w:history="1">
        <w:r w:rsidRPr="00346FCB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https://www.youtube.com/watch?v=CK1F3v7s-3w&amp;list=LL&amp;index=6</w:t>
        </w:r>
      </w:hyperlink>
    </w:p>
    <w:p w14:paraId="78B75B18" w14:textId="77777777" w:rsidR="00346FCB" w:rsidRPr="00346FCB" w:rsidRDefault="00346FCB" w:rsidP="00346F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FCB">
        <w:rPr>
          <w:rFonts w:ascii="Times New Roman" w:hAnsi="Times New Roman" w:cs="Times New Roman"/>
          <w:b/>
          <w:bCs/>
          <w:sz w:val="24"/>
          <w:szCs w:val="24"/>
          <w:u w:val="single"/>
        </w:rPr>
        <w:t>Абстракт</w:t>
      </w:r>
    </w:p>
    <w:p w14:paraId="2D2E950A" w14:textId="6B13A3DB" w:rsidR="00346FCB" w:rsidRPr="00346FCB" w:rsidRDefault="00346FCB" w:rsidP="00346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 w:rsidRPr="00346FCB">
        <w:rPr>
          <w:rFonts w:ascii="Times New Roman" w:hAnsi="Times New Roman" w:cs="Times New Roman"/>
          <w:sz w:val="24"/>
          <w:szCs w:val="24"/>
        </w:rPr>
        <w:t xml:space="preserve"> – доктор психологических наук С. М. Шингаев. В лекции он разбирает психологические особенности организации урока, которые являются важными для учителей.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46FCB">
        <w:rPr>
          <w:rFonts w:ascii="Times New Roman" w:hAnsi="Times New Roman" w:cs="Times New Roman"/>
          <w:sz w:val="24"/>
          <w:szCs w:val="24"/>
        </w:rPr>
        <w:t>психологической точки зрения, в уроке можно выделить четыре важных момента, конкретно 2 минуты, 5 минут, 20 минут и 40 минут. Во-первых, это 2 минуты</w:t>
      </w:r>
      <w:r w:rsidRPr="00346FCB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346FCB">
        <w:rPr>
          <w:rFonts w:ascii="Times New Roman" w:hAnsi="Times New Roman" w:cs="Times New Roman"/>
          <w:sz w:val="24"/>
          <w:szCs w:val="24"/>
        </w:rPr>
        <w:t xml:space="preserve"> символизирующие</w:t>
      </w:r>
      <w:r w:rsidRPr="00346FCB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346FCB">
        <w:rPr>
          <w:rFonts w:ascii="Times New Roman" w:hAnsi="Times New Roman" w:cs="Times New Roman"/>
          <w:sz w:val="24"/>
          <w:szCs w:val="24"/>
        </w:rPr>
        <w:t xml:space="preserve"> на сколько учитель может задержаться, прежде чем у учеников возникает ощущение, что они что-то недополучают. Во-вторых, оратор говорит о 5 минутах, когда ученики, стоя, способны воспринимать информацию. Он также объясняет, что, сидя, это 20 минут. В-третьих, это 40 минут, когда возникает монотония, и надо сделать паузу, во время которой ученикам надо двигаться. Во второй части Шингаев подчеркивает то, что на уроке учитель должен запустить два эффекта – АГА и навеяло. Эффект </w:t>
      </w:r>
      <w:r w:rsidRPr="00346FCB">
        <w:rPr>
          <w:rFonts w:ascii="Times New Roman" w:hAnsi="Times New Roman" w:cs="Times New Roman"/>
          <w:sz w:val="24"/>
          <w:szCs w:val="24"/>
          <w:lang w:val="cs-CZ"/>
        </w:rPr>
        <w:t>´</w:t>
      </w:r>
      <w:r w:rsidRPr="00346FCB">
        <w:rPr>
          <w:rFonts w:ascii="Times New Roman" w:hAnsi="Times New Roman" w:cs="Times New Roman"/>
          <w:sz w:val="24"/>
          <w:szCs w:val="24"/>
        </w:rPr>
        <w:t>навеяло</w:t>
      </w:r>
      <w:r w:rsidRPr="00346FCB">
        <w:rPr>
          <w:rFonts w:ascii="Times New Roman" w:hAnsi="Times New Roman" w:cs="Times New Roman"/>
          <w:sz w:val="24"/>
          <w:szCs w:val="24"/>
          <w:lang w:val="cs-CZ"/>
        </w:rPr>
        <w:t>´</w:t>
      </w:r>
      <w:r w:rsidRPr="00346FCB">
        <w:rPr>
          <w:rFonts w:ascii="Times New Roman" w:hAnsi="Times New Roman" w:cs="Times New Roman"/>
          <w:sz w:val="24"/>
          <w:szCs w:val="24"/>
        </w:rPr>
        <w:t xml:space="preserve"> показан на примере урока истории о руках Петра </w:t>
      </w:r>
      <w:r w:rsidRPr="00346FCB">
        <w:rPr>
          <w:rFonts w:ascii="Times New Roman" w:hAnsi="Times New Roman" w:cs="Times New Roman"/>
          <w:sz w:val="24"/>
          <w:szCs w:val="24"/>
          <w:lang w:val="cs-CZ"/>
        </w:rPr>
        <w:t>I.</w:t>
      </w:r>
      <w:r w:rsidRPr="00346FCB">
        <w:rPr>
          <w:rFonts w:ascii="Times New Roman" w:hAnsi="Times New Roman" w:cs="Times New Roman"/>
          <w:sz w:val="24"/>
          <w:szCs w:val="24"/>
        </w:rPr>
        <w:t xml:space="preserve"> В последней части сделан акцент развитие эмоционального интеллекта учеников.</w:t>
      </w:r>
    </w:p>
    <w:p w14:paraId="4E1D2ED2" w14:textId="77777777" w:rsidR="00346FCB" w:rsidRPr="00346FCB" w:rsidRDefault="00346FCB" w:rsidP="00346F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9A0BCD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 xml:space="preserve">организация урока – organizace vyučovací hodiny </w:t>
      </w:r>
    </w:p>
    <w:p w14:paraId="40C38553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монотония – monotónnost</w:t>
      </w:r>
    </w:p>
    <w:p w14:paraId="27DE906E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чёрные экраны – černé obrazovky (mobilní telefony)</w:t>
      </w:r>
    </w:p>
    <w:p w14:paraId="2057862F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эффект АГА – AHA efekt</w:t>
      </w:r>
    </w:p>
    <w:p w14:paraId="58C371B8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навеяло – vzbuzení (emocí)</w:t>
      </w:r>
    </w:p>
    <w:p w14:paraId="5CEE85F8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психологические феномены – psychologické fenomény</w:t>
      </w:r>
    </w:p>
    <w:p w14:paraId="45966B09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эмоциональный интеллект – emoční intelekt</w:t>
      </w:r>
    </w:p>
    <w:p w14:paraId="36952059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айкью – IQ</w:t>
      </w:r>
    </w:p>
    <w:p w14:paraId="1206B546" w14:textId="237DDA4C" w:rsidR="00346FCB" w:rsidRDefault="00346FCB" w:rsidP="00346FC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46FCB">
        <w:rPr>
          <w:rFonts w:ascii="Times New Roman" w:hAnsi="Times New Roman" w:cs="Times New Roman"/>
          <w:sz w:val="24"/>
          <w:szCs w:val="24"/>
        </w:rPr>
        <w:t xml:space="preserve">психологические фишки – psychologické </w:t>
      </w:r>
      <w:r w:rsidRPr="00346FCB">
        <w:rPr>
          <w:rFonts w:ascii="Times New Roman" w:hAnsi="Times New Roman" w:cs="Times New Roman"/>
          <w:sz w:val="24"/>
          <w:szCs w:val="24"/>
          <w:lang w:val="cs-CZ"/>
        </w:rPr>
        <w:t>´vymoženosti´</w:t>
      </w:r>
    </w:p>
    <w:p w14:paraId="2E2C5932" w14:textId="7666A6DB" w:rsidR="00346FCB" w:rsidRDefault="00346FCB" w:rsidP="00346FCB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B036074" w14:textId="77777777" w:rsidR="00346FCB" w:rsidRPr="00346FCB" w:rsidRDefault="00346FCB" w:rsidP="00346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6FC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14:paraId="42BBBD48" w14:textId="77777777" w:rsidR="00346FCB" w:rsidRPr="00346FCB" w:rsidRDefault="00346FCB" w:rsidP="00346FCB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Pr="00346F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https://www.youtube.com/watch?v=pid89mpTWiE&amp;t=343s</w:t>
        </w:r>
      </w:hyperlink>
    </w:p>
    <w:p w14:paraId="5B1C1BA3" w14:textId="37595098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</w:p>
    <w:p w14:paraId="6F5B914F" w14:textId="77777777" w:rsidR="00346FCB" w:rsidRPr="00346FCB" w:rsidRDefault="00346FCB" w:rsidP="00346FC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346FCB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Развиваем мотивацию и трудолюбие при воспитании детей. Детская психология и педагогика на практике</w:t>
      </w:r>
    </w:p>
    <w:p w14:paraId="26E2772A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</w:p>
    <w:p w14:paraId="59025CA6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6FCB">
        <w:rPr>
          <w:rFonts w:ascii="Times New Roman" w:hAnsi="Times New Roman" w:cs="Times New Roman"/>
          <w:sz w:val="24"/>
          <w:szCs w:val="24"/>
          <w:u w:val="single"/>
        </w:rPr>
        <w:t>Резюме</w:t>
      </w:r>
    </w:p>
    <w:p w14:paraId="4AA936B4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lastRenderedPageBreak/>
        <w:t xml:space="preserve">Лана Диканчиева говорит про то, что, несмотря на наши разные темпераменты, трудолюбие можно воспитать как привычку. От природы все дети хотят двигаться и делать что-то сами. Мы можем создать условия для развития самостоятельности, или мы можем этому препятствовать. Когда мы поддерживаем активность и сознательность ребёнка, это остаётся как привычка, и это даёт ему чувства уверенности и независимости. Если мы будем делать всё за ребёнка, то он будет этого ожидать и не будет хотеть работать самостоятельно. </w:t>
      </w:r>
    </w:p>
    <w:p w14:paraId="58A46E88" w14:textId="7AF234DF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Для ребёнка важен сам процесс того, что он делает, не только результат, поскольку в этом процессе заключается формирование личности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6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46FCB">
        <w:rPr>
          <w:rFonts w:ascii="Times New Roman" w:hAnsi="Times New Roman" w:cs="Times New Roman"/>
          <w:sz w:val="24"/>
          <w:szCs w:val="24"/>
        </w:rPr>
        <w:t xml:space="preserve">ужно </w:t>
      </w:r>
      <w:r>
        <w:rPr>
          <w:rFonts w:ascii="Times New Roman" w:hAnsi="Times New Roman" w:cs="Times New Roman"/>
          <w:sz w:val="24"/>
          <w:szCs w:val="24"/>
        </w:rPr>
        <w:t xml:space="preserve">мотивировать </w:t>
      </w:r>
      <w:r w:rsidRPr="00346FCB">
        <w:rPr>
          <w:rFonts w:ascii="Times New Roman" w:hAnsi="Times New Roman" w:cs="Times New Roman"/>
          <w:sz w:val="24"/>
          <w:szCs w:val="24"/>
        </w:rPr>
        <w:t>ребёнка 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346FCB">
        <w:rPr>
          <w:rFonts w:ascii="Times New Roman" w:hAnsi="Times New Roman" w:cs="Times New Roman"/>
          <w:sz w:val="24"/>
          <w:szCs w:val="24"/>
        </w:rPr>
        <w:t xml:space="preserve">. Важно посмотреть на нашу квартиру критично и дать ребёнку возможность быть активным. </w:t>
      </w:r>
    </w:p>
    <w:p w14:paraId="37313AC3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</w:p>
    <w:p w14:paraId="76A81F22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6FCB">
        <w:rPr>
          <w:rFonts w:ascii="Times New Roman" w:hAnsi="Times New Roman" w:cs="Times New Roman"/>
          <w:sz w:val="24"/>
          <w:szCs w:val="24"/>
          <w:u w:val="single"/>
        </w:rPr>
        <w:t>Ключевые слова</w:t>
      </w:r>
    </w:p>
    <w:p w14:paraId="2ABF4274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детская психология</w:t>
      </w:r>
    </w:p>
    <w:p w14:paraId="06653396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педагогика</w:t>
      </w:r>
    </w:p>
    <w:p w14:paraId="7378B3FE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мотивация</w:t>
      </w:r>
    </w:p>
    <w:p w14:paraId="789E0172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трудолюбие</w:t>
      </w:r>
    </w:p>
    <w:p w14:paraId="60AA5B16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дети</w:t>
      </w:r>
    </w:p>
    <w:p w14:paraId="027551C2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воспитание детей</w:t>
      </w:r>
    </w:p>
    <w:p w14:paraId="69CE2F21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привычка</w:t>
      </w:r>
    </w:p>
    <w:p w14:paraId="25F2F2EA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самостоятельность</w:t>
      </w:r>
    </w:p>
    <w:p w14:paraId="74A45E7E" w14:textId="60CA0713" w:rsidR="00346FCB" w:rsidRPr="00346FCB" w:rsidRDefault="00346FCB" w:rsidP="00346FCB">
      <w:pPr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75C51C19" w14:textId="77777777" w:rsidR="00346FCB" w:rsidRDefault="00346FCB" w:rsidP="00346F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14:paraId="63177300" w14:textId="7FE7B8A0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F4E7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https://www.youtube.com/watch?v=9nEcsi8aFCA</w:t>
        </w:r>
      </w:hyperlink>
    </w:p>
    <w:p w14:paraId="533F1ED7" w14:textId="15A3B213" w:rsidR="00346FCB" w:rsidRDefault="00346FCB" w:rsidP="00346F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02A3F1" w14:textId="78759E19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 xml:space="preserve">Ольга Македонская: Общие вопросы теории специальной педагогики </w:t>
      </w:r>
    </w:p>
    <w:p w14:paraId="14F67EDB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6FCB">
        <w:rPr>
          <w:rFonts w:ascii="Times New Roman" w:hAnsi="Times New Roman" w:cs="Times New Roman"/>
          <w:sz w:val="24"/>
          <w:szCs w:val="24"/>
          <w:u w:val="single"/>
        </w:rPr>
        <w:t>О чём видео:</w:t>
      </w:r>
    </w:p>
    <w:p w14:paraId="4F6D518D" w14:textId="147992B0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</w:rPr>
        <w:t>Видео об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ъ</w:t>
      </w:r>
      <w:r w:rsidRPr="00346F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ясняет, что такое специальная педагогика – это вид педагогики, и она занимается теорией и практикой специального образования лиц с отклонениями в физическом и психическом развитии. Здесь покозана её история и происхождение наименования специальной педагогики, которая раньше называлась дефектологией или коррекционной педагогикой. Мы узнали, что в </w:t>
      </w:r>
      <w:r w:rsidRPr="00346FCB">
        <w:rPr>
          <w:rFonts w:ascii="Times New Roman" w:hAnsi="Times New Roman" w:cs="Times New Roman"/>
          <w:sz w:val="24"/>
          <w:szCs w:val="24"/>
        </w:rPr>
        <w:t xml:space="preserve">настоящее время специальная педагогика предполагает образование лиц с особыми образовательными потребностями или с ограниченными возможностями здоровья. Из видео тоже можно </w:t>
      </w:r>
      <w:r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346FCB">
        <w:rPr>
          <w:rFonts w:ascii="Times New Roman" w:hAnsi="Times New Roman" w:cs="Times New Roman"/>
          <w:sz w:val="24"/>
          <w:szCs w:val="24"/>
        </w:rPr>
        <w:t xml:space="preserve">некоторые термины, используемые в области специальной педагогики, это, например, специальное образование, лицо с органичнными возможностями здоровья или разные формы недостатков. Мы тоже </w:t>
      </w:r>
      <w:r>
        <w:rPr>
          <w:rFonts w:ascii="Times New Roman" w:hAnsi="Times New Roman" w:cs="Times New Roman"/>
          <w:sz w:val="24"/>
          <w:szCs w:val="24"/>
        </w:rPr>
        <w:t>узнаем</w:t>
      </w:r>
      <w:r w:rsidRPr="00346FCB">
        <w:rPr>
          <w:rFonts w:ascii="Times New Roman" w:hAnsi="Times New Roman" w:cs="Times New Roman"/>
          <w:sz w:val="24"/>
          <w:szCs w:val="24"/>
        </w:rPr>
        <w:t xml:space="preserve"> что-то об организациях, работающих с детьми с </w:t>
      </w:r>
      <w:r w:rsidRPr="00346FCB">
        <w:rPr>
          <w:rFonts w:ascii="Times New Roman" w:hAnsi="Times New Roman" w:cs="Times New Roman"/>
          <w:sz w:val="24"/>
          <w:szCs w:val="24"/>
        </w:rPr>
        <w:lastRenderedPageBreak/>
        <w:t>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FCB">
        <w:rPr>
          <w:rFonts w:ascii="Times New Roman" w:hAnsi="Times New Roman" w:cs="Times New Roman"/>
          <w:sz w:val="24"/>
          <w:szCs w:val="24"/>
        </w:rPr>
        <w:t xml:space="preserve"> и о разделении предметных областей современной специальной педагогики. Это тифлопедагогика, сурдопедагогика, тифлосурдопедагогика, логопедия, олигофренопедагогика, нарушение опорно-двигательного аппарата, нарушение эмоционально-волевой сферы и область, где хронически больные люди. Наконец, в видео говорят о степени распространенности в пределах детской возрастной группы в отдельных областях. </w:t>
      </w:r>
    </w:p>
    <w:p w14:paraId="33CC6670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  <w:u w:val="single"/>
        </w:rPr>
        <w:t xml:space="preserve">Ключевые слова: </w:t>
      </w:r>
      <w:r w:rsidRPr="00346FCB">
        <w:rPr>
          <w:rFonts w:ascii="Times New Roman" w:hAnsi="Times New Roman" w:cs="Times New Roman"/>
          <w:sz w:val="24"/>
          <w:szCs w:val="24"/>
        </w:rPr>
        <w:t>специальная педагогика, здоровье, предметные области, университет, образование, теория, практика, терминология, распространенность, потребности</w:t>
      </w:r>
    </w:p>
    <w:p w14:paraId="43829E18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  <w:r w:rsidRPr="00346FCB">
        <w:rPr>
          <w:rFonts w:ascii="Times New Roman" w:hAnsi="Times New Roman" w:cs="Times New Roman"/>
          <w:sz w:val="24"/>
          <w:szCs w:val="24"/>
          <w:u w:val="single"/>
        </w:rPr>
        <w:t>Klíčová slova:</w:t>
      </w:r>
      <w:r w:rsidRPr="00346FCB">
        <w:rPr>
          <w:rFonts w:ascii="Times New Roman" w:hAnsi="Times New Roman" w:cs="Times New Roman"/>
          <w:sz w:val="24"/>
          <w:szCs w:val="24"/>
        </w:rPr>
        <w:t xml:space="preserve"> speciální pedagogika, zdraví, obor, univerzita, vzdělávání, teorie, praxe, terminologie, prevalence, potřeby</w:t>
      </w:r>
    </w:p>
    <w:p w14:paraId="221B5AF1" w14:textId="77777777" w:rsidR="00346FCB" w:rsidRPr="00346FCB" w:rsidRDefault="00346FCB" w:rsidP="00346FCB">
      <w:pPr>
        <w:rPr>
          <w:rFonts w:ascii="Times New Roman" w:hAnsi="Times New Roman" w:cs="Times New Roman"/>
          <w:sz w:val="24"/>
          <w:szCs w:val="24"/>
        </w:rPr>
      </w:pPr>
    </w:p>
    <w:p w14:paraId="4C575636" w14:textId="77777777" w:rsidR="00E74337" w:rsidRPr="00346FCB" w:rsidRDefault="00E74337">
      <w:pPr>
        <w:rPr>
          <w:rFonts w:ascii="Times New Roman" w:hAnsi="Times New Roman" w:cs="Times New Roman"/>
          <w:sz w:val="24"/>
          <w:szCs w:val="24"/>
        </w:rPr>
      </w:pPr>
    </w:p>
    <w:sectPr w:rsidR="00E74337" w:rsidRPr="0034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B"/>
    <w:rsid w:val="00346FCB"/>
    <w:rsid w:val="00E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D7E9"/>
  <w15:chartTrackingRefBased/>
  <w15:docId w15:val="{3D6A7B25-B8F8-4425-AF5B-9595B063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FCB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FC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46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F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FCB"/>
    <w:rPr>
      <w:sz w:val="20"/>
      <w:szCs w:val="20"/>
      <w:lang w:val="ru-RU"/>
    </w:rPr>
  </w:style>
  <w:style w:type="character" w:styleId="Nevyeenzmnka">
    <w:name w:val="Unresolved Mention"/>
    <w:basedOn w:val="Standardnpsmoodstavce"/>
    <w:uiPriority w:val="99"/>
    <w:semiHidden/>
    <w:unhideWhenUsed/>
    <w:rsid w:val="0034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nEcsi8aFCA" TargetMode="External"/><Relationship Id="rId5" Type="http://schemas.openxmlformats.org/officeDocument/2006/relationships/hyperlink" Target="https://www.youtube.com/watch?v=pid89mpTWiE&amp;t=343s" TargetMode="External"/><Relationship Id="rId4" Type="http://schemas.openxmlformats.org/officeDocument/2006/relationships/hyperlink" Target="https://www.youtube.com/watch?v=CK1F3v7s-3w&amp;list=LL&amp;index=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2023-04-03T23:43:00Z</dcterms:created>
  <dcterms:modified xsi:type="dcterms:W3CDTF">2023-04-03T23:55:00Z</dcterms:modified>
</cp:coreProperties>
</file>