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rPr>
      </w:pPr>
      <w:r>
        <w:rPr>
          <w:b/>
          <w:bCs/>
        </w:rPr>
        <w:t>Globální rozvojové vzdělávání</w:t>
      </w:r>
    </w:p>
    <w:p>
      <w:pPr>
        <w:pStyle w:val="Normal"/>
        <w:jc w:val="center"/>
        <w:rPr/>
      </w:pPr>
      <w:r>
        <w:rPr/>
        <w:t>Štěpán Jati. 494934</w:t>
      </w:r>
    </w:p>
    <w:p>
      <w:pPr>
        <w:pStyle w:val="Normal"/>
        <w:jc w:val="center"/>
        <w:rPr/>
      </w:pPr>
      <w:r>
        <w:rPr/>
      </w:r>
    </w:p>
    <w:p>
      <w:pPr>
        <w:pStyle w:val="Normal"/>
        <w:jc w:val="left"/>
        <w:rPr/>
      </w:pPr>
      <w:r>
        <w:rPr/>
      </w:r>
    </w:p>
    <w:p>
      <w:pPr>
        <w:pStyle w:val="Normal"/>
        <w:jc w:val="both"/>
        <w:rPr/>
      </w:pPr>
      <w:r>
        <w:rPr/>
        <w:t>1) Strategie vzdělávací politiky ČR pro 2030+ GRV nazývá "vzděláním pro udržitelný rozvoj", které spadá pod "občanské vzdělávání":</w:t>
      </w:r>
    </w:p>
    <w:p>
      <w:pPr>
        <w:pStyle w:val="Normal"/>
        <w:jc w:val="both"/>
        <w:rPr/>
      </w:pPr>
      <w:r>
        <w:rPr/>
      </w:r>
    </w:p>
    <w:p>
      <w:pPr>
        <w:pStyle w:val="Normal"/>
        <w:jc w:val="both"/>
        <w:rPr/>
      </w:pPr>
      <w:r>
        <w:rPr>
          <w:i/>
          <w:iCs/>
        </w:rPr>
        <w:t xml:space="preserve">"Cílem vzdělávání pro udržitelný rozvoj je vybavit občana kompetencemi (znalostmi, dovednostmi a postoji) k sociálně a environmentálně odpovědnému jednání (jednání odpovědnému vůči přírodě i lidem). Jde tedy o schopnost jednat jako zodpovědný občan a plně se podílet na občanském a společenském životě na základě porozumění environmentálním sociálním, ekonomickým, právním a politickým pojmům a strukturám současné demokratické společnosti, jakož i celosvětovému vývoji a jeho udržitelnosti. Podstatná je též mediální gramotnost, kritické myšlení, schopnost uvažovat o sobě, účinně nakládat s časem a informacemi, chápat společenské dění i v mezinárodním kontextu, spolupracovat v týmech a disponovat povědomím o rozmanitosti a kulturních identitách a respektovat je." </w:t>
      </w:r>
      <w:r>
        <w:rPr/>
        <w:t xml:space="preserve"> </w:t>
      </w:r>
      <w:r>
        <w:rPr/>
        <w:t>(Ministerstvo školství, mládeže a tělovýchovy, 2020, str. 33)</w:t>
      </w:r>
    </w:p>
    <w:p>
      <w:pPr>
        <w:pStyle w:val="Normal"/>
        <w:jc w:val="both"/>
        <w:rPr>
          <w:i/>
          <w:i/>
          <w:iCs/>
        </w:rPr>
      </w:pPr>
      <w:r>
        <w:rPr>
          <w:i/>
          <w:iCs/>
        </w:rPr>
      </w:r>
    </w:p>
    <w:p>
      <w:pPr>
        <w:pStyle w:val="Normal"/>
        <w:jc w:val="both"/>
        <w:rPr>
          <w:i/>
          <w:i/>
          <w:iCs/>
        </w:rPr>
      </w:pPr>
      <w:r>
        <w:rPr>
          <w:i/>
          <w:iCs/>
        </w:rPr>
        <w:t xml:space="preserve">Promítnout principy udržitelného rozvoje do vzdělávání </w:t>
      </w:r>
    </w:p>
    <w:p>
      <w:pPr>
        <w:pStyle w:val="Normal"/>
        <w:jc w:val="both"/>
        <w:rPr>
          <w:i/>
          <w:i/>
          <w:iCs/>
        </w:rPr>
      </w:pPr>
      <w:r>
        <w:rPr>
          <w:i/>
          <w:iCs/>
        </w:rPr>
        <w:t xml:space="preserve">Oblast udržitelného rozvoje, její průřezová reflexe a zohlednění v rámci forem a metod vzdělávání je nezbytným předpokladem pro pochopení propojenosti a vzájemné souvislosti ekonomických, sociálních a environmentálních hledisek rozvoje, a to na lokální, regionální, národní i globální úrovni. Chceme zajistit, aby si všichni osvojovali znalosti a dovednosti potřebné k prosazování udržitelného rozvoje, mimo jiné prostřednictvím vzdělávání zaměřeného na udržitelný rozvoj a udržitelný způsob života, změnu klimatu, lidská práva, genderovou rovnost, toleranci, prosazování kultury míru a nenásilí, občanství a uznávání kulturní rozmanitosti a přínosu kultury k udržitelnému rozvoji. </w:t>
      </w:r>
      <w:r>
        <w:rPr>
          <w:i w:val="false"/>
          <w:iCs w:val="false"/>
        </w:rPr>
        <w:t>(ta</w:t>
      </w:r>
      <w:r>
        <w:rPr>
          <w:i w:val="false"/>
          <w:iCs w:val="false"/>
        </w:rPr>
        <w:t>mtéž</w:t>
      </w:r>
      <w:r>
        <w:rPr>
          <w:i w:val="false"/>
          <w:iCs w:val="false"/>
        </w:rPr>
        <w:t>)</w:t>
      </w:r>
    </w:p>
    <w:p>
      <w:pPr>
        <w:pStyle w:val="Normal"/>
        <w:jc w:val="both"/>
        <w:rPr>
          <w:i w:val="false"/>
          <w:i w:val="false"/>
          <w:iCs w:val="false"/>
        </w:rPr>
      </w:pPr>
      <w:r>
        <w:rPr>
          <w:i w:val="false"/>
          <w:iCs w:val="false"/>
        </w:rPr>
      </w:r>
    </w:p>
    <w:p>
      <w:pPr>
        <w:pStyle w:val="Normal"/>
        <w:jc w:val="both"/>
        <w:rPr>
          <w:sz w:val="24"/>
          <w:szCs w:val="24"/>
        </w:rPr>
      </w:pPr>
      <w:r>
        <w:rPr>
          <w:sz w:val="24"/>
          <w:szCs w:val="24"/>
        </w:rPr>
        <w:t>(</w:t>
      </w:r>
      <w:r>
        <w:rPr>
          <w:sz w:val="24"/>
          <w:szCs w:val="24"/>
        </w:rPr>
        <w:t xml:space="preserve">Fryč, </w:t>
      </w:r>
      <w:r>
        <w:rPr>
          <w:sz w:val="24"/>
          <w:szCs w:val="24"/>
        </w:rPr>
        <w:t>J.,</w:t>
      </w:r>
      <w:r>
        <w:rPr>
          <w:sz w:val="24"/>
          <w:szCs w:val="24"/>
        </w:rPr>
        <w:t xml:space="preserve">Matušková, </w:t>
      </w:r>
      <w:r>
        <w:rPr>
          <w:sz w:val="24"/>
          <w:szCs w:val="24"/>
        </w:rPr>
        <w:t xml:space="preserve">Z., </w:t>
      </w:r>
      <w:r>
        <w:rPr>
          <w:sz w:val="24"/>
          <w:szCs w:val="24"/>
        </w:rPr>
        <w:t xml:space="preserve">Katzová,  </w:t>
      </w:r>
      <w:r>
        <w:rPr>
          <w:sz w:val="24"/>
          <w:szCs w:val="24"/>
        </w:rPr>
        <w:t xml:space="preserve">P., </w:t>
      </w:r>
      <w:r>
        <w:rPr>
          <w:sz w:val="24"/>
          <w:szCs w:val="24"/>
        </w:rPr>
        <w:t xml:space="preserve">Kovář, </w:t>
      </w:r>
      <w:r>
        <w:rPr>
          <w:sz w:val="24"/>
          <w:szCs w:val="24"/>
        </w:rPr>
        <w:t>K., B</w:t>
      </w:r>
      <w:r>
        <w:rPr>
          <w:sz w:val="24"/>
          <w:szCs w:val="24"/>
        </w:rPr>
        <w:t xml:space="preserve">eran, </w:t>
      </w:r>
      <w:r>
        <w:rPr>
          <w:sz w:val="24"/>
          <w:szCs w:val="24"/>
        </w:rPr>
        <w:t xml:space="preserve">J., </w:t>
      </w:r>
      <w:r>
        <w:rPr>
          <w:sz w:val="24"/>
          <w:szCs w:val="24"/>
        </w:rPr>
        <w:t xml:space="preserve">Valachová, </w:t>
      </w:r>
      <w:r>
        <w:rPr>
          <w:sz w:val="24"/>
          <w:szCs w:val="24"/>
        </w:rPr>
        <w:t xml:space="preserve">I., </w:t>
      </w:r>
      <w:r>
        <w:rPr>
          <w:sz w:val="24"/>
          <w:szCs w:val="24"/>
        </w:rPr>
        <w:t xml:space="preserve">Seifert, </w:t>
      </w:r>
      <w:r>
        <w:rPr>
          <w:sz w:val="24"/>
          <w:szCs w:val="24"/>
        </w:rPr>
        <w:t>L.,</w:t>
      </w:r>
      <w:r>
        <w:rPr>
          <w:sz w:val="24"/>
          <w:szCs w:val="24"/>
        </w:rPr>
        <w:t xml:space="preserve"> Běťáková, </w:t>
      </w:r>
      <w:r>
        <w:rPr>
          <w:sz w:val="24"/>
          <w:szCs w:val="24"/>
        </w:rPr>
        <w:t>M.,</w:t>
      </w:r>
      <w:r>
        <w:rPr>
          <w:sz w:val="24"/>
          <w:szCs w:val="24"/>
        </w:rPr>
        <w:t xml:space="preserve"> </w:t>
      </w:r>
      <w:r>
        <w:rPr>
          <w:sz w:val="24"/>
          <w:szCs w:val="24"/>
        </w:rPr>
        <w:t>H</w:t>
      </w:r>
      <w:r>
        <w:rPr>
          <w:sz w:val="24"/>
          <w:szCs w:val="24"/>
        </w:rPr>
        <w:t xml:space="preserve">rdlička, </w:t>
      </w:r>
      <w:r>
        <w:rPr>
          <w:sz w:val="24"/>
          <w:szCs w:val="24"/>
        </w:rPr>
        <w:t>F.</w:t>
      </w:r>
      <w:r>
        <w:rPr>
          <w:sz w:val="24"/>
          <w:szCs w:val="24"/>
        </w:rPr>
        <w:t xml:space="preserve"> a kolektiv autorů Hlavních směrů vzdělávací politiky ČR do roku 2030+ </w:t>
      </w:r>
      <w:r>
        <w:rPr>
          <w:sz w:val="24"/>
          <w:szCs w:val="24"/>
        </w:rPr>
        <w:t xml:space="preserve">(2020). </w:t>
      </w:r>
      <w:r>
        <w:rPr>
          <w:i/>
          <w:iCs/>
          <w:sz w:val="24"/>
          <w:szCs w:val="24"/>
        </w:rPr>
        <w:t>Strategie vzdělávací politiky České republiky do roku 2030+</w:t>
      </w:r>
      <w:r>
        <w:rPr>
          <w:sz w:val="24"/>
          <w:szCs w:val="24"/>
        </w:rPr>
        <w:t xml:space="preserve">. </w:t>
      </w:r>
      <w:hyperlink r:id="rId2">
        <w:r>
          <w:rPr>
            <w:rStyle w:val="Internetovodkaz"/>
            <w:sz w:val="24"/>
            <w:szCs w:val="24"/>
          </w:rPr>
          <w:t>https://www.msmt.cz/file/54104/</w:t>
        </w:r>
      </w:hyperlink>
    </w:p>
    <w:p>
      <w:pPr>
        <w:pStyle w:val="Normal"/>
        <w:jc w:val="both"/>
        <w:rPr>
          <w:i w:val="false"/>
          <w:i w:val="false"/>
          <w:iCs w:val="false"/>
          <w:sz w:val="20"/>
          <w:szCs w:val="20"/>
        </w:rPr>
      </w:pPr>
      <w:r>
        <w:rPr>
          <w:i w:val="false"/>
          <w:iCs w:val="false"/>
          <w:sz w:val="20"/>
          <w:szCs w:val="20"/>
        </w:rPr>
      </w:r>
    </w:p>
    <w:p>
      <w:pPr>
        <w:pStyle w:val="Normal"/>
        <w:jc w:val="both"/>
        <w:rPr/>
      </w:pPr>
      <w:r>
        <w:rPr/>
      </w:r>
    </w:p>
    <w:p>
      <w:pPr>
        <w:pStyle w:val="Normal"/>
        <w:jc w:val="both"/>
        <w:rPr/>
      </w:pPr>
      <w:r>
        <w:rPr/>
        <w:t xml:space="preserve">2) </w:t>
      </w:r>
      <w:r>
        <w:rPr/>
        <w:t xml:space="preserve">Strategie GRV 2018-2030: </w:t>
      </w:r>
    </w:p>
    <w:p>
      <w:pPr>
        <w:pStyle w:val="Normal"/>
        <w:jc w:val="both"/>
        <w:rPr>
          <w:i/>
          <w:i/>
          <w:iCs/>
        </w:rPr>
      </w:pPr>
      <w:r>
        <w:rPr>
          <w:i/>
          <w:iCs/>
        </w:rPr>
        <w:t>"Cílem globálního rozvojového vzdělávání (GRV), jehož východiskem je Agenda pro udržitelný rozvoj 2030, je podporovat schopnost lidí kvalifikovaně a objektivně porozumět globálním, regionálním i lokálním politickým, ekonomickým, sociálním, environmentálním a kulturním procesům, včetně jejich vzájemných souvislostí a propojenosti jejich dopadů."</w:t>
      </w:r>
    </w:p>
    <w:p>
      <w:pPr>
        <w:pStyle w:val="Normal"/>
        <w:jc w:val="both"/>
        <w:rPr/>
      </w:pPr>
      <w:r>
        <w:rPr/>
      </w:r>
    </w:p>
    <w:p>
      <w:pPr>
        <w:pStyle w:val="Normal"/>
        <w:jc w:val="both"/>
        <w:rPr/>
      </w:pPr>
      <w:r>
        <w:rPr/>
        <w:t xml:space="preserve">Ministerstvo zahraničních věcí české republiky, (2019). </w:t>
      </w:r>
      <w:r>
        <w:rPr>
          <w:i/>
          <w:iCs/>
        </w:rPr>
        <w:t>Strategie globálního rozvojového vzdělávání a osvěty o globálních souvislostech.</w:t>
      </w:r>
      <w:r>
        <w:rPr/>
        <w:t xml:space="preserve"> </w:t>
      </w:r>
      <w:hyperlink r:id="rId3">
        <w:r>
          <w:rPr>
            <w:rStyle w:val="Internetovodkaz"/>
          </w:rPr>
          <w:t>https://www.mzv.cz/file/3418207/Strategie_GRV_2018_2030.pdf</w:t>
        </w:r>
      </w:hyperlink>
    </w:p>
    <w:p>
      <w:pPr>
        <w:pStyle w:val="Normal"/>
        <w:jc w:val="both"/>
        <w:rPr/>
      </w:pPr>
      <w:r>
        <w:rPr/>
      </w:r>
    </w:p>
    <w:p>
      <w:pPr>
        <w:pStyle w:val="Normal"/>
        <w:jc w:val="both"/>
        <w:rPr/>
      </w:pPr>
      <w:r>
        <w:rPr/>
        <w:t>3)</w:t>
      </w:r>
    </w:p>
    <w:p>
      <w:pPr>
        <w:pStyle w:val="Normal"/>
        <w:jc w:val="both"/>
        <w:rPr>
          <w:i/>
          <w:i/>
          <w:iCs/>
        </w:rPr>
      </w:pPr>
      <w:r>
        <w:rPr>
          <w:i/>
          <w:iCs/>
        </w:rPr>
        <w:t xml:space="preserve">"Global citizenship as we conceptualize it herewith is based on values of mutuality and reciprocity, or as Torres calls it in our discussion “el buen vivir”—this concept frames GCE (Global Citizirnship Education) within a looking forward educational theory which, despite its intrinsic but resolvable contradictions, encourages a way of acting in society that is community-centric, ecologically balanced, and culturally sensitive, in the ongoing  </w:t>
      </w:r>
      <w:r>
        <w:rPr>
          <w:i/>
          <w:iCs/>
        </w:rPr>
        <w:t xml:space="preserve">construction of a more just and peaceful world." </w:t>
      </w:r>
      <w:r>
        <w:rPr>
          <w:i w:val="false"/>
          <w:iCs w:val="false"/>
        </w:rPr>
        <w:t>(Bossio a Torres, 2019, str.3)</w:t>
      </w:r>
    </w:p>
    <w:p>
      <w:pPr>
        <w:pStyle w:val="Normal"/>
        <w:jc w:val="both"/>
        <w:rPr>
          <w:i w:val="false"/>
          <w:i w:val="false"/>
          <w:iCs w:val="false"/>
        </w:rPr>
      </w:pPr>
      <w:r>
        <w:rPr>
          <w:i w:val="false"/>
          <w:iCs w:val="false"/>
        </w:rPr>
      </w:r>
    </w:p>
    <w:p>
      <w:pPr>
        <w:pStyle w:val="Normal"/>
        <w:jc w:val="both"/>
        <w:rPr>
          <w:i w:val="false"/>
          <w:i w:val="false"/>
          <w:iCs w:val="false"/>
        </w:rPr>
      </w:pPr>
      <w:r>
        <w:rPr>
          <w:i w:val="false"/>
          <w:iCs w:val="false"/>
        </w:rPr>
        <w:t xml:space="preserve">Bosio, E., &amp; Torres, C. A. (2019). </w:t>
      </w:r>
      <w:r>
        <w:rPr>
          <w:i/>
          <w:iCs/>
        </w:rPr>
        <w:t>Global citizenship education: An educational theory of the common good? A conversation with Carlos Alberto Torres.</w:t>
      </w:r>
      <w:r>
        <w:rPr>
          <w:i w:val="false"/>
          <w:iCs w:val="false"/>
        </w:rPr>
        <w:t xml:space="preserve"> Policy Futures in Education. https://journals.sagepub.com/doi/full/10.1177/1478210319825517 </w:t>
      </w:r>
    </w:p>
    <w:p>
      <w:pPr>
        <w:pStyle w:val="Normal"/>
        <w:jc w:val="both"/>
        <w:rPr/>
      </w:pPr>
      <w:r>
        <w:rPr/>
      </w:r>
    </w:p>
    <w:p>
      <w:pPr>
        <w:pStyle w:val="Normal"/>
        <w:jc w:val="both"/>
        <w:rPr/>
      </w:pPr>
      <w:r>
        <w:rPr/>
        <w:t>4)</w:t>
      </w:r>
    </w:p>
    <w:p>
      <w:pPr>
        <w:pStyle w:val="Normal"/>
        <w:jc w:val="both"/>
        <w:rPr/>
      </w:pPr>
      <w:r>
        <w:rPr>
          <w:i/>
          <w:iCs/>
        </w:rPr>
        <w:t xml:space="preserve">"Globální rozvojové vzdělávání (GRV) umožňuje, aby (nejen) žáci byli lépe připraveni na život v současném světě, jenž je čím dál tím více propojený, komplexní a proměnlivý. Cílem globálního rozvojového vzdělávání je tedy porozumění, jaký mám já (jakožto spotřebitel, občan apod.) vliv na svět a naopak, jak podoba současného světa ovlivňuje mě a můj život. Popisuje propojení kulturních, přírodních, ekonomických, sociálních, politických a technologických systémů na celém světě." </w:t>
      </w:r>
      <w:r>
        <w:rPr/>
        <w:t xml:space="preserve"> </w:t>
      </w:r>
      <w:r>
        <w:rPr/>
        <w:t>(APROK, str.4)</w:t>
      </w:r>
    </w:p>
    <w:p>
      <w:pPr>
        <w:pStyle w:val="Normal"/>
        <w:jc w:val="both"/>
        <w:rPr/>
      </w:pPr>
      <w:r>
        <w:rPr/>
      </w:r>
    </w:p>
    <w:p>
      <w:pPr>
        <w:pStyle w:val="Normal"/>
        <w:jc w:val="both"/>
        <w:rPr/>
      </w:pPr>
      <w:r>
        <w:rPr/>
        <w:t xml:space="preserve">APROK, (2021). </w:t>
      </w:r>
      <w:r>
        <w:rPr>
          <w:i/>
          <w:iCs/>
        </w:rPr>
        <w:t xml:space="preserve">Když se řekne GRV – globální témata ve vybraných předmětech. </w:t>
      </w:r>
      <w:hyperlink r:id="rId4">
        <w:r>
          <w:rPr>
            <w:rStyle w:val="Internetovodkaz"/>
          </w:rPr>
          <w:t>https://arpok.cz/novy/wp-content/uploads/2021/05/Kdyz_se_rekne_GRV-2_web.pdf</w:t>
        </w:r>
      </w:hyperlink>
    </w:p>
    <w:p>
      <w:pPr>
        <w:pStyle w:val="Normal"/>
        <w:jc w:val="both"/>
        <w:rPr/>
      </w:pPr>
      <w:r>
        <w:rPr/>
      </w:r>
    </w:p>
    <w:p>
      <w:pPr>
        <w:pStyle w:val="Normal"/>
        <w:jc w:val="both"/>
        <w:rPr/>
      </w:pPr>
      <w:r>
        <w:rPr/>
      </w:r>
    </w:p>
    <w:p>
      <w:pPr>
        <w:pStyle w:val="Normal"/>
        <w:jc w:val="both"/>
        <w:rPr/>
      </w:pPr>
      <w:r>
        <w:rPr/>
      </w:r>
    </w:p>
    <w:p>
      <w:pPr>
        <w:pStyle w:val="Normal"/>
        <w:jc w:val="left"/>
        <w:rPr/>
      </w:pPr>
      <w:r>
        <w:rPr/>
      </w:r>
    </w:p>
    <w:p>
      <w:pPr>
        <w:pStyle w:val="Normal"/>
        <w:jc w:val="left"/>
        <w:rPr/>
      </w:pPr>
      <w:r>
        <w:rPr/>
      </w:r>
    </w:p>
    <w:p>
      <w:pPr>
        <w:pStyle w:val="Normal"/>
        <w:jc w:val="left"/>
        <w:rPr>
          <w:rFonts w:ascii="Times New Roman" w:hAnsi="Times New Roman"/>
          <w:b/>
          <w:b/>
          <w:bCs/>
          <w:color w:val="000000"/>
        </w:rPr>
      </w:pPr>
      <w:r>
        <w:rPr>
          <w:b/>
          <w:bCs/>
          <w:color w:val="000000"/>
        </w:rPr>
        <w:t>Citáty:</w:t>
      </w:r>
    </w:p>
    <w:p>
      <w:pPr>
        <w:pStyle w:val="Normal"/>
        <w:jc w:val="left"/>
        <w:rPr>
          <w:rFonts w:ascii="Times New Roman" w:hAnsi="Times New Roman"/>
          <w:b/>
          <w:b/>
          <w:bCs/>
          <w:color w:val="000000"/>
        </w:rPr>
      </w:pPr>
      <w:r>
        <w:rPr>
          <w:b/>
          <w:bCs/>
          <w:color w:val="000000"/>
        </w:rPr>
      </w:r>
    </w:p>
    <w:p>
      <w:pPr>
        <w:pStyle w:val="Normal"/>
        <w:jc w:val="left"/>
        <w:rPr>
          <w:rFonts w:ascii="Times New Roman" w:hAnsi="Times New Roman"/>
          <w:color w:val="000000"/>
        </w:rPr>
      </w:pPr>
      <w:r>
        <w:rPr>
          <w:i/>
          <w:iCs/>
          <w:color w:val="000000"/>
        </w:rPr>
        <w:t>"Kdo chce hýbat světem, ať nejprve hýbe sám sebou."</w:t>
      </w:r>
      <w:r>
        <w:rPr>
          <w:color w:val="000000"/>
        </w:rPr>
        <w:t xml:space="preserve"> – Sókratés</w:t>
      </w:r>
    </w:p>
    <w:p>
      <w:pPr>
        <w:pStyle w:val="Normal"/>
        <w:jc w:val="left"/>
        <w:rPr>
          <w:rFonts w:ascii="Times New Roman" w:hAnsi="Times New Roman"/>
          <w:color w:val="000000"/>
        </w:rPr>
      </w:pPr>
      <w:r>
        <w:rPr>
          <w:color w:val="000000"/>
        </w:rPr>
      </w:r>
    </w:p>
    <w:p>
      <w:pPr>
        <w:pStyle w:val="Normal"/>
        <w:jc w:val="left"/>
        <w:rPr>
          <w:rFonts w:ascii="Times New Roman" w:hAnsi="Times New Roman"/>
          <w:color w:val="000000"/>
        </w:rPr>
      </w:pPr>
      <w:r>
        <w:rPr>
          <w:i/>
          <w:iCs/>
          <w:color w:val="000000"/>
        </w:rPr>
        <w:t xml:space="preserve">"Změnou, kterou hledáme ve světě, se musíme stát my sami." </w:t>
      </w:r>
      <w:r>
        <w:rPr>
          <w:color w:val="000000"/>
        </w:rPr>
        <w:t>- Gándhí</w:t>
      </w:r>
    </w:p>
    <w:p>
      <w:pPr>
        <w:pStyle w:val="Normal"/>
        <w:jc w:val="left"/>
        <w:rPr>
          <w:rFonts w:ascii="Times New Roman" w:hAnsi="Times New Roman"/>
          <w:color w:val="000000"/>
        </w:rPr>
      </w:pPr>
      <w:r>
        <w:rPr>
          <w:color w:val="000000"/>
        </w:rPr>
      </w:r>
    </w:p>
    <w:p>
      <w:pPr>
        <w:pStyle w:val="Normal"/>
        <w:jc w:val="left"/>
        <w:rPr>
          <w:rFonts w:ascii="Times New Roman" w:hAnsi="Times New Roman"/>
          <w:color w:val="000000"/>
        </w:rPr>
      </w:pPr>
      <w:r>
        <w:rPr>
          <w:i/>
          <w:iCs/>
          <w:color w:val="000000"/>
        </w:rPr>
        <w:t>"Svět je nádherná kniha, ale nemá cenu pro toho, kdo neumí číst."</w:t>
      </w:r>
      <w:r>
        <w:rPr>
          <w:color w:val="000000"/>
        </w:rPr>
        <w:t xml:space="preserve"> - Carlo Goldoni (Italský dramatik, 18. stol)</w:t>
      </w:r>
      <w:r>
        <w:rPr>
          <w:b w:val="false"/>
          <w:i/>
          <w:iCs/>
          <w:caps w:val="false"/>
          <w:smallCaps w:val="false"/>
          <w:color w:val="000000"/>
          <w:spacing w:val="0"/>
          <w:sz w:val="24"/>
          <w:szCs w:val="24"/>
        </w:rPr>
        <w:br/>
        <w:br/>
        <w:t>„We are all citizens of one world, we are all of one blood. To hate people because they were born in another country, because they speak a different language, or because they take a different view on this subject or that, is a great folly. Desist, I implore you, for we are all equally human…. Let us have but one end in view: the welfare of humanity.“</w:t>
      </w:r>
      <w:r>
        <w:rPr>
          <w:b w:val="false"/>
          <w:i w:val="false"/>
          <w:iCs w:val="false"/>
          <w:caps w:val="false"/>
          <w:smallCaps w:val="false"/>
          <w:color w:val="000000"/>
          <w:spacing w:val="0"/>
          <w:sz w:val="24"/>
          <w:szCs w:val="24"/>
        </w:rPr>
        <w:t xml:space="preserve"> - </w:t>
      </w:r>
      <w:r>
        <w:rPr>
          <w:b w:val="false"/>
          <w:i w:val="false"/>
          <w:iCs w:val="false"/>
          <w:caps w:val="false"/>
          <w:smallCaps w:val="false"/>
          <w:color w:val="000000"/>
          <w:spacing w:val="0"/>
          <w:sz w:val="24"/>
          <w:szCs w:val="24"/>
        </w:rPr>
        <w:t>John Amos, americký herec</w:t>
      </w:r>
    </w:p>
    <w:p>
      <w:pPr>
        <w:pStyle w:val="Normal"/>
        <w:jc w:val="left"/>
        <w:rPr>
          <w:rFonts w:ascii="Times New Roman" w:hAnsi="Times New Roman"/>
          <w:b w:val="false"/>
          <w:i w:val="false"/>
          <w:i w:val="false"/>
          <w:iCs w:val="false"/>
          <w:caps w:val="false"/>
          <w:smallCaps w:val="false"/>
          <w:color w:val="000000"/>
          <w:spacing w:val="0"/>
          <w:sz w:val="24"/>
          <w:szCs w:val="24"/>
        </w:rPr>
      </w:pPr>
      <w:r>
        <w:rPr>
          <w:b w:val="false"/>
          <w:i w:val="false"/>
          <w:iCs w:val="false"/>
          <w:caps w:val="false"/>
          <w:smallCaps w:val="false"/>
          <w:color w:val="000000"/>
          <w:spacing w:val="0"/>
          <w:sz w:val="24"/>
          <w:szCs w:val="24"/>
        </w:rPr>
      </w:r>
    </w:p>
    <w:p>
      <w:pPr>
        <w:pStyle w:val="Normal"/>
        <w:jc w:val="left"/>
        <w:rPr>
          <w:rFonts w:ascii="Times New Roman" w:hAnsi="Times New Roman"/>
          <w:color w:val="000000"/>
        </w:rPr>
      </w:pPr>
      <w:r>
        <w:rPr>
          <w:color w:val="000000"/>
        </w:rPr>
        <w:t>Jan Amos Komenský:</w:t>
      </w:r>
    </w:p>
    <w:p>
      <w:pPr>
        <w:pStyle w:val="Normal"/>
        <w:jc w:val="left"/>
        <w:rPr>
          <w:rFonts w:ascii="Times New Roman" w:hAnsi="Times New Roman"/>
          <w:color w:val="000000"/>
        </w:rPr>
      </w:pPr>
      <w:r>
        <w:rPr>
          <w:color w:val="000000"/>
        </w:rPr>
      </w:r>
    </w:p>
    <w:p>
      <w:pPr>
        <w:pStyle w:val="Normal"/>
        <w:jc w:val="left"/>
        <w:rPr>
          <w:rFonts w:ascii="Times New Roman" w:hAnsi="Times New Roman"/>
          <w:b w:val="false"/>
          <w:i/>
          <w:i/>
          <w:iCs/>
          <w:caps w:val="false"/>
          <w:smallCaps w:val="false"/>
          <w:color w:val="000000"/>
          <w:spacing w:val="0"/>
          <w:sz w:val="24"/>
          <w:szCs w:val="24"/>
        </w:rPr>
      </w:pPr>
      <w:r>
        <w:rPr>
          <w:b w:val="false"/>
          <w:i/>
          <w:iCs/>
          <w:caps w:val="false"/>
          <w:smallCaps w:val="false"/>
          <w:color w:val="000000"/>
          <w:spacing w:val="0"/>
          <w:sz w:val="24"/>
          <w:szCs w:val="24"/>
        </w:rPr>
        <w:t>„</w:t>
      </w:r>
      <w:r>
        <w:rPr>
          <w:b w:val="false"/>
          <w:i/>
          <w:iCs/>
          <w:caps w:val="false"/>
          <w:smallCaps w:val="false"/>
          <w:color w:val="000000"/>
          <w:spacing w:val="0"/>
          <w:sz w:val="24"/>
          <w:szCs w:val="24"/>
        </w:rPr>
        <w:t>Všichni na jednom jevišti velikého světa stojíme, a cokoliv se tu koná, všech se týče.“</w:t>
      </w:r>
    </w:p>
    <w:p>
      <w:pPr>
        <w:pStyle w:val="Normal"/>
        <w:jc w:val="left"/>
        <w:rPr>
          <w:rFonts w:ascii="Times New Roman" w:hAnsi="Times New Roman"/>
          <w:color w:val="000000"/>
        </w:rPr>
      </w:pPr>
      <w:r>
        <w:rPr>
          <w:color w:val="000000"/>
        </w:rPr>
      </w:r>
    </w:p>
    <w:p>
      <w:pPr>
        <w:pStyle w:val="Normal"/>
        <w:jc w:val="left"/>
        <w:rPr>
          <w:rFonts w:ascii="Times New Roman" w:hAnsi="Times New Roman"/>
          <w:color w:val="000000"/>
          <w:sz w:val="24"/>
          <w:szCs w:val="24"/>
        </w:rPr>
      </w:pPr>
      <w:r>
        <w:rPr>
          <w:i/>
          <w:iCs/>
          <w:caps w:val="false"/>
          <w:smallCaps w:val="false"/>
          <w:color w:val="000000"/>
          <w:spacing w:val="0"/>
          <w:sz w:val="24"/>
          <w:szCs w:val="24"/>
        </w:rPr>
        <w:t>„</w:t>
      </w:r>
      <w:r>
        <w:rPr>
          <w:b w:val="false"/>
          <w:i/>
          <w:iCs/>
          <w:caps w:val="false"/>
          <w:smallCaps w:val="false"/>
          <w:color w:val="000000"/>
          <w:spacing w:val="0"/>
          <w:sz w:val="24"/>
          <w:szCs w:val="24"/>
        </w:rPr>
        <w:t>Takový je příští věk, jak jsou vychováváni příští jeho občan</w:t>
      </w:r>
      <w:r>
        <w:rPr>
          <w:b w:val="false"/>
          <w:i/>
          <w:iCs/>
          <w:caps w:val="false"/>
          <w:smallCaps w:val="false"/>
          <w:color w:val="000000"/>
          <w:spacing w:val="0"/>
          <w:sz w:val="24"/>
          <w:szCs w:val="24"/>
        </w:rPr>
        <w:t>é."</w:t>
      </w:r>
    </w:p>
    <w:p>
      <w:pPr>
        <w:pStyle w:val="Normal"/>
        <w:jc w:val="left"/>
        <w:rPr>
          <w:rFonts w:ascii="Times New Roman" w:hAnsi="Times New Roman"/>
          <w:b w:val="false"/>
          <w:i w:val="false"/>
          <w:caps w:val="false"/>
          <w:smallCaps w:val="false"/>
          <w:color w:val="000000"/>
          <w:spacing w:val="0"/>
          <w:sz w:val="24"/>
          <w:szCs w:val="24"/>
        </w:rPr>
      </w:pPr>
      <w:r>
        <w:rPr>
          <w:b w:val="false"/>
          <w:i w:val="false"/>
          <w:caps w:val="false"/>
          <w:smallCaps w:val="false"/>
          <w:color w:val="000000"/>
          <w:spacing w:val="0"/>
          <w:sz w:val="24"/>
          <w:szCs w:val="24"/>
        </w:rPr>
      </w:r>
    </w:p>
    <w:p>
      <w:pPr>
        <w:pStyle w:val="Normal"/>
        <w:jc w:val="left"/>
        <w:rPr>
          <w:rFonts w:ascii="Times New Roman" w:hAnsi="Times New Roman"/>
          <w:b w:val="false"/>
          <w:i/>
          <w:i/>
          <w:iCs/>
          <w:caps w:val="false"/>
          <w:smallCaps w:val="false"/>
          <w:color w:val="000000"/>
          <w:spacing w:val="0"/>
          <w:sz w:val="24"/>
          <w:szCs w:val="24"/>
        </w:rPr>
      </w:pPr>
      <w:r>
        <w:rPr>
          <w:b w:val="false"/>
          <w:i/>
          <w:iCs/>
          <w:caps w:val="false"/>
          <w:smallCaps w:val="false"/>
          <w:color w:val="000000"/>
          <w:spacing w:val="0"/>
          <w:sz w:val="24"/>
          <w:szCs w:val="24"/>
        </w:rPr>
        <w:t>„</w:t>
      </w:r>
      <w:r>
        <w:rPr>
          <w:b w:val="false"/>
          <w:i/>
          <w:iCs/>
          <w:caps w:val="false"/>
          <w:smallCaps w:val="false"/>
          <w:color w:val="000000"/>
          <w:spacing w:val="0"/>
          <w:sz w:val="24"/>
          <w:szCs w:val="24"/>
        </w:rPr>
        <w:t>Má-li být však náprava úspěšná, musí být komplexní a všestranná, neboť „nebude-li současně napravovat všechno, co vzájemně souvisí, nikdy se nedostanete kupředu…““</w:t>
      </w:r>
    </w:p>
    <w:p>
      <w:pPr>
        <w:pStyle w:val="Normal"/>
        <w:jc w:val="left"/>
        <w:rPr>
          <w:rFonts w:ascii="Times New Roman" w:hAnsi="Times New Roman"/>
          <w:b w:val="false"/>
          <w:i/>
          <w:i/>
          <w:iCs/>
          <w:caps w:val="false"/>
          <w:smallCaps w:val="false"/>
          <w:color w:val="000000"/>
          <w:spacing w:val="0"/>
          <w:sz w:val="24"/>
          <w:szCs w:val="24"/>
        </w:rPr>
      </w:pPr>
      <w:r>
        <w:rPr>
          <w:b w:val="false"/>
          <w:i/>
          <w:iCs/>
          <w:caps w:val="false"/>
          <w:smallCaps w:val="false"/>
          <w:color w:val="000000"/>
          <w:spacing w:val="0"/>
          <w:sz w:val="24"/>
          <w:szCs w:val="24"/>
        </w:rPr>
      </w:r>
    </w:p>
    <w:p>
      <w:pPr>
        <w:pStyle w:val="Normal"/>
        <w:jc w:val="left"/>
        <w:rPr/>
      </w:pPr>
      <w:r>
        <w:rPr>
          <w:b w:val="false"/>
          <w:i/>
          <w:iCs/>
          <w:caps w:val="false"/>
          <w:smallCaps w:val="false"/>
          <w:color w:val="000000"/>
          <w:spacing w:val="0"/>
          <w:sz w:val="24"/>
          <w:szCs w:val="24"/>
        </w:rPr>
        <w:t>„</w:t>
      </w:r>
      <w:r>
        <w:rPr>
          <w:b w:val="false"/>
          <w:i/>
          <w:iCs/>
          <w:caps w:val="false"/>
          <w:smallCaps w:val="false"/>
          <w:color w:val="000000"/>
          <w:spacing w:val="0"/>
          <w:sz w:val="24"/>
          <w:szCs w:val="24"/>
        </w:rPr>
        <w:t>Jediným učitelem hodným toho jména jest ten, který vzbuzuje ducha svobodného přemýšlení a vyvinuje cit osobní odpovědnosti.“</w:t>
      </w:r>
      <w:r>
        <w:rPr>
          <w:b w:val="false"/>
          <w:i w:val="false"/>
          <w:caps w:val="false"/>
          <w:smallCaps w:val="false"/>
          <w:color w:val="333333"/>
          <w:spacing w:val="0"/>
          <w:sz w:val="24"/>
          <w:szCs w:val="24"/>
        </w:rPr>
        <w:br/>
      </w:r>
      <w:r>
        <w:rPr>
          <w:rFonts w:ascii="apple-system;BlinkMacSystemFont;Segoe UI;Roboto;Helvetica Neue;Arial;sans-serif;Apple Color Emoji;Segoe UI Emoji;Segoe UI Symbol" w:hAnsi="apple-system;BlinkMacSystemFont;Segoe UI;Roboto;Helvetica Neue;Arial;sans-serif;Apple Color Emoji;Segoe UI Emoji;Segoe UI Symbol"/>
          <w:b w:val="false"/>
          <w:i w:val="false"/>
          <w:caps w:val="false"/>
          <w:smallCaps w:val="false"/>
          <w:color w:val="333333"/>
          <w:spacing w:val="0"/>
          <w:sz w:val="19"/>
        </w:rPr>
        <w:br/>
      </w:r>
    </w:p>
    <w:p>
      <w:pPr>
        <w:pStyle w:val="Normal"/>
        <w:jc w:val="left"/>
        <w:rPr>
          <w:rFonts w:ascii="apple-system;BlinkMacSystemFont;Segoe UI;Roboto;Helvetica Neue;Arial;sans-serif;Apple Color Emoji;Segoe UI Emoji;Segoe UI Symbol" w:hAnsi="apple-system;BlinkMacSystemFont;Segoe UI;Roboto;Helvetica Neue;Arial;sans-serif;Apple Color Emoji;Segoe UI Emoji;Segoe UI Symbol"/>
          <w:b w:val="false"/>
          <w:i w:val="false"/>
          <w:caps w:val="false"/>
          <w:smallCaps w:val="false"/>
          <w:color w:val="333333"/>
          <w:spacing w:val="0"/>
          <w:sz w:val="19"/>
        </w:rPr>
      </w:pPr>
      <w:r>
        <w:rPr>
          <w:rFonts w:ascii="apple-system;BlinkMacSystemFont;Segoe UI;Roboto;Helvetica Neue;Arial;sans-serif;Apple Color Emoji;Segoe UI Emoji;Segoe UI Symbol" w:hAnsi="apple-system;BlinkMacSystemFont;Segoe UI;Roboto;Helvetica Neue;Arial;sans-serif;Apple Color Emoji;Segoe UI Emoji;Segoe UI Symbol"/>
          <w:b w:val="false"/>
          <w:i w:val="false"/>
          <w:caps w:val="false"/>
          <w:smallCaps w:val="false"/>
          <w:color w:val="333333"/>
          <w:spacing w:val="0"/>
          <w:sz w:val="19"/>
        </w:rPr>
        <w:br/>
      </w:r>
    </w:p>
    <w:p>
      <w:pPr>
        <w:pStyle w:val="Normal"/>
        <w:jc w:val="center"/>
        <w:rPr/>
      </w:pPr>
      <w:r>
        <w:rPr/>
      </w:r>
    </w:p>
    <w:p>
      <w:pPr>
        <w:pStyle w:val="Normal"/>
        <w:jc w:val="center"/>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swiss"/>
    <w:pitch w:val="variable"/>
  </w:font>
  <w:font w:name="apple-system">
    <w:altName w:val="BlinkMacSystemFont"/>
    <w:charset w:val="ee"/>
    <w:family w:val="auto"/>
    <w:pitch w:val="default"/>
  </w:font>
</w:fonts>
</file>

<file path=word/settings.xml><?xml version="1.0" encoding="utf-8"?>
<w:settings xmlns:w="http://schemas.openxmlformats.org/wordprocessingml/2006/main">
  <w:zoom w:percent="100"/>
  <w:defaultTabStop w:val="706"/>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kern w:val="2"/>
        <w:sz w:val="24"/>
        <w:szCs w:val="24"/>
        <w:lang w:val="cs-CZ" w:eastAsia="cs-CZ" w:bidi="cs-CZ"/>
      </w:rPr>
    </w:rPrDefault>
    <w:pPrDefault>
      <w:pPr/>
    </w:pPrDefault>
  </w:docDefaults>
  <w:style w:type="paragraph" w:styleId="Normal">
    <w:name w:val="Normal"/>
    <w:qFormat/>
    <w:pPr>
      <w:widowControl w:val="false"/>
      <w:kinsoku w:val="true"/>
      <w:overflowPunct w:val="true"/>
      <w:autoSpaceDE w:val="true"/>
      <w:bidi w:val="0"/>
    </w:pPr>
    <w:rPr>
      <w:rFonts w:ascii="Times New Roman" w:hAnsi="Times New Roman" w:eastAsia="Andale Sans UI" w:cs="Tahoma"/>
      <w:color w:val="auto"/>
      <w:kern w:val="2"/>
      <w:sz w:val="24"/>
      <w:szCs w:val="24"/>
      <w:lang w:val="zxx" w:eastAsia="zxx" w:bidi="zxx"/>
    </w:rPr>
  </w:style>
  <w:style w:type="character" w:styleId="Znakypropoznmkupodarou">
    <w:name w:val="Znaky pro poznámku pod čarou"/>
    <w:qFormat/>
    <w:rPr/>
  </w:style>
  <w:style w:type="character" w:styleId="Ukotvenpoznmkypodarou">
    <w:name w:val="Ukotvení poznámky pod čarou"/>
    <w:rPr>
      <w:vertAlign w:val="superscript"/>
    </w:rPr>
  </w:style>
  <w:style w:type="character" w:styleId="Internetovodkaz">
    <w:name w:val="Internetový odkaz"/>
    <w:rPr>
      <w:color w:val="000080"/>
      <w:u w:val="single"/>
      <w:lang w:val="zxx" w:eastAsia="zxx" w:bidi="zxx"/>
    </w:rPr>
  </w:style>
  <w:style w:type="character" w:styleId="Zdraznn">
    <w:name w:val="Zdůraznění"/>
    <w:qFormat/>
    <w:rPr>
      <w:i/>
      <w:iCs/>
    </w:rPr>
  </w:style>
  <w:style w:type="paragraph" w:styleId="Nadpis">
    <w:name w:val="Nadpis"/>
    <w:basedOn w:val="Normal"/>
    <w:next w:val="Tlotextu"/>
    <w:qFormat/>
    <w:pPr>
      <w:keepNext w:val="true"/>
      <w:spacing w:before="240" w:after="120"/>
    </w:pPr>
    <w:rPr>
      <w:rFonts w:ascii="Arial" w:hAnsi="Arial" w:eastAsia="Andale Sans UI" w:cs="Tahoma"/>
      <w:sz w:val="28"/>
      <w:szCs w:val="28"/>
    </w:rPr>
  </w:style>
  <w:style w:type="paragraph" w:styleId="Tlotextu">
    <w:name w:val="Body Text"/>
    <w:basedOn w:val="Normal"/>
    <w:pPr>
      <w:spacing w:before="0" w:after="120"/>
    </w:pPr>
    <w:rPr/>
  </w:style>
  <w:style w:type="paragraph" w:styleId="Seznam">
    <w:name w:val="List"/>
    <w:basedOn w:val="Tlotextu"/>
    <w:pPr/>
    <w:rPr>
      <w:rFonts w:cs="Tahoma"/>
    </w:rPr>
  </w:style>
  <w:style w:type="paragraph" w:styleId="Popisek">
    <w:name w:val="Caption"/>
    <w:basedOn w:val="Normal"/>
    <w:qFormat/>
    <w:pPr>
      <w:suppressLineNumbers/>
      <w:spacing w:before="120" w:after="120"/>
    </w:pPr>
    <w:rPr>
      <w:rFonts w:cs="Tahoma"/>
      <w:i/>
      <w:iCs/>
      <w:sz w:val="24"/>
      <w:szCs w:val="24"/>
    </w:rPr>
  </w:style>
  <w:style w:type="paragraph" w:styleId="Rejstk">
    <w:name w:val="Rejstřík"/>
    <w:basedOn w:val="Normal"/>
    <w:qFormat/>
    <w:pPr>
      <w:suppressLineNumbers/>
    </w:pPr>
    <w:rPr>
      <w:rFonts w:cs="Tahoma"/>
    </w:rPr>
  </w:style>
  <w:style w:type="paragraph" w:styleId="Poznmkapodarou">
    <w:name w:val="Footnote Text"/>
    <w:basedOn w:val="Normal"/>
    <w:pPr>
      <w:suppressLineNumbers/>
      <w:ind w:left="339" w:right="0" w:hanging="339"/>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msmt.cz/file/54104/" TargetMode="External"/><Relationship Id="rId3" Type="http://schemas.openxmlformats.org/officeDocument/2006/relationships/hyperlink" Target="https://www.mzv.cz/file/3418207/Strategie_GRV_2018_2030.pdf" TargetMode="External"/><Relationship Id="rId4" Type="http://schemas.openxmlformats.org/officeDocument/2006/relationships/hyperlink" Target="https://arpok.cz/novy/wp-content/uploads/2021/05/Kdyz_se_rekne_GRV-2_web.pdf" TargetMode="Externa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97</TotalTime>
  <Application>LibreOffice/5.4.2.2$Windows_X86_64 LibreOffice_project/22b09f6418e8c2d508a9eaf86b2399209b0990f4</Application>
  <Pages>2</Pages>
  <Words>695</Words>
  <Characters>4438</Characters>
  <CharactersWithSpaces>5120</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2009-04-16T11:32:02Z</dcterms:created>
  <dc:creator/>
  <dc:description/>
  <dc:language>cs-CZ</dc:language>
  <cp:lastModifiedBy/>
  <dcterms:modified xsi:type="dcterms:W3CDTF">2022-02-26T15:09:37Z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