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2E73" w14:textId="77777777" w:rsidR="00FD01B3" w:rsidRPr="00546AEB" w:rsidRDefault="00FD01B3" w:rsidP="00FD01B3">
      <w:pPr>
        <w:spacing w:after="0"/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</w:p>
    <w:p w14:paraId="0C2792E6" w14:textId="77777777" w:rsidR="00E53000" w:rsidRPr="00546AEB" w:rsidRDefault="00E53000" w:rsidP="00E53000">
      <w:pPr>
        <w:pStyle w:val="Odstavecseseznamem"/>
        <w:spacing w:after="0"/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</w:pP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Assignment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2: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Work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with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the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typology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of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gifted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students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and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its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application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to case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studies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of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gifted</w:t>
      </w:r>
      <w:proofErr w:type="spellEnd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DFDFE"/>
        </w:rPr>
        <w:t>students</w:t>
      </w:r>
      <w:proofErr w:type="spellEnd"/>
    </w:p>
    <w:p w14:paraId="653B3FF8" w14:textId="77777777" w:rsidR="00E53000" w:rsidRPr="00546AEB" w:rsidRDefault="00E53000" w:rsidP="00E53000">
      <w:pPr>
        <w:pStyle w:val="Odstavecseseznamem"/>
        <w:spacing w:after="0"/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1) Use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the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table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from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the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Neihart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proofErr w:type="gram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article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- I</w:t>
      </w:r>
      <w:proofErr w:type="gram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recommend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printing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.</w:t>
      </w:r>
    </w:p>
    <w:p w14:paraId="2D11F2B3" w14:textId="1BEEC718" w:rsidR="00FD01B3" w:rsidRPr="00546AEB" w:rsidRDefault="00E53000" w:rsidP="00E53000">
      <w:pPr>
        <w:pStyle w:val="Odstavecseseznamem"/>
        <w:spacing w:after="0"/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2)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Carefully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read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the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case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studies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of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="00FB5C83" w:rsidRPr="00FB5C83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</w:rPr>
        <w:t>Teddy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and </w:t>
      </w:r>
      <w:proofErr w:type="spellStart"/>
      <w:r w:rsidR="00FB5C83" w:rsidRPr="00FB5C83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DFDFE"/>
        </w:rPr>
        <w:t>C</w:t>
      </w:r>
      <w:r w:rsidR="00FB5C83" w:rsidRPr="00FB5C83">
        <w:rPr>
          <w:rFonts w:ascii="Times New Roman" w:hAnsi="Times New Roman" w:cs="Times New Roman"/>
          <w:b/>
          <w:bCs/>
          <w:iCs/>
          <w:sz w:val="24"/>
          <w:szCs w:val="24"/>
        </w:rPr>
        <w:t>eridw</w:t>
      </w:r>
      <w:r w:rsidR="00FB5C83" w:rsidRPr="00546AEB">
        <w:rPr>
          <w:rFonts w:ascii="Times New Roman" w:hAnsi="Times New Roman" w:cs="Times New Roman"/>
          <w:b/>
          <w:bCs/>
          <w:iCs/>
          <w:sz w:val="24"/>
          <w:szCs w:val="24"/>
        </w:rPr>
        <w:t>en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and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try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to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determine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their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type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of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giftedness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.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Justify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your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inclusion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. It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is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recommended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to use more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types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of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giftedness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determine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the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share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of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individual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types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eg by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percentage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(eg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according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to these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traits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behavior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can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be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classified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as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the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proofErr w:type="gram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successful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 60</w:t>
      </w:r>
      <w:proofErr w:type="gram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%, these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traits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tend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to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correspond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to </w:t>
      </w:r>
      <w:proofErr w:type="spellStart"/>
      <w:r w:rsidR="00524D99"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divergently</w:t>
      </w:r>
      <w:proofErr w:type="spellEnd"/>
      <w:r w:rsidR="00524D99"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="00524D99"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gifted</w:t>
      </w:r>
      <w:proofErr w:type="spellEnd"/>
      <w:r w:rsidR="00524D99"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30%;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according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to…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the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features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of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autonomous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talent ).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For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clarity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, </w:t>
      </w:r>
      <w:proofErr w:type="spellStart"/>
      <w:r w:rsidR="00524D99"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record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in a table (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adjust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to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your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 xml:space="preserve"> </w:t>
      </w:r>
      <w:proofErr w:type="spellStart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liking</w:t>
      </w:r>
      <w:proofErr w:type="spellEnd"/>
      <w:r w:rsidRPr="00546AEB"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  <w:t>).</w:t>
      </w:r>
    </w:p>
    <w:p w14:paraId="24987C32" w14:textId="77777777" w:rsidR="00E53000" w:rsidRPr="00546AEB" w:rsidRDefault="00E53000" w:rsidP="00E53000">
      <w:pPr>
        <w:pStyle w:val="Odstavecseseznamem"/>
        <w:spacing w:after="0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268"/>
        <w:gridCol w:w="5239"/>
      </w:tblGrid>
      <w:tr w:rsidR="00FD01B3" w:rsidRPr="00546AEB" w14:paraId="48AF4C94" w14:textId="77777777" w:rsidTr="001A3C25">
        <w:tc>
          <w:tcPr>
            <w:tcW w:w="1195" w:type="dxa"/>
          </w:tcPr>
          <w:p w14:paraId="08E1425D" w14:textId="77777777" w:rsidR="00FD01B3" w:rsidRPr="00546AEB" w:rsidRDefault="00E53000" w:rsidP="001A3C25">
            <w:r w:rsidRPr="00546AEB">
              <w:t xml:space="preserve">Name </w:t>
            </w:r>
          </w:p>
        </w:tc>
        <w:tc>
          <w:tcPr>
            <w:tcW w:w="2268" w:type="dxa"/>
          </w:tcPr>
          <w:p w14:paraId="44BBA61A" w14:textId="77777777" w:rsidR="00FD01B3" w:rsidRPr="00546AEB" w:rsidRDefault="00FD01B3" w:rsidP="00524D99">
            <w:r w:rsidRPr="00546AEB">
              <w:t>Typ</w:t>
            </w:r>
            <w:r w:rsidR="00524D99" w:rsidRPr="00546AEB">
              <w:t>e</w:t>
            </w:r>
            <w:r w:rsidRPr="00546AEB">
              <w:t xml:space="preserve"> </w:t>
            </w:r>
            <w:proofErr w:type="gramStart"/>
            <w:r w:rsidRPr="00546AEB">
              <w:t xml:space="preserve">– </w:t>
            </w:r>
            <w:r w:rsidR="00524D99" w:rsidRPr="00546AEB">
              <w:t xml:space="preserve"> </w:t>
            </w:r>
            <w:proofErr w:type="spellStart"/>
            <w:r w:rsidR="00524D99" w:rsidRPr="00546AEB">
              <w:t>share</w:t>
            </w:r>
            <w:proofErr w:type="spellEnd"/>
            <w:proofErr w:type="gramEnd"/>
            <w:r w:rsidR="00524D99" w:rsidRPr="00546AEB">
              <w:t xml:space="preserve"> in%</w:t>
            </w:r>
          </w:p>
        </w:tc>
        <w:tc>
          <w:tcPr>
            <w:tcW w:w="5239" w:type="dxa"/>
          </w:tcPr>
          <w:p w14:paraId="6DE015C0" w14:textId="77777777" w:rsidR="00FD01B3" w:rsidRPr="00546AEB" w:rsidRDefault="00524D99" w:rsidP="00524D99">
            <w:proofErr w:type="spellStart"/>
            <w:r w:rsidRPr="00546AEB">
              <w:t>Information</w:t>
            </w:r>
            <w:proofErr w:type="spellEnd"/>
            <w:r w:rsidRPr="00546AEB">
              <w:t xml:space="preserve"> </w:t>
            </w:r>
            <w:proofErr w:type="spellStart"/>
            <w:r w:rsidRPr="00546AEB">
              <w:t>from</w:t>
            </w:r>
            <w:proofErr w:type="spellEnd"/>
            <w:r w:rsidRPr="00546AEB">
              <w:t xml:space="preserve"> case </w:t>
            </w:r>
            <w:proofErr w:type="spellStart"/>
            <w:r w:rsidRPr="00546AEB">
              <w:t>studies</w:t>
            </w:r>
            <w:proofErr w:type="spellEnd"/>
            <w:r w:rsidRPr="00546AEB">
              <w:t xml:space="preserve"> </w:t>
            </w:r>
            <w:proofErr w:type="spellStart"/>
            <w:r w:rsidRPr="00546AEB">
              <w:t>that</w:t>
            </w:r>
            <w:proofErr w:type="spellEnd"/>
            <w:r w:rsidRPr="00546AEB">
              <w:t xml:space="preserve"> </w:t>
            </w:r>
            <w:proofErr w:type="spellStart"/>
            <w:r w:rsidRPr="00546AEB">
              <w:t>justify</w:t>
            </w:r>
            <w:proofErr w:type="spellEnd"/>
            <w:r w:rsidRPr="00546AEB">
              <w:t xml:space="preserve"> </w:t>
            </w:r>
            <w:proofErr w:type="spellStart"/>
            <w:r w:rsidRPr="00546AEB">
              <w:t>the</w:t>
            </w:r>
            <w:proofErr w:type="spellEnd"/>
            <w:r w:rsidRPr="00546AEB">
              <w:t xml:space="preserve"> </w:t>
            </w:r>
            <w:proofErr w:type="spellStart"/>
            <w:r w:rsidRPr="00546AEB">
              <w:t>chosen</w:t>
            </w:r>
            <w:proofErr w:type="spellEnd"/>
            <w:r w:rsidRPr="00546AEB">
              <w:t xml:space="preserve"> type </w:t>
            </w:r>
            <w:proofErr w:type="spellStart"/>
            <w:r w:rsidRPr="00546AEB">
              <w:t>of</w:t>
            </w:r>
            <w:proofErr w:type="spellEnd"/>
            <w:r w:rsidRPr="00546AEB">
              <w:t xml:space="preserve"> </w:t>
            </w:r>
            <w:proofErr w:type="spellStart"/>
            <w:r w:rsidRPr="00546AEB">
              <w:t>giftedness</w:t>
            </w:r>
            <w:proofErr w:type="spellEnd"/>
          </w:p>
        </w:tc>
      </w:tr>
      <w:tr w:rsidR="00FD01B3" w:rsidRPr="00546AEB" w14:paraId="2897B638" w14:textId="77777777" w:rsidTr="001A3C25">
        <w:tc>
          <w:tcPr>
            <w:tcW w:w="1195" w:type="dxa"/>
          </w:tcPr>
          <w:p w14:paraId="08199DEA" w14:textId="77777777" w:rsidR="00FD01B3" w:rsidRPr="00546AEB" w:rsidRDefault="00546AEB" w:rsidP="001A3C25">
            <w:proofErr w:type="spellStart"/>
            <w:r w:rsidRPr="00546AEB">
              <w:rPr>
                <w:rFonts w:ascii="Times New Roman" w:hAnsi="Times New Roman" w:cs="Times New Roman"/>
                <w:iCs/>
                <w:sz w:val="24"/>
                <w:szCs w:val="24"/>
              </w:rPr>
              <w:t>Teddy</w:t>
            </w:r>
            <w:proofErr w:type="spellEnd"/>
          </w:p>
        </w:tc>
        <w:tc>
          <w:tcPr>
            <w:tcW w:w="2268" w:type="dxa"/>
          </w:tcPr>
          <w:p w14:paraId="59CBCCCF" w14:textId="77777777" w:rsidR="00FD01B3" w:rsidRPr="00546AEB" w:rsidRDefault="00FD01B3" w:rsidP="001A3C25"/>
        </w:tc>
        <w:tc>
          <w:tcPr>
            <w:tcW w:w="5239" w:type="dxa"/>
          </w:tcPr>
          <w:p w14:paraId="7A7D00E1" w14:textId="77777777" w:rsidR="00FD01B3" w:rsidRPr="00546AEB" w:rsidRDefault="00FD01B3" w:rsidP="001A3C25"/>
        </w:tc>
      </w:tr>
      <w:tr w:rsidR="00FD01B3" w:rsidRPr="00546AEB" w14:paraId="456017F7" w14:textId="77777777" w:rsidTr="001A3C25">
        <w:tc>
          <w:tcPr>
            <w:tcW w:w="1195" w:type="dxa"/>
          </w:tcPr>
          <w:p w14:paraId="5F364D32" w14:textId="77777777" w:rsidR="00FD01B3" w:rsidRPr="00546AEB" w:rsidRDefault="00FD01B3" w:rsidP="001A3C25"/>
        </w:tc>
        <w:tc>
          <w:tcPr>
            <w:tcW w:w="2268" w:type="dxa"/>
          </w:tcPr>
          <w:p w14:paraId="413C629D" w14:textId="77777777" w:rsidR="00FD01B3" w:rsidRPr="00546AEB" w:rsidRDefault="00FD01B3" w:rsidP="001A3C25"/>
        </w:tc>
        <w:tc>
          <w:tcPr>
            <w:tcW w:w="5239" w:type="dxa"/>
          </w:tcPr>
          <w:p w14:paraId="449FE6A5" w14:textId="77777777" w:rsidR="00FD01B3" w:rsidRPr="00546AEB" w:rsidRDefault="00FD01B3" w:rsidP="001A3C25"/>
        </w:tc>
      </w:tr>
      <w:tr w:rsidR="00FD01B3" w:rsidRPr="00546AEB" w14:paraId="6A1925B7" w14:textId="77777777" w:rsidTr="001A3C25">
        <w:tc>
          <w:tcPr>
            <w:tcW w:w="1195" w:type="dxa"/>
          </w:tcPr>
          <w:p w14:paraId="12843846" w14:textId="77777777" w:rsidR="00FD01B3" w:rsidRPr="00546AEB" w:rsidRDefault="00FD01B3" w:rsidP="001A3C25"/>
        </w:tc>
        <w:tc>
          <w:tcPr>
            <w:tcW w:w="2268" w:type="dxa"/>
          </w:tcPr>
          <w:p w14:paraId="756F8B3A" w14:textId="77777777" w:rsidR="00FD01B3" w:rsidRPr="00546AEB" w:rsidRDefault="00FD01B3" w:rsidP="001A3C25"/>
        </w:tc>
        <w:tc>
          <w:tcPr>
            <w:tcW w:w="5239" w:type="dxa"/>
          </w:tcPr>
          <w:p w14:paraId="533D19F1" w14:textId="77777777" w:rsidR="00FD01B3" w:rsidRPr="00546AEB" w:rsidRDefault="00FD01B3" w:rsidP="001A3C25"/>
        </w:tc>
      </w:tr>
      <w:tr w:rsidR="00FD01B3" w:rsidRPr="00546AEB" w14:paraId="31A00336" w14:textId="77777777" w:rsidTr="001A3C25">
        <w:tc>
          <w:tcPr>
            <w:tcW w:w="1195" w:type="dxa"/>
          </w:tcPr>
          <w:p w14:paraId="61C8BE49" w14:textId="77777777" w:rsidR="00FD01B3" w:rsidRPr="00546AEB" w:rsidRDefault="00FD01B3" w:rsidP="001A3C25"/>
        </w:tc>
        <w:tc>
          <w:tcPr>
            <w:tcW w:w="2268" w:type="dxa"/>
          </w:tcPr>
          <w:p w14:paraId="6D38EA6E" w14:textId="77777777" w:rsidR="00FD01B3" w:rsidRPr="00546AEB" w:rsidRDefault="00FD01B3" w:rsidP="001A3C25"/>
        </w:tc>
        <w:tc>
          <w:tcPr>
            <w:tcW w:w="5239" w:type="dxa"/>
          </w:tcPr>
          <w:p w14:paraId="3B867E17" w14:textId="77777777" w:rsidR="00FD01B3" w:rsidRPr="00546AEB" w:rsidRDefault="00FD01B3" w:rsidP="001A3C25"/>
        </w:tc>
      </w:tr>
      <w:tr w:rsidR="00FD01B3" w:rsidRPr="00546AEB" w14:paraId="6CED05B7" w14:textId="77777777" w:rsidTr="001A3C25">
        <w:tc>
          <w:tcPr>
            <w:tcW w:w="1195" w:type="dxa"/>
          </w:tcPr>
          <w:p w14:paraId="62A7F3B3" w14:textId="77777777" w:rsidR="00FD01B3" w:rsidRPr="00546AEB" w:rsidRDefault="00546AEB" w:rsidP="001A3C25">
            <w:proofErr w:type="spellStart"/>
            <w:r w:rsidRPr="00546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Ceridwen</w:t>
            </w:r>
            <w:proofErr w:type="spellEnd"/>
          </w:p>
        </w:tc>
        <w:tc>
          <w:tcPr>
            <w:tcW w:w="2268" w:type="dxa"/>
          </w:tcPr>
          <w:p w14:paraId="603D05FF" w14:textId="77777777" w:rsidR="00FD01B3" w:rsidRPr="00546AEB" w:rsidRDefault="00FD01B3" w:rsidP="001A3C25"/>
        </w:tc>
        <w:tc>
          <w:tcPr>
            <w:tcW w:w="5239" w:type="dxa"/>
          </w:tcPr>
          <w:p w14:paraId="201BFE07" w14:textId="77777777" w:rsidR="00FD01B3" w:rsidRPr="00546AEB" w:rsidRDefault="00FD01B3" w:rsidP="001A3C25"/>
        </w:tc>
      </w:tr>
      <w:tr w:rsidR="00FD01B3" w:rsidRPr="00546AEB" w14:paraId="686BB215" w14:textId="77777777" w:rsidTr="001A3C25">
        <w:tc>
          <w:tcPr>
            <w:tcW w:w="1195" w:type="dxa"/>
          </w:tcPr>
          <w:p w14:paraId="5C014001" w14:textId="77777777" w:rsidR="00FD01B3" w:rsidRPr="00546AEB" w:rsidRDefault="00FD01B3" w:rsidP="001A3C25"/>
        </w:tc>
        <w:tc>
          <w:tcPr>
            <w:tcW w:w="2268" w:type="dxa"/>
          </w:tcPr>
          <w:p w14:paraId="37015063" w14:textId="77777777" w:rsidR="00FD01B3" w:rsidRPr="00546AEB" w:rsidRDefault="00FD01B3" w:rsidP="001A3C25"/>
        </w:tc>
        <w:tc>
          <w:tcPr>
            <w:tcW w:w="5239" w:type="dxa"/>
          </w:tcPr>
          <w:p w14:paraId="4875C0A1" w14:textId="77777777" w:rsidR="00FD01B3" w:rsidRPr="00546AEB" w:rsidRDefault="00FD01B3" w:rsidP="001A3C25"/>
        </w:tc>
      </w:tr>
      <w:tr w:rsidR="00FD01B3" w:rsidRPr="00546AEB" w14:paraId="33A2AEB0" w14:textId="77777777" w:rsidTr="001A3C25">
        <w:tc>
          <w:tcPr>
            <w:tcW w:w="1195" w:type="dxa"/>
          </w:tcPr>
          <w:p w14:paraId="069BC86B" w14:textId="77777777" w:rsidR="00FD01B3" w:rsidRPr="00546AEB" w:rsidRDefault="00FD01B3" w:rsidP="001A3C25"/>
        </w:tc>
        <w:tc>
          <w:tcPr>
            <w:tcW w:w="2268" w:type="dxa"/>
          </w:tcPr>
          <w:p w14:paraId="21645CDB" w14:textId="77777777" w:rsidR="00FD01B3" w:rsidRPr="00546AEB" w:rsidRDefault="00FD01B3" w:rsidP="001A3C25"/>
        </w:tc>
        <w:tc>
          <w:tcPr>
            <w:tcW w:w="5239" w:type="dxa"/>
          </w:tcPr>
          <w:p w14:paraId="224B08F0" w14:textId="77777777" w:rsidR="00FD01B3" w:rsidRPr="00546AEB" w:rsidRDefault="00FD01B3" w:rsidP="001A3C25"/>
        </w:tc>
      </w:tr>
      <w:tr w:rsidR="00FD01B3" w:rsidRPr="00546AEB" w14:paraId="7A4B2C7E" w14:textId="77777777" w:rsidTr="001A3C25">
        <w:tc>
          <w:tcPr>
            <w:tcW w:w="1195" w:type="dxa"/>
          </w:tcPr>
          <w:p w14:paraId="03146511" w14:textId="77777777" w:rsidR="00FD01B3" w:rsidRPr="00546AEB" w:rsidRDefault="00FD01B3" w:rsidP="001A3C25"/>
        </w:tc>
        <w:tc>
          <w:tcPr>
            <w:tcW w:w="2268" w:type="dxa"/>
          </w:tcPr>
          <w:p w14:paraId="4075E975" w14:textId="77777777" w:rsidR="00FD01B3" w:rsidRPr="00546AEB" w:rsidRDefault="00FD01B3" w:rsidP="001A3C25"/>
        </w:tc>
        <w:tc>
          <w:tcPr>
            <w:tcW w:w="5239" w:type="dxa"/>
          </w:tcPr>
          <w:p w14:paraId="068A14C3" w14:textId="77777777" w:rsidR="00FD01B3" w:rsidRPr="00546AEB" w:rsidRDefault="00FD01B3" w:rsidP="001A3C25"/>
        </w:tc>
      </w:tr>
    </w:tbl>
    <w:p w14:paraId="30F6CBB2" w14:textId="77777777" w:rsidR="00FD01B3" w:rsidRPr="00546AEB" w:rsidRDefault="00FD01B3" w:rsidP="00FD01B3">
      <w:pPr>
        <w:pStyle w:val="Odstavecseseznamem"/>
        <w:rPr>
          <w:rFonts w:ascii="Times New Roman" w:hAnsi="Times New Roman" w:cs="Times New Roman"/>
          <w:color w:val="0A0A0A"/>
          <w:sz w:val="24"/>
          <w:szCs w:val="24"/>
          <w:shd w:val="clear" w:color="auto" w:fill="FDFDFE"/>
        </w:rPr>
      </w:pPr>
    </w:p>
    <w:p w14:paraId="06F13120" w14:textId="77777777" w:rsidR="00546AEB" w:rsidRPr="00546AEB" w:rsidRDefault="00546AEB" w:rsidP="00546A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Case Study 1 </w:t>
      </w:r>
      <w:proofErr w:type="spellStart"/>
      <w:r w:rsidRPr="00546AEB">
        <w:rPr>
          <w:rFonts w:ascii="Times New Roman" w:hAnsi="Times New Roman" w:cs="Times New Roman"/>
          <w:b/>
          <w:iCs/>
          <w:sz w:val="24"/>
          <w:szCs w:val="24"/>
        </w:rPr>
        <w:t>Teddy</w:t>
      </w:r>
      <w:proofErr w:type="spellEnd"/>
    </w:p>
    <w:p w14:paraId="6DF65AB6" w14:textId="77777777" w:rsidR="00546AEB" w:rsidRPr="00546AEB" w:rsidRDefault="00546AEB" w:rsidP="00546A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not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cute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little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child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not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well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coordinated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early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walk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turn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somersaults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Likewise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not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always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have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his hand up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teacher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asks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something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pre-school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kindergarten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but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one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teachers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have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noticed</w:t>
      </w:r>
      <w:proofErr w:type="spellEnd"/>
    </w:p>
    <w:p w14:paraId="1F02D9E7" w14:textId="77777777" w:rsidR="00546AEB" w:rsidRPr="00546AEB" w:rsidRDefault="00546AEB" w:rsidP="00546A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about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his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answers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gives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them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are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usually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well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developed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thought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out.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his teacher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parent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suggests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new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point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view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something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new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learned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everything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about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perks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up.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gets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intensely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interested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people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who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have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unusual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ideas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have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done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extraordinary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things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especially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wants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know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about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their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lives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motivations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Even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in these early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years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seems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willing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think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things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through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work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hard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learn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does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not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obviously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see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himself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as ‘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smarter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’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than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others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around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him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6E280B" w14:textId="77777777" w:rsidR="00546AEB" w:rsidRPr="00546AEB" w:rsidRDefault="00546AEB" w:rsidP="00546A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has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both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endearing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aggravating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behaviours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school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appear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very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slow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deliberate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times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especially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quick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answers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sought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low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level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questions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sometimes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seems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make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too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much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was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simple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question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coming up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very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unusual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connections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seem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weird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strange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other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children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runs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on his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own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timelines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which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means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there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are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times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irritated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because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has to stop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working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on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something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engrossed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in and start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something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new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often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very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systematic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logical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which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can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make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him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very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uncomfortable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parent’s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attempts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creativity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not a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willing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risk-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taker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wants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structure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so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can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almost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guarantee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how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things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lastRenderedPageBreak/>
        <w:t>will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turn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out.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often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feels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quite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comfortable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working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on his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own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seeks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opportunities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create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personal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space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himself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whenever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begins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feel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‘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crowded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’ by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others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around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him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Not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only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does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answer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deep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questions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fully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but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poses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his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own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deep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questions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about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God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nature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life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justice,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always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 ‘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’.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understands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complicated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answers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his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questions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appears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absorb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remember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information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quickly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can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given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him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scores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very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highly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on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almost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every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aptitude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achievement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test,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will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usually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rated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positively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in his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school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performance.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Yet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serious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underachiever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because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is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not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offered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enough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content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nor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enough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complexity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content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nor has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compacting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his curriculum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taken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place.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Anywhere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3 to 6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years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Teddy’s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school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life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will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spent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without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exposed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to a single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new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idea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concept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he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does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not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know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already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only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characteristic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that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keep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Teddy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pure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disillusionment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with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school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may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his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own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perseverance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patience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waiting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day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school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will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be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 xml:space="preserve"> ‘hard and </w:t>
      </w:r>
      <w:proofErr w:type="spellStart"/>
      <w:r w:rsidRPr="00546AEB">
        <w:rPr>
          <w:rFonts w:ascii="Times New Roman" w:hAnsi="Times New Roman" w:cs="Times New Roman"/>
          <w:iCs/>
          <w:sz w:val="24"/>
          <w:szCs w:val="24"/>
        </w:rPr>
        <w:t>fun</w:t>
      </w:r>
      <w:proofErr w:type="spellEnd"/>
      <w:r w:rsidRPr="00546AEB">
        <w:rPr>
          <w:rFonts w:ascii="Times New Roman" w:hAnsi="Times New Roman" w:cs="Times New Roman"/>
          <w:iCs/>
          <w:sz w:val="24"/>
          <w:szCs w:val="24"/>
        </w:rPr>
        <w:t>’.</w:t>
      </w:r>
    </w:p>
    <w:p w14:paraId="5C02FF84" w14:textId="77777777" w:rsidR="00546AEB" w:rsidRPr="00546AEB" w:rsidRDefault="00546AEB" w:rsidP="00546AEB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115CC4" w14:textId="77777777" w:rsidR="00546AEB" w:rsidRPr="00546AEB" w:rsidRDefault="00546AEB" w:rsidP="00546AEB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6A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Case Study 2 </w:t>
      </w:r>
      <w:proofErr w:type="spellStart"/>
      <w:r w:rsidRPr="00546AEB">
        <w:rPr>
          <w:rFonts w:ascii="Times New Roman" w:hAnsi="Times New Roman" w:cs="Times New Roman"/>
          <w:b/>
          <w:bCs/>
          <w:iCs/>
          <w:sz w:val="24"/>
          <w:szCs w:val="24"/>
        </w:rPr>
        <w:t>Ceridwen</w:t>
      </w:r>
      <w:proofErr w:type="spellEnd"/>
    </w:p>
    <w:p w14:paraId="0720C80A" w14:textId="77777777" w:rsidR="00FD01B3" w:rsidRPr="00546AEB" w:rsidRDefault="00546AEB" w:rsidP="00546AEB">
      <w:pPr>
        <w:spacing w:after="0" w:line="360" w:lineRule="auto"/>
        <w:rPr>
          <w:rFonts w:ascii="Arial" w:hAnsi="Arial" w:cs="Arial"/>
          <w:color w:val="0A0A0A"/>
          <w:sz w:val="20"/>
          <w:szCs w:val="20"/>
          <w:shd w:val="clear" w:color="auto" w:fill="FDFDFE"/>
        </w:rPr>
      </w:pP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Ceridwen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started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read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just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before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her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fourth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birthday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 her talent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developed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at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remarkable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pace.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entered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school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at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4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years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10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months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with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reading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abilities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someone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two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years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older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fascinated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by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fairy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tales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legends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 has a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lively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creative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imagination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Ceridwen’s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teacher,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Anderson,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placed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her on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an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individualised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reading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program and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gave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her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tasks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which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involved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creating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new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situations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stories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read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What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might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have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happened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Cinderella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had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kept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track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time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left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ball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before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midnight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What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might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have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happened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one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ugly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sisters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had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taken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same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shoe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size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as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Cinderella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?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After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few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months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Ceridwen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started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writing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entirely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new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versions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some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classic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fairy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stories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dictated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them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into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tape-recorder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 a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friendly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mum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who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helped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class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each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week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typed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them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up. Renata,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Ceridwen’s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special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friend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class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who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talented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artist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drew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illustrations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for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books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 Mr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Cornwall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school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librarian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bound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them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put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them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library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Ceridwen’s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task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commitment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developed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as a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result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curriculum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differentiation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offered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by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Anderson.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had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been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asked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to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work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through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reading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readiness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exercises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with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other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children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or</w:t>
      </w:r>
      <w:proofErr w:type="spellEnd"/>
      <w:proofErr w:type="gram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just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sit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read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by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herself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while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teacher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was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working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with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the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other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students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she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might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not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have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retained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her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interest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reading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at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46AEB">
        <w:rPr>
          <w:rFonts w:ascii="Times New Roman" w:hAnsi="Times New Roman" w:cs="Times New Roman"/>
          <w:bCs/>
          <w:iCs/>
          <w:sz w:val="24"/>
          <w:szCs w:val="24"/>
        </w:rPr>
        <w:t>school</w:t>
      </w:r>
      <w:proofErr w:type="spellEnd"/>
      <w:r w:rsidRPr="00546AE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A6CC6D" w14:textId="77777777" w:rsidR="00A959D5" w:rsidRPr="00546AEB" w:rsidRDefault="00A959D5" w:rsidP="00546AEB">
      <w:pPr>
        <w:spacing w:after="0" w:line="360" w:lineRule="auto"/>
      </w:pPr>
    </w:p>
    <w:sectPr w:rsidR="00A959D5" w:rsidRPr="0054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6811"/>
    <w:multiLevelType w:val="hybridMultilevel"/>
    <w:tmpl w:val="8A80E7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21421"/>
    <w:multiLevelType w:val="hybridMultilevel"/>
    <w:tmpl w:val="52B083B8"/>
    <w:lvl w:ilvl="0" w:tplc="77A69C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381992">
    <w:abstractNumId w:val="0"/>
  </w:num>
  <w:num w:numId="2" w16cid:durableId="188659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B8"/>
    <w:rsid w:val="002640D2"/>
    <w:rsid w:val="002D13D4"/>
    <w:rsid w:val="003561E9"/>
    <w:rsid w:val="00524D99"/>
    <w:rsid w:val="00546AEB"/>
    <w:rsid w:val="00590866"/>
    <w:rsid w:val="005A04E0"/>
    <w:rsid w:val="007735A3"/>
    <w:rsid w:val="0088564B"/>
    <w:rsid w:val="00887C49"/>
    <w:rsid w:val="00A959D5"/>
    <w:rsid w:val="00B1079F"/>
    <w:rsid w:val="00B67DF2"/>
    <w:rsid w:val="00C7406A"/>
    <w:rsid w:val="00C82BB8"/>
    <w:rsid w:val="00D87AC9"/>
    <w:rsid w:val="00DA133A"/>
    <w:rsid w:val="00DB704A"/>
    <w:rsid w:val="00E53000"/>
    <w:rsid w:val="00FB5C83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2F49"/>
  <w15:chartTrackingRefBased/>
  <w15:docId w15:val="{10926D6E-849B-4AF6-8F10-482F5632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Eva Trnová</cp:lastModifiedBy>
  <cp:revision>3</cp:revision>
  <dcterms:created xsi:type="dcterms:W3CDTF">2023-03-03T17:04:00Z</dcterms:created>
  <dcterms:modified xsi:type="dcterms:W3CDTF">2023-03-03T18:12:00Z</dcterms:modified>
</cp:coreProperties>
</file>