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0F1AB6D3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>, opravdu plevel,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B39647B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</w:t>
      </w:r>
      <w:r w:rsidR="00451537">
        <w:rPr>
          <w:rFonts w:ascii="Times New Roman" w:hAnsi="Times New Roman" w:cs="Times New Roman"/>
          <w:sz w:val="24"/>
          <w:szCs w:val="24"/>
        </w:rPr>
        <w:t>K</w:t>
      </w:r>
      <w:r w:rsidRPr="00FB20DD">
        <w:rPr>
          <w:rFonts w:ascii="Times New Roman" w:hAnsi="Times New Roman" w:cs="Times New Roman"/>
          <w:sz w:val="24"/>
          <w:szCs w:val="24"/>
        </w:rPr>
        <w:t xml:space="preserve">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1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658CF094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podstatné jména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6BFFFAA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1"/>
    <w:p w14:paraId="3683D981" w14:textId="77777777" w:rsidR="00020E80" w:rsidRDefault="00020E80" w:rsidP="00020E80">
      <w:pPr>
        <w:ind w:firstLine="0"/>
      </w:pPr>
    </w:p>
    <w:sectPr w:rsidR="0002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23"/>
    <w:rsid w:val="00020E80"/>
    <w:rsid w:val="00184ED8"/>
    <w:rsid w:val="00451537"/>
    <w:rsid w:val="005C6C61"/>
    <w:rsid w:val="005D0D23"/>
    <w:rsid w:val="006907E9"/>
    <w:rsid w:val="007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  <w15:chartTrackingRefBased/>
  <w15:docId w15:val="{5390D78A-31C1-4832-9CD2-1CC91BC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6</cp:revision>
  <dcterms:created xsi:type="dcterms:W3CDTF">2020-03-10T13:59:00Z</dcterms:created>
  <dcterms:modified xsi:type="dcterms:W3CDTF">2024-03-05T09:03:00Z</dcterms:modified>
</cp:coreProperties>
</file>