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2C8637" w14:textId="77777777" w:rsidR="0014592F" w:rsidRDefault="0014592F" w:rsidP="0014592F">
      <w:pPr>
        <w:jc w:val="both"/>
      </w:pPr>
      <w:r>
        <w:t xml:space="preserve">Výroky z Aristotela (Etika </w:t>
      </w:r>
      <w:proofErr w:type="spellStart"/>
      <w:r>
        <w:t>Nikomachova</w:t>
      </w:r>
      <w:proofErr w:type="spellEnd"/>
      <w:r>
        <w:t>)</w:t>
      </w:r>
    </w:p>
    <w:p w14:paraId="2325A84D" w14:textId="77777777" w:rsidR="0014592F" w:rsidRDefault="0014592F" w:rsidP="0014592F">
      <w:pPr>
        <w:jc w:val="both"/>
      </w:pPr>
    </w:p>
    <w:p w14:paraId="76B64DEA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 xml:space="preserve">„Proto ctnosti nejsou nám dány ani od přirozenosti, ani proti přirozenosti, nýbrž máme přirozenou vlohu, abychom jich nabyli, zvykem pak se dokonávají. “ (Aristoteles, 2021, s. 26)                                                                                                              </w:t>
      </w:r>
    </w:p>
    <w:p w14:paraId="4AD7EFD6" w14:textId="77777777" w:rsidR="0014592F" w:rsidRDefault="0014592F" w:rsidP="0014592F">
      <w:pPr>
        <w:ind w:firstLine="2130"/>
        <w:jc w:val="both"/>
      </w:pPr>
    </w:p>
    <w:p w14:paraId="5918B8E3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 xml:space="preserve">„Neboť jedna vlaštovka jara nedělá, ani jeden den; tak ani šťastným a blaženým člověkem nečiní jeden den, ani krátký čas.“ (Aristoteles, 2021, s. 33)                                                                                                              </w:t>
      </w:r>
    </w:p>
    <w:p w14:paraId="2479B5A2" w14:textId="77777777" w:rsidR="0014592F" w:rsidRDefault="0014592F" w:rsidP="0014592F">
      <w:pPr>
        <w:jc w:val="both"/>
      </w:pPr>
    </w:p>
    <w:p w14:paraId="6C39C12B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 xml:space="preserve">„Jest tedy </w:t>
      </w:r>
      <w:proofErr w:type="spellStart"/>
      <w:r>
        <w:t>zřejmo</w:t>
      </w:r>
      <w:proofErr w:type="spellEnd"/>
      <w:r>
        <w:t xml:space="preserve">, že ani osla, ani koně, ani jiné zvíře nenazýváme blaženými, neboť žádné z nich nemůže být účastno takové činnosti. Z téže příčiny není ani dítě blažené, neboť pro mládí není ještě schopno takových výkonů.“ (Aristoteles, 2021, s. 37)                                                                                                              </w:t>
      </w:r>
    </w:p>
    <w:p w14:paraId="7EB48D19" w14:textId="77777777" w:rsidR="0014592F" w:rsidRDefault="0014592F" w:rsidP="0014592F">
      <w:pPr>
        <w:jc w:val="both"/>
      </w:pPr>
    </w:p>
    <w:p w14:paraId="6F95E94C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>„Ten však, kdo dává, komu nemá, anebo ne pro krásno, nýbrž z nějaké jiné příčiny, nebude nazván štědrým, nýbrž dostane se mu nějakého jiného jména. Ani ten, kdo dává s bolestí; vždyť by raději volil peníze než krásný skutek, a takové smýšlení nepřísluší štědrému člověku</w:t>
      </w:r>
      <w:proofErr w:type="gramStart"/>
      <w:r>
        <w:t>. .</w:t>
      </w:r>
      <w:proofErr w:type="gramEnd"/>
      <w:r>
        <w:t xml:space="preserve">“ (Aristoteles, 2021, s. 75)                                                                                                               </w:t>
      </w:r>
    </w:p>
    <w:p w14:paraId="6523F421" w14:textId="77777777" w:rsidR="0014592F" w:rsidRDefault="0014592F" w:rsidP="0014592F">
      <w:pPr>
        <w:ind w:firstLine="7260"/>
        <w:jc w:val="both"/>
      </w:pPr>
    </w:p>
    <w:p w14:paraId="2F598901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 xml:space="preserve">„Avšak přemýšlení samo ničím nehýbe, nýbrž to, jež směřuje k nějakému </w:t>
      </w:r>
      <w:proofErr w:type="gramStart"/>
      <w:r>
        <w:t xml:space="preserve">účelu,   </w:t>
      </w:r>
      <w:proofErr w:type="gramEnd"/>
      <w:r>
        <w:t xml:space="preserve">  a praktické.“ (Aristoteles, 2021, s. 128)                                                                                                       </w:t>
      </w:r>
    </w:p>
    <w:p w14:paraId="18E9BE3D" w14:textId="77777777" w:rsidR="0014592F" w:rsidRDefault="0014592F" w:rsidP="0014592F">
      <w:pPr>
        <w:jc w:val="both"/>
      </w:pPr>
    </w:p>
    <w:p w14:paraId="5A33D997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 xml:space="preserve">„Zdá se, že každý člověk miluje to, co jest dobré pro něho, a že dobro jest hodno lásky prostě, ale že pro každého lásky hodno jest to, co jest dobré pro něho.“ (Aristoteles, 2021, s. 179)                                                                                                               </w:t>
      </w:r>
    </w:p>
    <w:p w14:paraId="122F4EE0" w14:textId="77777777" w:rsidR="0014592F" w:rsidRDefault="0014592F" w:rsidP="0014592F">
      <w:pPr>
        <w:jc w:val="both"/>
      </w:pPr>
    </w:p>
    <w:p w14:paraId="3BF192C2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  <w:r>
        <w:t xml:space="preserve">Ctnost je </w:t>
      </w:r>
      <w:proofErr w:type="spellStart"/>
      <w:r>
        <w:t>středností</w:t>
      </w:r>
      <w:proofErr w:type="spellEnd"/>
      <w:r>
        <w:t xml:space="preserve">, něčím, co je od obou konců stejně vzdáleno16. Ctnost mravní se projevuje v ovládání citů a v jednání, a obojí má svůj nadbytek, nedostatek i střed. Nadbytek jest chybou a nedostatek bývá kárán, střed však bývá chválen a je správný – a toto obojí přísluší </w:t>
      </w:r>
      <w:proofErr w:type="gramStart"/>
      <w:r>
        <w:t>ctnosti….</w:t>
      </w:r>
      <w:proofErr w:type="gramEnd"/>
      <w:r>
        <w:t>Avšak ne každé jednání a cit dosahují středu. Některé (např. škodolibost, závist, cizoložství) jsou již podle názvu špatné, a proto nejsou kárány za nadbytek či nedostatek, ale pro svou špatnost z podstaty. (Aristoteles, 1997, s. 56-59)</w:t>
      </w:r>
    </w:p>
    <w:p w14:paraId="3D97FCD6" w14:textId="77777777" w:rsidR="0014592F" w:rsidRDefault="0014592F" w:rsidP="0014592F">
      <w:pPr>
        <w:pStyle w:val="Odstavecseseznamem"/>
      </w:pPr>
    </w:p>
    <w:p w14:paraId="0ACB67DA" w14:textId="77777777" w:rsidR="0014592F" w:rsidRDefault="0014592F" w:rsidP="0014592F">
      <w:pPr>
        <w:pStyle w:val="Odstavecseseznamem"/>
        <w:numPr>
          <w:ilvl w:val="0"/>
          <w:numId w:val="1"/>
        </w:numPr>
        <w:jc w:val="both"/>
      </w:pPr>
    </w:p>
    <w:p w14:paraId="385BBBF6" w14:textId="77777777" w:rsidR="0014592F" w:rsidRDefault="0014592F" w:rsidP="0014592F">
      <w:pPr>
        <w:jc w:val="center"/>
      </w:pPr>
      <w:r>
        <w:rPr>
          <w:noProof/>
        </w:rPr>
        <w:drawing>
          <wp:inline distT="0" distB="0" distL="0" distR="0" wp14:anchorId="469ABE5B" wp14:editId="39857CC1">
            <wp:extent cx="4884420" cy="2747486"/>
            <wp:effectExtent l="0" t="0" r="0" b="0"/>
            <wp:docPr id="139206904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69043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045" cy="27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94D3" w14:textId="77777777" w:rsidR="0014592F" w:rsidRPr="00F16DDC" w:rsidRDefault="0014592F" w:rsidP="0014592F">
      <w:pPr>
        <w:jc w:val="center"/>
        <w:rPr>
          <w:sz w:val="20"/>
          <w:szCs w:val="20"/>
        </w:rPr>
      </w:pPr>
      <w:r w:rsidRPr="00F16DDC">
        <w:rPr>
          <w:sz w:val="20"/>
          <w:szCs w:val="20"/>
        </w:rPr>
        <w:t>Autor obr.: S. Lesňák</w:t>
      </w:r>
    </w:p>
    <w:p w14:paraId="58C82EEE" w14:textId="77777777" w:rsidR="0014592F" w:rsidRDefault="0014592F" w:rsidP="0014592F">
      <w:pPr>
        <w:jc w:val="both"/>
      </w:pPr>
    </w:p>
    <w:p w14:paraId="12BD36DB" w14:textId="77777777" w:rsidR="0014592F" w:rsidRDefault="0014592F" w:rsidP="0014592F">
      <w:pPr>
        <w:jc w:val="both"/>
      </w:pPr>
    </w:p>
    <w:p w14:paraId="7FEE3397" w14:textId="77777777" w:rsidR="0014592F" w:rsidRDefault="0014592F" w:rsidP="0014592F">
      <w:pPr>
        <w:jc w:val="both"/>
      </w:pPr>
      <w:r>
        <w:t xml:space="preserve">ARISTOTELÉS: Etika </w:t>
      </w:r>
      <w:proofErr w:type="spellStart"/>
      <w:r>
        <w:t>Nikomachova</w:t>
      </w:r>
      <w:proofErr w:type="spellEnd"/>
      <w:r>
        <w:t xml:space="preserve">. Praha: Petr Rezek, Rok: 2021. </w:t>
      </w:r>
    </w:p>
    <w:p w14:paraId="703E255C" w14:textId="77777777" w:rsidR="0014592F" w:rsidRDefault="0014592F" w:rsidP="0014592F">
      <w:pPr>
        <w:jc w:val="both"/>
      </w:pPr>
    </w:p>
    <w:p w14:paraId="1B2C1DDB" w14:textId="77777777" w:rsidR="0014592F" w:rsidRDefault="0014592F" w:rsidP="0014592F">
      <w:pPr>
        <w:jc w:val="both"/>
      </w:pPr>
      <w:r>
        <w:t xml:space="preserve">ARISTOTELES. Etika </w:t>
      </w:r>
      <w:proofErr w:type="spellStart"/>
      <w:r>
        <w:t>Nikomachova</w:t>
      </w:r>
      <w:proofErr w:type="spellEnd"/>
      <w:r>
        <w:t>. Druhé, rozšířené vydání. Praha: Rezek, 1996</w:t>
      </w:r>
    </w:p>
    <w:p w14:paraId="06820F89" w14:textId="77777777" w:rsidR="0014592F" w:rsidRPr="00B2538F" w:rsidRDefault="0014592F" w:rsidP="0014592F">
      <w:pPr>
        <w:jc w:val="both"/>
      </w:pPr>
    </w:p>
    <w:p w14:paraId="4CAB90CD" w14:textId="77777777" w:rsidR="002D0A27" w:rsidRDefault="002D0A27"/>
    <w:sectPr w:rsidR="002D0A27" w:rsidSect="001459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4D54F9"/>
    <w:multiLevelType w:val="hybridMultilevel"/>
    <w:tmpl w:val="289E7E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92F"/>
    <w:rsid w:val="00091321"/>
    <w:rsid w:val="00094A1D"/>
    <w:rsid w:val="0014592F"/>
    <w:rsid w:val="002D0A27"/>
    <w:rsid w:val="008975D4"/>
    <w:rsid w:val="00981CF1"/>
    <w:rsid w:val="009F3108"/>
    <w:rsid w:val="00C5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2618"/>
  <w15:chartTrackingRefBased/>
  <w15:docId w15:val="{0D3E9B45-3093-4AF5-B14C-99243005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592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145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5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5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5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5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59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59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59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59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5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5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459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4592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4592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4592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592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592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4592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459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45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59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459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59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592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4592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4592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5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4592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459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Slavomír Lesňák</dc:creator>
  <cp:keywords/>
  <dc:description/>
  <cp:lastModifiedBy>Slavomír Lesňák</cp:lastModifiedBy>
  <cp:revision>1</cp:revision>
  <dcterms:created xsi:type="dcterms:W3CDTF">2025-03-10T10:45:00Z</dcterms:created>
  <dcterms:modified xsi:type="dcterms:W3CDTF">2025-03-10T10:45:00Z</dcterms:modified>
</cp:coreProperties>
</file>