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A80B98" w:rsidRDefault="00A80B98" w:rsidP="00A80B98">
      <w:pPr>
        <w:pStyle w:val="Titulek"/>
        <w:rPr>
          <w:b/>
        </w:rPr>
      </w:pPr>
      <w:proofErr w:type="gramStart"/>
      <w:r>
        <w:rPr>
          <w:b/>
          <w:highlight w:val="red"/>
        </w:rPr>
        <w:t>R E N E S A N C E    15</w:t>
      </w:r>
      <w:proofErr w:type="gramEnd"/>
      <w:r>
        <w:rPr>
          <w:b/>
          <w:highlight w:val="red"/>
        </w:rPr>
        <w:t>. – 16.  stol.</w:t>
      </w:r>
    </w:p>
    <w:tbl>
      <w:tblPr>
        <w:tblpPr w:leftFromText="141" w:rightFromText="141" w:vertAnchor="text" w:horzAnchor="margin" w:tblpY="640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12500"/>
      </w:tblGrid>
      <w:tr w:rsidR="00A80B98" w:rsidTr="00A80B98">
        <w:trPr>
          <w:cantSplit/>
          <w:trHeight w:val="197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B98" w:rsidRDefault="00A80B98">
            <w:pPr>
              <w:ind w:left="113" w:right="113"/>
              <w:jc w:val="center"/>
              <w:rPr>
                <w:color w:val="000000"/>
                <w:sz w:val="36"/>
                <w:szCs w:val="36"/>
                <w:highlight w:val="red"/>
              </w:rPr>
            </w:pPr>
            <w:r>
              <w:rPr>
                <w:b/>
                <w:color w:val="000000"/>
                <w:sz w:val="36"/>
                <w:szCs w:val="36"/>
                <w:highlight w:val="red"/>
              </w:rPr>
              <w:t>Pojmy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8" w:rsidRDefault="00A80B98" w:rsidP="00CB2511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návrat  novoplatonismu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,  zájem o antiku (stoicismus, skepticismus) </w:t>
            </w:r>
          </w:p>
          <w:p w:rsidR="00A80B98" w:rsidRDefault="00A80B98" w:rsidP="00CB2511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alchymie</w:t>
            </w:r>
          </w:p>
          <w:p w:rsidR="00A80B98" w:rsidRDefault="00A80B98" w:rsidP="00CB2511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humanismus (snaha rekonstruovat, komentovat stará latinská díla, kritika středověku)</w:t>
            </w:r>
          </w:p>
          <w:p w:rsidR="00A80B98" w:rsidRDefault="00A80B98" w:rsidP="00CB2511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vztah makrokosmu x mikrokosmu</w:t>
            </w:r>
          </w:p>
          <w:p w:rsidR="00A80B98" w:rsidRDefault="00A80B98" w:rsidP="00CB2511">
            <w:pPr>
              <w:numPr>
                <w:ilvl w:val="0"/>
                <w:numId w:val="1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reformace – důraz na osobní víru člověka a na upřednostnění víry před věděním</w:t>
            </w:r>
          </w:p>
          <w:p w:rsidR="00A80B98" w:rsidRDefault="00A80B98">
            <w:pPr>
              <w:spacing w:line="240" w:lineRule="auto"/>
              <w:rPr>
                <w:b/>
                <w:bCs/>
                <w:color w:val="000000"/>
                <w:sz w:val="32"/>
                <w:szCs w:val="28"/>
              </w:rPr>
            </w:pPr>
          </w:p>
        </w:tc>
      </w:tr>
      <w:tr w:rsidR="00A80B98" w:rsidTr="00A80B98">
        <w:trPr>
          <w:cantSplit/>
          <w:trHeight w:val="213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B98" w:rsidRDefault="00A80B98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>
              <w:rPr>
                <w:b/>
                <w:color w:val="000000"/>
                <w:sz w:val="36"/>
                <w:szCs w:val="36"/>
                <w:highlight w:val="red"/>
              </w:rPr>
              <w:t xml:space="preserve">Důležité </w:t>
            </w:r>
          </w:p>
          <w:p w:rsidR="00A80B98" w:rsidRDefault="00A80B98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>
              <w:rPr>
                <w:b/>
                <w:color w:val="000000"/>
                <w:sz w:val="36"/>
                <w:szCs w:val="36"/>
                <w:highlight w:val="red"/>
              </w:rPr>
              <w:t>postavy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8" w:rsidRDefault="00A80B98">
            <w:pPr>
              <w:ind w:left="708"/>
              <w:rPr>
                <w:color w:val="000000"/>
                <w:sz w:val="28"/>
                <w:szCs w:val="28"/>
              </w:rPr>
            </w:pPr>
          </w:p>
          <w:p w:rsidR="00A80B98" w:rsidRDefault="00A80B98" w:rsidP="00CB2511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Martin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Luther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           (1483–1546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A80B98" w:rsidRDefault="00A80B98" w:rsidP="00CB2511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Michel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Montaigne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 (1533–1592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A80B98" w:rsidRDefault="00A80B98" w:rsidP="00CB2511">
            <w:pPr>
              <w:numPr>
                <w:ilvl w:val="0"/>
                <w:numId w:val="2"/>
              </w:numPr>
              <w:tabs>
                <w:tab w:val="clear" w:pos="1276"/>
                <w:tab w:val="left" w:pos="1304"/>
              </w:tabs>
              <w:ind w:right="56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Francis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Bacon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(1561–1626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80B98" w:rsidTr="00A80B98">
        <w:trPr>
          <w:cantSplit/>
          <w:trHeight w:val="279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B98" w:rsidRDefault="00A80B98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>
              <w:rPr>
                <w:b/>
                <w:color w:val="000000"/>
                <w:sz w:val="36"/>
                <w:szCs w:val="36"/>
                <w:highlight w:val="red"/>
              </w:rPr>
              <w:t xml:space="preserve">Historické </w:t>
            </w:r>
          </w:p>
          <w:p w:rsidR="00A80B98" w:rsidRDefault="00A80B98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>
              <w:rPr>
                <w:b/>
                <w:color w:val="000000"/>
                <w:sz w:val="36"/>
                <w:szCs w:val="36"/>
                <w:highlight w:val="red"/>
              </w:rPr>
              <w:t>události</w:t>
            </w:r>
          </w:p>
        </w:tc>
        <w:tc>
          <w:tcPr>
            <w:tcW w:w="1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8" w:rsidRDefault="00A80B98" w:rsidP="00CB2511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14. / 15. st. papežské schizma (ukončeno až Kostnickým koncilem) =&gt; vystoupení reformátorů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Viklef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 Hus</w:t>
            </w:r>
          </w:p>
          <w:p w:rsidR="00A80B98" w:rsidRDefault="00A80B98" w:rsidP="00CB2511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1453 pád Konstantinopole =&gt; zánik Byzantské říše =&gt; příchod byzantských učenců do Evropy, šíří se jejich vliv (Florentská akademie) + zámořské plavby (1492 – objevení Ameriky, 1498 –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Vasco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de Gama doplouvá do Indie)</w:t>
            </w:r>
          </w:p>
          <w:p w:rsidR="00A80B98" w:rsidRDefault="00A80B98" w:rsidP="00CB2511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okolo roku 1450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Guttenberův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knihtisk</w:t>
            </w:r>
          </w:p>
          <w:p w:rsidR="00A80B98" w:rsidRDefault="00A80B98" w:rsidP="00CB2511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Vznik reformačních církví (luteránství – 1530, kalvinisté, anglikánská církev)</w:t>
            </w:r>
          </w:p>
          <w:p w:rsidR="00A80B98" w:rsidRDefault="00A80B98" w:rsidP="00CB2511">
            <w:pPr>
              <w:numPr>
                <w:ilvl w:val="0"/>
                <w:numId w:val="3"/>
              </w:numPr>
              <w:tabs>
                <w:tab w:val="clear" w:pos="1276"/>
                <w:tab w:val="left" w:pos="1304"/>
              </w:tabs>
              <w:spacing w:line="240" w:lineRule="auto"/>
              <w:ind w:right="5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protireformace (vznik Jezuitského řádu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1534,  Tridentský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koncil) </w:t>
            </w:r>
          </w:p>
          <w:p w:rsidR="00A80B98" w:rsidRDefault="00A80B98">
            <w:pPr>
              <w:spacing w:line="240" w:lineRule="auto"/>
              <w:ind w:left="708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663BA" w:rsidRDefault="00A80B98"/>
    <w:sectPr w:rsidR="00E663BA" w:rsidSect="00A80B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CB8"/>
    <w:multiLevelType w:val="hybridMultilevel"/>
    <w:tmpl w:val="375C2C28"/>
    <w:lvl w:ilvl="0" w:tplc="1B9A46C0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  <w:color w:val="00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349FC"/>
    <w:multiLevelType w:val="hybridMultilevel"/>
    <w:tmpl w:val="EF38F79E"/>
    <w:lvl w:ilvl="0" w:tplc="1B9A46C0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  <w:color w:val="00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16B3C"/>
    <w:multiLevelType w:val="hybridMultilevel"/>
    <w:tmpl w:val="423410A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0B98"/>
    <w:rsid w:val="00843BFF"/>
    <w:rsid w:val="00A80B98"/>
    <w:rsid w:val="00D72C4B"/>
    <w:rsid w:val="00E1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B98"/>
    <w:pPr>
      <w:tabs>
        <w:tab w:val="left" w:pos="1276"/>
      </w:tabs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semiHidden/>
    <w:unhideWhenUsed/>
    <w:qFormat/>
    <w:rsid w:val="00A80B98"/>
    <w:pPr>
      <w:tabs>
        <w:tab w:val="clear" w:pos="1276"/>
        <w:tab w:val="left" w:pos="1304"/>
      </w:tabs>
      <w:ind w:left="0" w:right="567"/>
      <w:jc w:val="center"/>
    </w:pPr>
    <w:rPr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Company>Pedagogická fakulta MU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1</cp:revision>
  <dcterms:created xsi:type="dcterms:W3CDTF">2009-09-23T13:26:00Z</dcterms:created>
  <dcterms:modified xsi:type="dcterms:W3CDTF">2009-09-23T13:26:00Z</dcterms:modified>
</cp:coreProperties>
</file>