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3F1D54" w:rsidRPr="004E7122" w:rsidRDefault="003F1D54" w:rsidP="003F1D54">
      <w:pPr>
        <w:ind w:left="0"/>
        <w:jc w:val="center"/>
        <w:rPr>
          <w:b/>
          <w:color w:val="000000"/>
          <w:sz w:val="44"/>
          <w:szCs w:val="44"/>
        </w:rPr>
      </w:pPr>
      <w:proofErr w:type="gramStart"/>
      <w:r w:rsidRPr="004E7122">
        <w:rPr>
          <w:b/>
          <w:sz w:val="44"/>
          <w:szCs w:val="44"/>
          <w:highlight w:val="magenta"/>
        </w:rPr>
        <w:t xml:space="preserve">O  S V  Í  </w:t>
      </w:r>
      <w:r>
        <w:rPr>
          <w:b/>
          <w:sz w:val="44"/>
          <w:szCs w:val="44"/>
          <w:highlight w:val="magenta"/>
        </w:rPr>
        <w:t xml:space="preserve">C  E  N  S  T  V  Í       </w:t>
      </w:r>
      <w:r w:rsidRPr="004E7122">
        <w:rPr>
          <w:b/>
          <w:sz w:val="44"/>
          <w:szCs w:val="44"/>
          <w:highlight w:val="magenta"/>
        </w:rPr>
        <w:t xml:space="preserve"> 2.</w:t>
      </w:r>
      <w:r>
        <w:rPr>
          <w:b/>
          <w:sz w:val="44"/>
          <w:szCs w:val="44"/>
          <w:highlight w:val="magenta"/>
        </w:rPr>
        <w:t xml:space="preserve"> </w:t>
      </w:r>
      <w:r w:rsidRPr="004E7122">
        <w:rPr>
          <w:b/>
          <w:sz w:val="44"/>
          <w:szCs w:val="44"/>
          <w:highlight w:val="magenta"/>
        </w:rPr>
        <w:t xml:space="preserve"> ½ </w:t>
      </w:r>
      <w:r>
        <w:rPr>
          <w:b/>
          <w:sz w:val="44"/>
          <w:szCs w:val="44"/>
          <w:highlight w:val="magenta"/>
        </w:rPr>
        <w:t xml:space="preserve"> </w:t>
      </w:r>
      <w:r w:rsidRPr="004E7122">
        <w:rPr>
          <w:b/>
          <w:sz w:val="44"/>
          <w:szCs w:val="44"/>
          <w:highlight w:val="magenta"/>
        </w:rPr>
        <w:t>18</w:t>
      </w:r>
      <w:proofErr w:type="gramEnd"/>
      <w:r w:rsidRPr="004E7122">
        <w:rPr>
          <w:b/>
          <w:sz w:val="44"/>
          <w:szCs w:val="44"/>
          <w:highlight w:val="magenta"/>
        </w:rPr>
        <w:t>. ST.</w:t>
      </w:r>
    </w:p>
    <w:tbl>
      <w:tblPr>
        <w:tblpPr w:leftFromText="141" w:rightFromText="141" w:vertAnchor="text" w:horzAnchor="margin" w:tblpY="89"/>
        <w:tblW w:w="14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1"/>
        <w:gridCol w:w="12516"/>
      </w:tblGrid>
      <w:tr w:rsidR="003F1D54" w:rsidRPr="006968DB" w:rsidTr="00CB2511">
        <w:trPr>
          <w:cantSplit/>
          <w:trHeight w:val="1955"/>
        </w:trPr>
        <w:tc>
          <w:tcPr>
            <w:tcW w:w="1741" w:type="dxa"/>
            <w:textDirection w:val="btLr"/>
          </w:tcPr>
          <w:p w:rsidR="003F1D54" w:rsidRPr="006968DB" w:rsidRDefault="003F1D54" w:rsidP="00CB2511">
            <w:pPr>
              <w:ind w:left="113" w:right="113"/>
              <w:jc w:val="center"/>
              <w:rPr>
                <w:color w:val="000000"/>
                <w:sz w:val="36"/>
                <w:szCs w:val="36"/>
              </w:rPr>
            </w:pPr>
            <w:r w:rsidRPr="006968DB">
              <w:rPr>
                <w:b/>
                <w:color w:val="000000"/>
                <w:sz w:val="36"/>
                <w:szCs w:val="36"/>
                <w:highlight w:val="magenta"/>
              </w:rPr>
              <w:t>Pojmy</w:t>
            </w:r>
          </w:p>
        </w:tc>
        <w:tc>
          <w:tcPr>
            <w:tcW w:w="12516" w:type="dxa"/>
          </w:tcPr>
          <w:p w:rsidR="003F1D54" w:rsidRPr="006968DB" w:rsidRDefault="003F1D54" w:rsidP="003F1D54">
            <w:pPr>
              <w:numPr>
                <w:ilvl w:val="0"/>
                <w:numId w:val="1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 xml:space="preserve">Osvícenec </w:t>
            </w:r>
          </w:p>
          <w:p w:rsidR="003F1D54" w:rsidRPr="006968DB" w:rsidRDefault="003F1D54" w:rsidP="003F1D54">
            <w:pPr>
              <w:numPr>
                <w:ilvl w:val="0"/>
                <w:numId w:val="1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>Deismus (Bůh = hodinář, svět = hodiny), = &gt; ateismus</w:t>
            </w:r>
          </w:p>
          <w:p w:rsidR="003F1D54" w:rsidRPr="006968DB" w:rsidRDefault="003F1D54" w:rsidP="003F1D54">
            <w:pPr>
              <w:numPr>
                <w:ilvl w:val="0"/>
                <w:numId w:val="1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>Newtonovský vesmír (absolutní prostor a čas)</w:t>
            </w:r>
          </w:p>
          <w:p w:rsidR="003F1D54" w:rsidRPr="006968DB" w:rsidRDefault="003F1D54" w:rsidP="003F1D54">
            <w:pPr>
              <w:numPr>
                <w:ilvl w:val="0"/>
                <w:numId w:val="1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>Realita a racionalita, racionální člověk čte knihu přírody (realitu)</w:t>
            </w:r>
          </w:p>
          <w:p w:rsidR="003F1D54" w:rsidRPr="006968DB" w:rsidRDefault="003F1D54" w:rsidP="003F1D54">
            <w:pPr>
              <w:numPr>
                <w:ilvl w:val="0"/>
                <w:numId w:val="1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968DB">
              <w:rPr>
                <w:b/>
                <w:color w:val="000000"/>
                <w:sz w:val="28"/>
                <w:szCs w:val="28"/>
              </w:rPr>
              <w:t>Rousseauvské</w:t>
            </w:r>
            <w:proofErr w:type="spellEnd"/>
            <w:r w:rsidRPr="006968DB">
              <w:rPr>
                <w:b/>
                <w:color w:val="000000"/>
                <w:sz w:val="28"/>
                <w:szCs w:val="28"/>
              </w:rPr>
              <w:t xml:space="preserve"> prvky v pedagogice, </w:t>
            </w:r>
            <w:proofErr w:type="gramStart"/>
            <w:r w:rsidRPr="006968DB">
              <w:rPr>
                <w:b/>
                <w:color w:val="000000"/>
                <w:sz w:val="28"/>
                <w:szCs w:val="28"/>
              </w:rPr>
              <w:t>předchůdci  alternativního</w:t>
            </w:r>
            <w:proofErr w:type="gramEnd"/>
            <w:r w:rsidRPr="006968DB">
              <w:rPr>
                <w:b/>
                <w:color w:val="000000"/>
                <w:sz w:val="28"/>
                <w:szCs w:val="28"/>
              </w:rPr>
              <w:t xml:space="preserve"> školství, tělesná výchova jako vyučovací předmět (</w:t>
            </w:r>
            <w:proofErr w:type="spellStart"/>
            <w:r w:rsidRPr="006968DB">
              <w:rPr>
                <w:b/>
                <w:color w:val="000000"/>
                <w:sz w:val="28"/>
                <w:szCs w:val="28"/>
              </w:rPr>
              <w:t>Pestalozzi</w:t>
            </w:r>
            <w:proofErr w:type="spellEnd"/>
            <w:r w:rsidRPr="006968DB">
              <w:rPr>
                <w:b/>
                <w:color w:val="000000"/>
                <w:sz w:val="28"/>
                <w:szCs w:val="28"/>
              </w:rPr>
              <w:t>)</w:t>
            </w:r>
          </w:p>
          <w:p w:rsidR="003F1D54" w:rsidRPr="006968DB" w:rsidRDefault="003F1D54" w:rsidP="003F1D54">
            <w:pPr>
              <w:numPr>
                <w:ilvl w:val="0"/>
                <w:numId w:val="1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>Vznik velkých evropských mýtů („aténská demokracie“, „</w:t>
            </w:r>
            <w:proofErr w:type="spellStart"/>
            <w:proofErr w:type="gramStart"/>
            <w:r w:rsidRPr="006968DB">
              <w:rPr>
                <w:b/>
                <w:color w:val="000000"/>
                <w:sz w:val="28"/>
                <w:szCs w:val="28"/>
              </w:rPr>
              <w:t>kalokagathia</w:t>
            </w:r>
            <w:proofErr w:type="spellEnd"/>
            <w:r w:rsidRPr="006968DB">
              <w:rPr>
                <w:b/>
                <w:color w:val="000000"/>
                <w:sz w:val="28"/>
                <w:szCs w:val="28"/>
              </w:rPr>
              <w:t>“,  „rasa</w:t>
            </w:r>
            <w:proofErr w:type="gramEnd"/>
            <w:r w:rsidRPr="006968DB">
              <w:rPr>
                <w:b/>
                <w:color w:val="000000"/>
                <w:sz w:val="28"/>
                <w:szCs w:val="28"/>
              </w:rPr>
              <w:t>“, „vztah uspořádání světa a rozumu“)</w:t>
            </w:r>
          </w:p>
        </w:tc>
      </w:tr>
      <w:tr w:rsidR="003F1D54" w:rsidRPr="006968DB" w:rsidTr="00CB2511">
        <w:trPr>
          <w:cantSplit/>
          <w:trHeight w:val="2128"/>
        </w:trPr>
        <w:tc>
          <w:tcPr>
            <w:tcW w:w="1741" w:type="dxa"/>
            <w:textDirection w:val="btLr"/>
          </w:tcPr>
          <w:p w:rsidR="003F1D54" w:rsidRPr="006968DB" w:rsidRDefault="003F1D54" w:rsidP="00CB2511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highlight w:val="red"/>
              </w:rPr>
            </w:pPr>
            <w:r w:rsidRPr="006968DB">
              <w:rPr>
                <w:b/>
                <w:color w:val="000000"/>
                <w:sz w:val="36"/>
                <w:szCs w:val="36"/>
                <w:highlight w:val="magenta"/>
              </w:rPr>
              <w:t>Důležité</w:t>
            </w:r>
            <w:r w:rsidRPr="006968DB">
              <w:rPr>
                <w:b/>
                <w:color w:val="000000"/>
                <w:sz w:val="36"/>
                <w:szCs w:val="36"/>
                <w:highlight w:val="red"/>
              </w:rPr>
              <w:t xml:space="preserve"> </w:t>
            </w:r>
          </w:p>
          <w:p w:rsidR="003F1D54" w:rsidRPr="006968DB" w:rsidRDefault="003F1D54" w:rsidP="00CB2511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</w:rPr>
            </w:pPr>
            <w:r w:rsidRPr="006968DB">
              <w:rPr>
                <w:b/>
                <w:color w:val="000000"/>
                <w:sz w:val="36"/>
                <w:szCs w:val="36"/>
                <w:highlight w:val="magenta"/>
              </w:rPr>
              <w:t>Postavy</w:t>
            </w:r>
          </w:p>
        </w:tc>
        <w:tc>
          <w:tcPr>
            <w:tcW w:w="12516" w:type="dxa"/>
          </w:tcPr>
          <w:p w:rsidR="003F1D54" w:rsidRPr="006968DB" w:rsidRDefault="003F1D54" w:rsidP="00CB2511">
            <w:pPr>
              <w:rPr>
                <w:b/>
                <w:sz w:val="28"/>
                <w:szCs w:val="28"/>
              </w:rPr>
            </w:pPr>
          </w:p>
          <w:p w:rsidR="003F1D54" w:rsidRPr="006968DB" w:rsidRDefault="003F1D54" w:rsidP="003F1D54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6968DB">
              <w:rPr>
                <w:b/>
                <w:sz w:val="28"/>
                <w:szCs w:val="28"/>
              </w:rPr>
              <w:t>David Hume (</w:t>
            </w:r>
            <w:proofErr w:type="gramStart"/>
            <w:r w:rsidRPr="006968DB">
              <w:rPr>
                <w:b/>
                <w:sz w:val="28"/>
                <w:szCs w:val="28"/>
              </w:rPr>
              <w:t>1711–1776) (1740</w:t>
            </w:r>
            <w:proofErr w:type="gramEnd"/>
            <w:r w:rsidRPr="006968DB">
              <w:rPr>
                <w:b/>
                <w:sz w:val="28"/>
                <w:szCs w:val="28"/>
              </w:rPr>
              <w:t xml:space="preserve"> vychází jeho „pojednání o lidské přirozenosti)</w:t>
            </w:r>
          </w:p>
          <w:p w:rsidR="003F1D54" w:rsidRPr="006968DB" w:rsidRDefault="003F1D54" w:rsidP="003F1D54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6968DB">
              <w:rPr>
                <w:b/>
                <w:sz w:val="28"/>
                <w:szCs w:val="28"/>
              </w:rPr>
              <w:t xml:space="preserve">Jean </w:t>
            </w:r>
            <w:proofErr w:type="spellStart"/>
            <w:r w:rsidRPr="006968DB">
              <w:rPr>
                <w:b/>
                <w:sz w:val="28"/>
                <w:szCs w:val="28"/>
              </w:rPr>
              <w:t>Jacques</w:t>
            </w:r>
            <w:proofErr w:type="spellEnd"/>
            <w:r w:rsidRPr="006968DB">
              <w:rPr>
                <w:b/>
                <w:sz w:val="28"/>
                <w:szCs w:val="28"/>
              </w:rPr>
              <w:t xml:space="preserve"> Rousseau (1772–1778)</w:t>
            </w:r>
          </w:p>
          <w:p w:rsidR="003F1D54" w:rsidRPr="006968DB" w:rsidRDefault="003F1D54" w:rsidP="003F1D54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6968DB">
              <w:rPr>
                <w:b/>
                <w:sz w:val="28"/>
                <w:szCs w:val="28"/>
              </w:rPr>
              <w:t>Denis Diderot (1713–1784)</w:t>
            </w:r>
          </w:p>
          <w:p w:rsidR="003F1D54" w:rsidRPr="006968DB" w:rsidRDefault="003F1D54" w:rsidP="003F1D54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proofErr w:type="spellStart"/>
            <w:r w:rsidRPr="006968DB">
              <w:rPr>
                <w:b/>
                <w:sz w:val="28"/>
                <w:szCs w:val="28"/>
              </w:rPr>
              <w:t>Immanuel</w:t>
            </w:r>
            <w:proofErr w:type="spellEnd"/>
            <w:r w:rsidRPr="006968DB">
              <w:rPr>
                <w:b/>
                <w:sz w:val="28"/>
                <w:szCs w:val="28"/>
              </w:rPr>
              <w:t xml:space="preserve"> Kant (1724–1804)</w:t>
            </w:r>
          </w:p>
          <w:p w:rsidR="003F1D54" w:rsidRPr="006968DB" w:rsidRDefault="003F1D54" w:rsidP="00CB2511">
            <w:pPr>
              <w:rPr>
                <w:b/>
                <w:sz w:val="28"/>
                <w:szCs w:val="28"/>
              </w:rPr>
            </w:pPr>
          </w:p>
        </w:tc>
      </w:tr>
      <w:tr w:rsidR="003F1D54" w:rsidRPr="006968DB" w:rsidTr="00CB2511">
        <w:trPr>
          <w:cantSplit/>
          <w:trHeight w:val="2027"/>
        </w:trPr>
        <w:tc>
          <w:tcPr>
            <w:tcW w:w="1741" w:type="dxa"/>
            <w:textDirection w:val="btLr"/>
          </w:tcPr>
          <w:p w:rsidR="003F1D54" w:rsidRPr="006968DB" w:rsidRDefault="003F1D54" w:rsidP="00CB2511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highlight w:val="magenta"/>
              </w:rPr>
            </w:pPr>
            <w:r w:rsidRPr="006968DB">
              <w:rPr>
                <w:b/>
                <w:color w:val="000000"/>
                <w:sz w:val="36"/>
                <w:szCs w:val="36"/>
                <w:highlight w:val="magenta"/>
              </w:rPr>
              <w:t>Historické události</w:t>
            </w:r>
          </w:p>
        </w:tc>
        <w:tc>
          <w:tcPr>
            <w:tcW w:w="12516" w:type="dxa"/>
          </w:tcPr>
          <w:p w:rsidR="003F1D54" w:rsidRPr="006968DB" w:rsidRDefault="003F1D54" w:rsidP="00CB2511">
            <w:pPr>
              <w:spacing w:line="240" w:lineRule="auto"/>
              <w:ind w:left="708"/>
              <w:rPr>
                <w:b/>
                <w:color w:val="000000"/>
                <w:sz w:val="28"/>
                <w:szCs w:val="28"/>
              </w:rPr>
            </w:pPr>
          </w:p>
          <w:p w:rsidR="003F1D54" w:rsidRPr="006968DB" w:rsidRDefault="003F1D54" w:rsidP="003F1D54">
            <w:pPr>
              <w:numPr>
                <w:ilvl w:val="0"/>
                <w:numId w:val="2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>1780–90 Josef II. upevnění osvícenského absolutismu u nás.</w:t>
            </w:r>
          </w:p>
          <w:p w:rsidR="003F1D54" w:rsidRPr="006968DB" w:rsidRDefault="003F1D54" w:rsidP="003F1D54">
            <w:pPr>
              <w:numPr>
                <w:ilvl w:val="0"/>
                <w:numId w:val="2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>1775-1783 Boj za nezávislost USA, Deklarace lidských práv, přijetí 1. demokratické ústavy (</w:t>
            </w:r>
            <w:proofErr w:type="spellStart"/>
            <w:r w:rsidRPr="006968DB">
              <w:rPr>
                <w:b/>
                <w:color w:val="000000"/>
                <w:sz w:val="28"/>
                <w:szCs w:val="28"/>
              </w:rPr>
              <w:t>Lockovy</w:t>
            </w:r>
            <w:proofErr w:type="spellEnd"/>
            <w:r w:rsidRPr="006968DB">
              <w:rPr>
                <w:b/>
                <w:color w:val="000000"/>
                <w:sz w:val="28"/>
                <w:szCs w:val="28"/>
              </w:rPr>
              <w:t xml:space="preserve"> myšlenky v praxi)</w:t>
            </w:r>
          </w:p>
          <w:p w:rsidR="003F1D54" w:rsidRPr="006968DB" w:rsidRDefault="003F1D54" w:rsidP="003F1D54">
            <w:pPr>
              <w:numPr>
                <w:ilvl w:val="0"/>
                <w:numId w:val="2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 xml:space="preserve">1789–1799 Velká francouzská </w:t>
            </w:r>
            <w:proofErr w:type="gramStart"/>
            <w:r w:rsidRPr="006968DB">
              <w:rPr>
                <w:b/>
                <w:color w:val="000000"/>
                <w:sz w:val="28"/>
                <w:szCs w:val="28"/>
              </w:rPr>
              <w:t>revoluce,  Napoleonův</w:t>
            </w:r>
            <w:proofErr w:type="gramEnd"/>
            <w:r w:rsidRPr="006968DB">
              <w:rPr>
                <w:b/>
                <w:color w:val="000000"/>
                <w:sz w:val="28"/>
                <w:szCs w:val="28"/>
              </w:rPr>
              <w:t xml:space="preserve"> státní převrat</w:t>
            </w:r>
          </w:p>
        </w:tc>
      </w:tr>
    </w:tbl>
    <w:p w:rsidR="00E663BA" w:rsidRDefault="003F1D54"/>
    <w:sectPr w:rsidR="00E663BA" w:rsidSect="003F1D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C7A53"/>
    <w:multiLevelType w:val="hybridMultilevel"/>
    <w:tmpl w:val="C2667376"/>
    <w:lvl w:ilvl="0" w:tplc="57804BD8">
      <w:start w:val="1"/>
      <w:numFmt w:val="bullet"/>
      <w:lvlText w:val=""/>
      <w:lvlJc w:val="left"/>
      <w:pPr>
        <w:tabs>
          <w:tab w:val="num" w:pos="2224"/>
        </w:tabs>
        <w:ind w:left="1304" w:hanging="73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133B7"/>
    <w:multiLevelType w:val="hybridMultilevel"/>
    <w:tmpl w:val="57CA710A"/>
    <w:lvl w:ilvl="0" w:tplc="57804BD8">
      <w:start w:val="1"/>
      <w:numFmt w:val="bullet"/>
      <w:lvlText w:val=""/>
      <w:lvlJc w:val="left"/>
      <w:pPr>
        <w:tabs>
          <w:tab w:val="num" w:pos="2365"/>
        </w:tabs>
        <w:ind w:left="1445" w:hanging="7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">
    <w:nsid w:val="6D216B3C"/>
    <w:multiLevelType w:val="hybridMultilevel"/>
    <w:tmpl w:val="423410A6"/>
    <w:lvl w:ilvl="0" w:tplc="57804BD8">
      <w:start w:val="1"/>
      <w:numFmt w:val="bullet"/>
      <w:lvlText w:val=""/>
      <w:lvlJc w:val="left"/>
      <w:pPr>
        <w:tabs>
          <w:tab w:val="num" w:pos="2224"/>
        </w:tabs>
        <w:ind w:left="1304" w:hanging="7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1D54"/>
    <w:rsid w:val="003F1D54"/>
    <w:rsid w:val="00843BFF"/>
    <w:rsid w:val="00D72C4B"/>
    <w:rsid w:val="00E1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D54"/>
    <w:pPr>
      <w:tabs>
        <w:tab w:val="left" w:pos="1276"/>
      </w:tabs>
      <w:spacing w:after="0" w:line="36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787</Characters>
  <Application>Microsoft Office Word</Application>
  <DocSecurity>0</DocSecurity>
  <Lines>6</Lines>
  <Paragraphs>1</Paragraphs>
  <ScaleCrop>false</ScaleCrop>
  <Company>Pedagogická fakulta MU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</dc:creator>
  <cp:keywords/>
  <dc:description/>
  <cp:lastModifiedBy>Šíp</cp:lastModifiedBy>
  <cp:revision>1</cp:revision>
  <dcterms:created xsi:type="dcterms:W3CDTF">2009-09-23T13:29:00Z</dcterms:created>
  <dcterms:modified xsi:type="dcterms:W3CDTF">2009-09-23T13:30:00Z</dcterms:modified>
</cp:coreProperties>
</file>