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B78" w:rsidRDefault="00C73B78" w:rsidP="00C73B78">
      <w:pPr>
        <w:pStyle w:val="Nadpis2"/>
        <w:numPr>
          <w:ilvl w:val="0"/>
          <w:numId w:val="0"/>
        </w:numPr>
        <w:rPr>
          <w:szCs w:val="24"/>
        </w:rPr>
      </w:pPr>
      <w:bookmarkStart w:id="0" w:name="_Toc153421641"/>
      <w:bookmarkStart w:id="1" w:name="_Toc182206926"/>
      <w:r w:rsidRPr="0017412F">
        <w:rPr>
          <w:szCs w:val="24"/>
        </w:rPr>
        <w:t>Tělesné postižením</w:t>
      </w:r>
      <w:bookmarkEnd w:id="0"/>
      <w:bookmarkEnd w:id="1"/>
      <w:r w:rsidRPr="0017412F">
        <w:rPr>
          <w:szCs w:val="24"/>
        </w:rPr>
        <w:t xml:space="preserve"> </w:t>
      </w:r>
      <w:r>
        <w:rPr>
          <w:szCs w:val="24"/>
        </w:rPr>
        <w:t>–</w:t>
      </w:r>
      <w:r w:rsidRPr="0017412F">
        <w:rPr>
          <w:szCs w:val="24"/>
        </w:rPr>
        <w:t xml:space="preserve"> vymezení</w:t>
      </w:r>
    </w:p>
    <w:p w:rsidR="00C73B78" w:rsidRDefault="00C73B78" w:rsidP="00C73B78">
      <w:pPr>
        <w:pStyle w:val="Nadpis2"/>
        <w:numPr>
          <w:ilvl w:val="0"/>
          <w:numId w:val="0"/>
        </w:numPr>
        <w:rPr>
          <w:szCs w:val="24"/>
        </w:rPr>
      </w:pPr>
    </w:p>
    <w:p w:rsidR="00C73B78" w:rsidRPr="00F36C0A" w:rsidRDefault="00C73B78" w:rsidP="00C73B78">
      <w:pPr>
        <w:pStyle w:val="Nadpis2"/>
        <w:numPr>
          <w:ilvl w:val="0"/>
          <w:numId w:val="0"/>
        </w:numPr>
        <w:rPr>
          <w:b w:val="0"/>
          <w:szCs w:val="24"/>
        </w:rPr>
      </w:pPr>
      <w:r w:rsidRPr="00F36C0A">
        <w:rPr>
          <w:b w:val="0"/>
          <w:szCs w:val="24"/>
        </w:rPr>
        <w:t xml:space="preserve">Tělesným postižením rozumíme vady pohybového a nosného ústrojí, tj. kostí, kloubů, šlach, svalů a cévního zásobení, jakož i poškození nebo poruchy nervového ústrojí, jestliže se projevují porušenou hybností. (Vítková 1999). Osoby s tělesným postižením mají přetrvávající nebo trvalé nápadnosti v pohybových schopnostech, projevující se zejména omezením hybnosti. Tělesné postižení má vliv na kognitivní, emocionální a sociální výkon jedince. </w:t>
      </w:r>
    </w:p>
    <w:p w:rsidR="00C73B78" w:rsidRDefault="00C73B78" w:rsidP="00C73B78">
      <w:pPr>
        <w:pStyle w:val="Nadpis2"/>
        <w:numPr>
          <w:ilvl w:val="0"/>
          <w:numId w:val="0"/>
        </w:numPr>
        <w:rPr>
          <w:b w:val="0"/>
          <w:szCs w:val="24"/>
        </w:rPr>
      </w:pPr>
      <w:r w:rsidRPr="00F36C0A">
        <w:rPr>
          <w:b w:val="0"/>
          <w:szCs w:val="24"/>
        </w:rPr>
        <w:t xml:space="preserve">Příčin tělesných postižení je mnoho, jmenujme např. úrazy páteře s následným poraněním míchy při sportu a autonehodách či pádech, artritidu, svalovou dystrofii, dětskou mozkovou obrnu, amputace, v minulosti také dětskou obrnu, mozkovou mrtvici, atd. Typickými příznaky pak mohou být např. poruchy svalového napětí, vyznačující se zvýšeným, sníženým nebo střídavým napětím svalů, poruchy koordinace, mimovolní (vůlí nekontrolovatelné) pohyby, ztráta citlivosti, ztuhlost kloubů, vadné držení těla a další. Pro naše potřeby je důležité rozlišovat, zda se jedná o tělesné postižení vrozené nebo získané v pozdějším věku. U získaných postižení je pak důležité diferencovat, zda se jedná o postižení vzniklé náhle vlivem úrazu nebo o dlouhodobé </w:t>
      </w:r>
      <w:proofErr w:type="spellStart"/>
      <w:r w:rsidRPr="00F36C0A">
        <w:rPr>
          <w:b w:val="0"/>
          <w:szCs w:val="24"/>
        </w:rPr>
        <w:t>progredující</w:t>
      </w:r>
      <w:proofErr w:type="spellEnd"/>
      <w:r w:rsidRPr="00F36C0A">
        <w:rPr>
          <w:b w:val="0"/>
          <w:szCs w:val="24"/>
        </w:rPr>
        <w:t xml:space="preserve"> onemocnění. Dle studie ČSÚ trpí některou z forem tělesného postižení v ČR přibližně půl milionu osob (Výsledky šetření o zdravotně postižených, 2007).</w:t>
      </w:r>
      <w:bookmarkStart w:id="2" w:name="_Toc153421642"/>
    </w:p>
    <w:p w:rsidR="00C73B78" w:rsidRDefault="00C73B78" w:rsidP="00C73B78">
      <w:pPr>
        <w:pStyle w:val="Nadpis2"/>
        <w:numPr>
          <w:ilvl w:val="0"/>
          <w:numId w:val="0"/>
        </w:numPr>
        <w:rPr>
          <w:b w:val="0"/>
          <w:szCs w:val="24"/>
        </w:rPr>
      </w:pPr>
    </w:p>
    <w:p w:rsidR="00C73B78" w:rsidRPr="00F36C0A" w:rsidRDefault="00C73B78" w:rsidP="00C73B78">
      <w:pPr>
        <w:pStyle w:val="Nadpis2"/>
        <w:numPr>
          <w:ilvl w:val="0"/>
          <w:numId w:val="0"/>
        </w:numPr>
        <w:rPr>
          <w:b w:val="0"/>
          <w:szCs w:val="24"/>
        </w:rPr>
      </w:pPr>
      <w:r w:rsidRPr="0017412F">
        <w:rPr>
          <w:bCs/>
          <w:szCs w:val="24"/>
        </w:rPr>
        <w:t>Užívání návykových látek</w:t>
      </w:r>
      <w:r>
        <w:rPr>
          <w:b w:val="0"/>
          <w:bCs/>
          <w:szCs w:val="24"/>
        </w:rPr>
        <w:t xml:space="preserve"> </w:t>
      </w:r>
      <w:r w:rsidRPr="00F36C0A">
        <w:rPr>
          <w:bCs/>
          <w:szCs w:val="24"/>
        </w:rPr>
        <w:t>u osob</w:t>
      </w:r>
      <w:r>
        <w:rPr>
          <w:b w:val="0"/>
          <w:bCs/>
          <w:szCs w:val="24"/>
        </w:rPr>
        <w:t xml:space="preserve"> </w:t>
      </w:r>
      <w:r w:rsidRPr="0017412F">
        <w:rPr>
          <w:bCs/>
          <w:szCs w:val="24"/>
        </w:rPr>
        <w:t>s tělesným postižením</w:t>
      </w:r>
      <w:bookmarkEnd w:id="2"/>
    </w:p>
    <w:p w:rsidR="00C73B78" w:rsidRDefault="00C73B78" w:rsidP="00C73B78">
      <w:pPr>
        <w:spacing w:line="240" w:lineRule="auto"/>
        <w:ind w:right="70"/>
        <w:rPr>
          <w:rFonts w:ascii="Times New Roman" w:hAnsi="Times New Roman" w:cs="Times New Roman"/>
          <w:sz w:val="24"/>
          <w:szCs w:val="24"/>
        </w:rPr>
      </w:pPr>
    </w:p>
    <w:p w:rsidR="00C73B78" w:rsidRDefault="00C73B78" w:rsidP="00C73B78">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Riziko vzniku problémů s užíváním drog u osob s tělesným postižením je vyšší než v běžné populaci. Konkrétní prevalence užívání drog se liší dle typu a etiologie tělesného postižení. Mezi zvláště rizikové skupiny patří lidé po traumatických úrazech, např. po úrazu páteře s následným poraněním míchy. Přibližně jedna polovina všech úrazů s poraněním míchy následuje v souvislosti či po požití návykové látky (</w:t>
      </w:r>
      <w:proofErr w:type="spellStart"/>
      <w:r w:rsidRPr="0017412F">
        <w:rPr>
          <w:rFonts w:ascii="Times New Roman" w:hAnsi="Times New Roman" w:cs="Times New Roman"/>
          <w:sz w:val="24"/>
          <w:szCs w:val="24"/>
        </w:rPr>
        <w:t>Heinemann</w:t>
      </w:r>
      <w:proofErr w:type="spellEnd"/>
      <w:r>
        <w:rPr>
          <w:rFonts w:ascii="Times New Roman" w:hAnsi="Times New Roman" w:cs="Times New Roman"/>
          <w:sz w:val="24"/>
          <w:szCs w:val="24"/>
        </w:rPr>
        <w:t xml:space="preserve"> a kol., 1993). </w:t>
      </w:r>
    </w:p>
    <w:p w:rsidR="00C73B78" w:rsidRDefault="00C73B78" w:rsidP="00C73B78">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 xml:space="preserve">Další rizikovou skupinou jsou osoby trpící chronickými bolestmi nebo svalovou </w:t>
      </w:r>
      <w:proofErr w:type="spellStart"/>
      <w:r w:rsidRPr="0017412F">
        <w:rPr>
          <w:rFonts w:ascii="Times New Roman" w:hAnsi="Times New Roman" w:cs="Times New Roman"/>
          <w:sz w:val="24"/>
          <w:szCs w:val="24"/>
        </w:rPr>
        <w:t>spasticitou</w:t>
      </w:r>
      <w:proofErr w:type="spellEnd"/>
      <w:r w:rsidRPr="0017412F">
        <w:rPr>
          <w:rFonts w:ascii="Times New Roman" w:hAnsi="Times New Roman" w:cs="Times New Roman"/>
          <w:sz w:val="24"/>
          <w:szCs w:val="24"/>
        </w:rPr>
        <w:t xml:space="preserve"> (</w:t>
      </w:r>
      <w:proofErr w:type="spellStart"/>
      <w:r w:rsidRPr="0017412F">
        <w:rPr>
          <w:rFonts w:ascii="Times New Roman" w:hAnsi="Times New Roman" w:cs="Times New Roman"/>
          <w:sz w:val="24"/>
          <w:szCs w:val="24"/>
        </w:rPr>
        <w:t>Moore</w:t>
      </w:r>
      <w:proofErr w:type="spellEnd"/>
      <w:r w:rsidRPr="0017412F">
        <w:rPr>
          <w:rFonts w:ascii="Times New Roman" w:hAnsi="Times New Roman" w:cs="Times New Roman"/>
          <w:sz w:val="24"/>
          <w:szCs w:val="24"/>
        </w:rPr>
        <w:t xml:space="preserve"> </w:t>
      </w:r>
      <w:proofErr w:type="spellStart"/>
      <w:r w:rsidRPr="0017412F">
        <w:rPr>
          <w:rFonts w:ascii="Times New Roman" w:hAnsi="Times New Roman" w:cs="Times New Roman"/>
          <w:sz w:val="24"/>
          <w:szCs w:val="24"/>
        </w:rPr>
        <w:t>and</w:t>
      </w:r>
      <w:proofErr w:type="spellEnd"/>
      <w:r w:rsidRPr="0017412F">
        <w:rPr>
          <w:rFonts w:ascii="Times New Roman" w:hAnsi="Times New Roman" w:cs="Times New Roman"/>
          <w:sz w:val="24"/>
          <w:szCs w:val="24"/>
        </w:rPr>
        <w:t xml:space="preserve"> </w:t>
      </w:r>
      <w:proofErr w:type="spellStart"/>
      <w:r w:rsidRPr="0017412F">
        <w:rPr>
          <w:rFonts w:ascii="Times New Roman" w:hAnsi="Times New Roman" w:cs="Times New Roman"/>
          <w:sz w:val="24"/>
          <w:szCs w:val="24"/>
        </w:rPr>
        <w:t>Polsgrove</w:t>
      </w:r>
      <w:proofErr w:type="spellEnd"/>
      <w:r w:rsidRPr="0017412F">
        <w:rPr>
          <w:rFonts w:ascii="Times New Roman" w:hAnsi="Times New Roman" w:cs="Times New Roman"/>
          <w:sz w:val="24"/>
          <w:szCs w:val="24"/>
        </w:rPr>
        <w:t>, 1991). Není výjimečné, že je těmto jedincům najednou předepisována řada léků. I malé množství drog</w:t>
      </w:r>
      <w:r>
        <w:rPr>
          <w:rFonts w:ascii="Times New Roman" w:hAnsi="Times New Roman" w:cs="Times New Roman"/>
          <w:sz w:val="24"/>
          <w:szCs w:val="24"/>
        </w:rPr>
        <w:t>y</w:t>
      </w:r>
      <w:r w:rsidRPr="0017412F">
        <w:rPr>
          <w:rFonts w:ascii="Times New Roman" w:hAnsi="Times New Roman" w:cs="Times New Roman"/>
          <w:sz w:val="24"/>
          <w:szCs w:val="24"/>
        </w:rPr>
        <w:t xml:space="preserve"> v kombinaci s některými léky může působit škodlivě. Toto nebezpečí však bývá jak profesionály, tak samotnými postiženými podceňováno. Zvládání fyzické bolesti primárně za pomocí léků nebo drog pak snadno vede ke stejnému způsobu řešení při psychických problémech. Veřejné mínění takovéto chování často ospravedlňuje tím, že tělesně postižení mají „právo“ užívat drogy, aby se tak zbavili bolesti či vyrovnali s izolovaností a sociálními problémy (Ford a </w:t>
      </w:r>
      <w:proofErr w:type="spellStart"/>
      <w:r w:rsidRPr="0017412F">
        <w:rPr>
          <w:rFonts w:ascii="Times New Roman" w:hAnsi="Times New Roman" w:cs="Times New Roman"/>
          <w:sz w:val="24"/>
          <w:szCs w:val="24"/>
        </w:rPr>
        <w:t>Moore</w:t>
      </w:r>
      <w:proofErr w:type="spellEnd"/>
      <w:r w:rsidRPr="0017412F">
        <w:rPr>
          <w:rFonts w:ascii="Times New Roman" w:hAnsi="Times New Roman" w:cs="Times New Roman"/>
          <w:sz w:val="24"/>
          <w:szCs w:val="24"/>
        </w:rPr>
        <w:t xml:space="preserve">, 1999). </w:t>
      </w:r>
      <w:bookmarkStart w:id="3" w:name="_Toc153421644"/>
    </w:p>
    <w:p w:rsidR="00C73B78" w:rsidRDefault="00C73B78" w:rsidP="00C73B78">
      <w:pPr>
        <w:spacing w:line="240" w:lineRule="auto"/>
        <w:ind w:right="70"/>
        <w:rPr>
          <w:rFonts w:ascii="Times New Roman" w:hAnsi="Times New Roman" w:cs="Times New Roman"/>
          <w:sz w:val="24"/>
          <w:szCs w:val="24"/>
        </w:rPr>
      </w:pPr>
      <w:r w:rsidRPr="0017412F">
        <w:rPr>
          <w:rFonts w:ascii="Times New Roman" w:hAnsi="Times New Roman" w:cs="Times New Roman"/>
          <w:b/>
          <w:bCs/>
          <w:sz w:val="24"/>
          <w:szCs w:val="24"/>
        </w:rPr>
        <w:t xml:space="preserve">Typologie </w:t>
      </w:r>
      <w:r>
        <w:rPr>
          <w:rFonts w:ascii="Times New Roman" w:hAnsi="Times New Roman" w:cs="Times New Roman"/>
          <w:b/>
          <w:bCs/>
          <w:sz w:val="24"/>
          <w:szCs w:val="24"/>
        </w:rPr>
        <w:t xml:space="preserve">osob s </w:t>
      </w:r>
      <w:r w:rsidRPr="0017412F">
        <w:rPr>
          <w:rFonts w:ascii="Times New Roman" w:hAnsi="Times New Roman" w:cs="Times New Roman"/>
          <w:b/>
          <w:bCs/>
          <w:sz w:val="24"/>
          <w:szCs w:val="24"/>
        </w:rPr>
        <w:t>tělesn</w:t>
      </w:r>
      <w:r>
        <w:rPr>
          <w:rFonts w:ascii="Times New Roman" w:hAnsi="Times New Roman" w:cs="Times New Roman"/>
          <w:b/>
          <w:bCs/>
          <w:sz w:val="24"/>
          <w:szCs w:val="24"/>
        </w:rPr>
        <w:t>ým</w:t>
      </w:r>
      <w:r w:rsidRPr="0017412F">
        <w:rPr>
          <w:rFonts w:ascii="Times New Roman" w:hAnsi="Times New Roman" w:cs="Times New Roman"/>
          <w:b/>
          <w:bCs/>
          <w:sz w:val="24"/>
          <w:szCs w:val="24"/>
        </w:rPr>
        <w:t xml:space="preserve"> postižen</w:t>
      </w:r>
      <w:r>
        <w:rPr>
          <w:rFonts w:ascii="Times New Roman" w:hAnsi="Times New Roman" w:cs="Times New Roman"/>
          <w:b/>
          <w:bCs/>
          <w:sz w:val="24"/>
          <w:szCs w:val="24"/>
        </w:rPr>
        <w:t>ím</w:t>
      </w:r>
      <w:r w:rsidRPr="0017412F">
        <w:rPr>
          <w:rFonts w:ascii="Times New Roman" w:hAnsi="Times New Roman" w:cs="Times New Roman"/>
          <w:b/>
          <w:bCs/>
          <w:sz w:val="24"/>
          <w:szCs w:val="24"/>
        </w:rPr>
        <w:t xml:space="preserve"> vzhledem k návykovým látkám</w:t>
      </w:r>
      <w:bookmarkEnd w:id="3"/>
    </w:p>
    <w:p w:rsidR="00C73B78" w:rsidRDefault="00C73B78" w:rsidP="00C73B78">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 xml:space="preserve">Osoby s problémy s návykovými látkami a tělesným postižením je možné rozdělit do dvou hlavních skupin: </w:t>
      </w:r>
    </w:p>
    <w:p w:rsidR="00C73B78" w:rsidRDefault="00C73B78" w:rsidP="00C73B78">
      <w:pPr>
        <w:spacing w:line="240" w:lineRule="auto"/>
        <w:ind w:right="70"/>
        <w:rPr>
          <w:rFonts w:ascii="Times New Roman" w:hAnsi="Times New Roman" w:cs="Times New Roman"/>
          <w:sz w:val="24"/>
          <w:szCs w:val="24"/>
        </w:rPr>
      </w:pPr>
      <w:r w:rsidRPr="0017412F">
        <w:rPr>
          <w:rFonts w:ascii="Times New Roman" w:hAnsi="Times New Roman" w:cs="Times New Roman"/>
          <w:b/>
          <w:sz w:val="24"/>
          <w:szCs w:val="24"/>
        </w:rPr>
        <w:t>Typ A</w:t>
      </w:r>
      <w:r w:rsidRPr="0017412F">
        <w:rPr>
          <w:rFonts w:ascii="Times New Roman" w:hAnsi="Times New Roman" w:cs="Times New Roman"/>
          <w:sz w:val="24"/>
          <w:szCs w:val="24"/>
        </w:rPr>
        <w:t xml:space="preserve">, zahrnuje ty jedince, kteří měli problémy s drogami před počátkem tělesného postižení, a </w:t>
      </w:r>
      <w:r w:rsidRPr="0017412F">
        <w:rPr>
          <w:rFonts w:ascii="Times New Roman" w:hAnsi="Times New Roman" w:cs="Times New Roman"/>
          <w:b/>
          <w:sz w:val="24"/>
          <w:szCs w:val="24"/>
        </w:rPr>
        <w:t>typ B</w:t>
      </w:r>
      <w:r w:rsidRPr="0017412F">
        <w:rPr>
          <w:rFonts w:ascii="Times New Roman" w:hAnsi="Times New Roman" w:cs="Times New Roman"/>
          <w:sz w:val="24"/>
          <w:szCs w:val="24"/>
        </w:rPr>
        <w:t>, zahrnující ty, jejichž problémy se objevují až po vzniku postižení. Méně příznivé výsledky léčby se pak objevují u typu A. Typologie tohoto druhu má důležitý význam pro stanovení předpokládaného vývoje onemocnění, plánování terapeutických zásahů a stanovení reálných cílů léčby. (</w:t>
      </w:r>
      <w:proofErr w:type="spellStart"/>
      <w:r w:rsidRPr="0017412F">
        <w:rPr>
          <w:rFonts w:ascii="Times New Roman" w:hAnsi="Times New Roman" w:cs="Times New Roman"/>
          <w:sz w:val="24"/>
          <w:szCs w:val="24"/>
        </w:rPr>
        <w:t>Glass</w:t>
      </w:r>
      <w:proofErr w:type="spellEnd"/>
      <w:r w:rsidRPr="0017412F">
        <w:rPr>
          <w:rFonts w:ascii="Times New Roman" w:hAnsi="Times New Roman" w:cs="Times New Roman"/>
          <w:sz w:val="24"/>
          <w:szCs w:val="24"/>
        </w:rPr>
        <w:t>, 1980)</w:t>
      </w:r>
    </w:p>
    <w:p w:rsidR="00C73B78" w:rsidRPr="0017412F" w:rsidRDefault="00C73B78" w:rsidP="00C73B78">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Z dostupných výzkumů týkajících se vztahu zneužívání alkoholu a jiných drog u osob s tělesným postižením můžeme shrnout následující:</w:t>
      </w:r>
    </w:p>
    <w:p w:rsidR="00C73B78" w:rsidRPr="0017412F" w:rsidRDefault="00C73B78" w:rsidP="00C73B78">
      <w:pPr>
        <w:numPr>
          <w:ilvl w:val="0"/>
          <w:numId w:val="2"/>
        </w:numPr>
        <w:spacing w:after="0" w:line="240" w:lineRule="auto"/>
        <w:ind w:left="0" w:right="70" w:firstLine="0"/>
        <w:rPr>
          <w:rFonts w:ascii="Times New Roman" w:hAnsi="Times New Roman" w:cs="Times New Roman"/>
          <w:sz w:val="24"/>
          <w:szCs w:val="24"/>
        </w:rPr>
      </w:pPr>
      <w:r w:rsidRPr="0017412F">
        <w:rPr>
          <w:rFonts w:ascii="Times New Roman" w:hAnsi="Times New Roman" w:cs="Times New Roman"/>
          <w:sz w:val="24"/>
          <w:szCs w:val="24"/>
        </w:rPr>
        <w:lastRenderedPageBreak/>
        <w:t xml:space="preserve">Většina osob s tělesným postižením užívající drogy vykazuje problémy s těmito látkami již před vznikem postižení. Např. z šetření </w:t>
      </w:r>
      <w:proofErr w:type="spellStart"/>
      <w:r w:rsidRPr="0017412F">
        <w:rPr>
          <w:rFonts w:ascii="Times New Roman" w:hAnsi="Times New Roman" w:cs="Times New Roman"/>
          <w:sz w:val="24"/>
          <w:szCs w:val="24"/>
        </w:rPr>
        <w:t>Heinemanna</w:t>
      </w:r>
      <w:proofErr w:type="spellEnd"/>
      <w:r w:rsidRPr="0017412F">
        <w:rPr>
          <w:rFonts w:ascii="Times New Roman" w:hAnsi="Times New Roman" w:cs="Times New Roman"/>
          <w:sz w:val="24"/>
          <w:szCs w:val="24"/>
        </w:rPr>
        <w:t xml:space="preserve">, </w:t>
      </w:r>
      <w:proofErr w:type="spellStart"/>
      <w:r w:rsidRPr="0017412F">
        <w:rPr>
          <w:rFonts w:ascii="Times New Roman" w:hAnsi="Times New Roman" w:cs="Times New Roman"/>
          <w:sz w:val="24"/>
          <w:szCs w:val="24"/>
        </w:rPr>
        <w:t>Dolla</w:t>
      </w:r>
      <w:proofErr w:type="spellEnd"/>
      <w:r w:rsidRPr="0017412F">
        <w:rPr>
          <w:rFonts w:ascii="Times New Roman" w:hAnsi="Times New Roman" w:cs="Times New Roman"/>
          <w:sz w:val="24"/>
          <w:szCs w:val="24"/>
        </w:rPr>
        <w:t xml:space="preserve"> a </w:t>
      </w:r>
      <w:proofErr w:type="spellStart"/>
      <w:r w:rsidRPr="0017412F">
        <w:rPr>
          <w:rFonts w:ascii="Times New Roman" w:hAnsi="Times New Roman" w:cs="Times New Roman"/>
          <w:sz w:val="24"/>
          <w:szCs w:val="24"/>
        </w:rPr>
        <w:t>Schnolla</w:t>
      </w:r>
      <w:proofErr w:type="spellEnd"/>
      <w:r w:rsidRPr="0017412F">
        <w:rPr>
          <w:rFonts w:ascii="Times New Roman" w:hAnsi="Times New Roman" w:cs="Times New Roman"/>
          <w:sz w:val="24"/>
          <w:szCs w:val="24"/>
        </w:rPr>
        <w:t xml:space="preserve"> (1989) vyplývá, že ze 103 osob s traumatickým poraněním míchy bylo 65% identifikováno jako typ A, 6% jako typ B a 29% neudávalo žádné problémy s psychoaktivními látkami ani </w:t>
      </w:r>
      <w:proofErr w:type="gramStart"/>
      <w:r w:rsidRPr="0017412F">
        <w:rPr>
          <w:rFonts w:ascii="Times New Roman" w:hAnsi="Times New Roman" w:cs="Times New Roman"/>
          <w:sz w:val="24"/>
          <w:szCs w:val="24"/>
        </w:rPr>
        <w:t>před</w:t>
      </w:r>
      <w:proofErr w:type="gramEnd"/>
      <w:r w:rsidRPr="0017412F">
        <w:rPr>
          <w:rFonts w:ascii="Times New Roman" w:hAnsi="Times New Roman" w:cs="Times New Roman"/>
          <w:sz w:val="24"/>
          <w:szCs w:val="24"/>
        </w:rPr>
        <w:t xml:space="preserve"> ani po úraze.</w:t>
      </w:r>
    </w:p>
    <w:p w:rsidR="00C73B78" w:rsidRPr="0017412F" w:rsidRDefault="00C73B78" w:rsidP="00C73B78">
      <w:pPr>
        <w:numPr>
          <w:ilvl w:val="0"/>
          <w:numId w:val="2"/>
        </w:numPr>
        <w:spacing w:after="0" w:line="240" w:lineRule="auto"/>
        <w:ind w:left="0" w:right="70" w:firstLine="0"/>
        <w:rPr>
          <w:rFonts w:ascii="Times New Roman" w:hAnsi="Times New Roman" w:cs="Times New Roman"/>
          <w:sz w:val="24"/>
          <w:szCs w:val="24"/>
        </w:rPr>
      </w:pPr>
      <w:r w:rsidRPr="0017412F">
        <w:rPr>
          <w:rFonts w:ascii="Times New Roman" w:hAnsi="Times New Roman" w:cs="Times New Roman"/>
          <w:sz w:val="24"/>
          <w:szCs w:val="24"/>
        </w:rPr>
        <w:t xml:space="preserve">U velké většiny osob užívajících drogy došlo k tělesnému postižení následkem úrazu, a to v přímé souvislosti s užitím alkoholu nebo jiných drog. </w:t>
      </w:r>
    </w:p>
    <w:p w:rsidR="00C73B78" w:rsidRPr="0017412F" w:rsidRDefault="00C73B78" w:rsidP="00C73B78">
      <w:pPr>
        <w:numPr>
          <w:ilvl w:val="0"/>
          <w:numId w:val="2"/>
        </w:numPr>
        <w:spacing w:after="0" w:line="240" w:lineRule="auto"/>
        <w:ind w:left="0" w:right="70" w:firstLine="0"/>
        <w:rPr>
          <w:rFonts w:ascii="Times New Roman" w:hAnsi="Times New Roman" w:cs="Times New Roman"/>
          <w:sz w:val="24"/>
          <w:szCs w:val="24"/>
        </w:rPr>
      </w:pPr>
      <w:r w:rsidRPr="0017412F">
        <w:rPr>
          <w:rFonts w:ascii="Times New Roman" w:hAnsi="Times New Roman" w:cs="Times New Roman"/>
          <w:sz w:val="24"/>
          <w:szCs w:val="24"/>
        </w:rPr>
        <w:t xml:space="preserve">Pouze ojediněle začne člověk s tělesným postižením užívat návykové látky až po vzniku tělesného postižení. </w:t>
      </w:r>
    </w:p>
    <w:p w:rsidR="00C73B78" w:rsidRPr="0017412F" w:rsidRDefault="00C73B78" w:rsidP="00C73B78">
      <w:pPr>
        <w:numPr>
          <w:ilvl w:val="0"/>
          <w:numId w:val="2"/>
        </w:numPr>
        <w:spacing w:after="0" w:line="240" w:lineRule="auto"/>
        <w:ind w:left="0" w:right="70" w:firstLine="0"/>
        <w:rPr>
          <w:rFonts w:ascii="Times New Roman" w:hAnsi="Times New Roman" w:cs="Times New Roman"/>
          <w:sz w:val="24"/>
          <w:szCs w:val="24"/>
        </w:rPr>
      </w:pPr>
      <w:r w:rsidRPr="0017412F">
        <w:rPr>
          <w:rFonts w:ascii="Times New Roman" w:hAnsi="Times New Roman" w:cs="Times New Roman"/>
          <w:sz w:val="24"/>
          <w:szCs w:val="24"/>
        </w:rPr>
        <w:t xml:space="preserve">Užívání návykových látek může být pouze jednou z charakteristik širší osobnostní struktury, jež predisponuje člověka k tělesnému postižení a závislosti na návykových látkách. </w:t>
      </w:r>
    </w:p>
    <w:p w:rsidR="00C73B78" w:rsidRDefault="00C73B78" w:rsidP="00C73B78">
      <w:pPr>
        <w:numPr>
          <w:ilvl w:val="0"/>
          <w:numId w:val="2"/>
        </w:numPr>
        <w:spacing w:after="0" w:line="240" w:lineRule="auto"/>
        <w:ind w:left="0" w:right="70" w:firstLine="0"/>
        <w:rPr>
          <w:rFonts w:ascii="Times New Roman" w:hAnsi="Times New Roman" w:cs="Times New Roman"/>
          <w:sz w:val="24"/>
          <w:szCs w:val="24"/>
        </w:rPr>
      </w:pPr>
      <w:r w:rsidRPr="0017412F">
        <w:rPr>
          <w:rFonts w:ascii="Times New Roman" w:hAnsi="Times New Roman" w:cs="Times New Roman"/>
          <w:sz w:val="24"/>
          <w:szCs w:val="24"/>
        </w:rPr>
        <w:t>Diferenciální diagnostika, která na základě náchylnosti, expozice a následků určí klinický typ uživatele, může napomoci při plánování další intervence.</w:t>
      </w:r>
      <w:bookmarkStart w:id="4" w:name="_Toc153421645"/>
    </w:p>
    <w:p w:rsidR="00C73B78" w:rsidRDefault="00C73B78" w:rsidP="00C73B78">
      <w:pPr>
        <w:spacing w:after="0" w:line="240" w:lineRule="auto"/>
        <w:ind w:right="70"/>
        <w:rPr>
          <w:rFonts w:ascii="Times New Roman" w:hAnsi="Times New Roman" w:cs="Times New Roman"/>
          <w:sz w:val="24"/>
          <w:szCs w:val="24"/>
        </w:rPr>
      </w:pPr>
    </w:p>
    <w:bookmarkEnd w:id="4"/>
    <w:p w:rsidR="00C73B78" w:rsidRDefault="00C73B78" w:rsidP="00C73B78">
      <w:pPr>
        <w:spacing w:after="0" w:line="240" w:lineRule="auto"/>
        <w:ind w:right="70"/>
        <w:rPr>
          <w:rFonts w:ascii="Times New Roman" w:hAnsi="Times New Roman" w:cs="Times New Roman"/>
          <w:sz w:val="24"/>
          <w:szCs w:val="24"/>
        </w:rPr>
      </w:pPr>
      <w:r w:rsidRPr="0017412F">
        <w:rPr>
          <w:rFonts w:ascii="Times New Roman" w:hAnsi="Times New Roman" w:cs="Times New Roman"/>
          <w:sz w:val="24"/>
          <w:szCs w:val="24"/>
        </w:rPr>
        <w:t xml:space="preserve">Dalším častým problémem u této populace je nadměrné užívání předepisovaných léků. Za zneužívání léků považujeme užívání předepsaných léků častěji nebo ve větším množství než bylo lékařem stanoveno, nebo užívání těchto léků bez předpisu lékaře. </w:t>
      </w:r>
      <w:proofErr w:type="spellStart"/>
      <w:r w:rsidRPr="0017412F">
        <w:rPr>
          <w:rFonts w:ascii="Times New Roman" w:hAnsi="Times New Roman" w:cs="Times New Roman"/>
          <w:sz w:val="24"/>
          <w:szCs w:val="24"/>
        </w:rPr>
        <w:t>Heinemann</w:t>
      </w:r>
      <w:proofErr w:type="spellEnd"/>
      <w:r w:rsidRPr="0017412F">
        <w:rPr>
          <w:rFonts w:ascii="Times New Roman" w:hAnsi="Times New Roman" w:cs="Times New Roman"/>
          <w:sz w:val="24"/>
          <w:szCs w:val="24"/>
        </w:rPr>
        <w:t xml:space="preserve"> (1993) zkoumal skupinu 96 osob s poraněním míchy, u nichž došlo ke zranění před nejméně 1 rokem, a v době úrazu byly ve věku od 13 do 65 let. Mezi předepisované látky byly zařazeny diazepam, sedativa a hypnotika, barbituráty, paracetamol, antidepresiva, </w:t>
      </w:r>
      <w:proofErr w:type="spellStart"/>
      <w:r w:rsidRPr="0017412F">
        <w:rPr>
          <w:rFonts w:ascii="Times New Roman" w:hAnsi="Times New Roman" w:cs="Times New Roman"/>
          <w:sz w:val="24"/>
          <w:szCs w:val="24"/>
        </w:rPr>
        <w:t>anticholinerika</w:t>
      </w:r>
      <w:proofErr w:type="spellEnd"/>
      <w:r w:rsidRPr="0017412F">
        <w:rPr>
          <w:rFonts w:ascii="Times New Roman" w:hAnsi="Times New Roman" w:cs="Times New Roman"/>
          <w:sz w:val="24"/>
          <w:szCs w:val="24"/>
        </w:rPr>
        <w:t xml:space="preserve">, amfetaminy a </w:t>
      </w:r>
      <w:proofErr w:type="spellStart"/>
      <w:r w:rsidRPr="0017412F">
        <w:rPr>
          <w:rFonts w:ascii="Times New Roman" w:hAnsi="Times New Roman" w:cs="Times New Roman"/>
          <w:sz w:val="24"/>
          <w:szCs w:val="24"/>
        </w:rPr>
        <w:t>opioidní</w:t>
      </w:r>
      <w:proofErr w:type="spellEnd"/>
      <w:r w:rsidRPr="0017412F">
        <w:rPr>
          <w:rFonts w:ascii="Times New Roman" w:hAnsi="Times New Roman" w:cs="Times New Roman"/>
          <w:sz w:val="24"/>
          <w:szCs w:val="24"/>
        </w:rPr>
        <w:t xml:space="preserve"> analgetika. Klienti byli dotazováni, zda jim tato léčiva byla předepsána a zda je užívali v dávkách určených lékařem. Dále bylo zjišťováno, zda u klientů v důsledku užívání došlo k problémům jako ztráta kontroly nad užívaným množstvím, neshody s rodinou a přáteli, ke kognitivním, afektivním, zdravotním, sexuálním, finančním a pracovním problémům nebo k únavě či neklidu.</w:t>
      </w:r>
      <w:r>
        <w:rPr>
          <w:rFonts w:ascii="Times New Roman" w:hAnsi="Times New Roman" w:cs="Times New Roman"/>
          <w:sz w:val="24"/>
          <w:szCs w:val="24"/>
        </w:rPr>
        <w:t xml:space="preserve"> </w:t>
      </w:r>
      <w:r w:rsidRPr="0017412F">
        <w:rPr>
          <w:rFonts w:ascii="Times New Roman" w:hAnsi="Times New Roman" w:cs="Times New Roman"/>
          <w:sz w:val="24"/>
          <w:szCs w:val="24"/>
        </w:rPr>
        <w:t xml:space="preserve">Nějaké léky, u kterých je možný rozvoj závislosti, užívalo 43% respondentů. Zneužívání jednoho nebo více předepisovaných léčiv uvedlo 24% osob z této skupiny. Dále bylo zjištěno, že osoby, které používaly léky na předpis, hůře přijímaly své postižení a trpěly depresemi ve větší míře než postižení, kteří tyto látky neužívali. Zajímavé však je, že k zneužívání předepisovaných léků docházelo nezávisle na užívání jiných drog. </w:t>
      </w:r>
    </w:p>
    <w:p w:rsidR="00C73B78" w:rsidRDefault="00C73B78" w:rsidP="00C73B78">
      <w:pPr>
        <w:spacing w:after="0" w:line="240" w:lineRule="auto"/>
        <w:ind w:right="70"/>
        <w:rPr>
          <w:rFonts w:ascii="Times New Roman" w:hAnsi="Times New Roman" w:cs="Times New Roman"/>
          <w:sz w:val="24"/>
          <w:szCs w:val="24"/>
        </w:rPr>
      </w:pPr>
    </w:p>
    <w:p w:rsidR="00C73B78" w:rsidRDefault="00C73B78" w:rsidP="00C73B78">
      <w:pPr>
        <w:spacing w:after="0" w:line="240" w:lineRule="auto"/>
        <w:ind w:right="70"/>
        <w:rPr>
          <w:rFonts w:ascii="Times New Roman" w:hAnsi="Times New Roman" w:cs="Times New Roman"/>
          <w:sz w:val="24"/>
          <w:szCs w:val="24"/>
        </w:rPr>
      </w:pPr>
      <w:r w:rsidRPr="0017412F">
        <w:rPr>
          <w:rFonts w:ascii="Times New Roman" w:hAnsi="Times New Roman" w:cs="Times New Roman"/>
          <w:sz w:val="24"/>
          <w:szCs w:val="24"/>
        </w:rPr>
        <w:t>V českém prostředí chybí systematické studie, které by se zaměřovaly na tuto problematiku u jedinců s tělesným postižením. Mezi několik málo prací patří studie Kachlíka (20</w:t>
      </w:r>
      <w:r>
        <w:rPr>
          <w:rFonts w:ascii="Times New Roman" w:hAnsi="Times New Roman" w:cs="Times New Roman"/>
          <w:sz w:val="24"/>
          <w:szCs w:val="24"/>
        </w:rPr>
        <w:t>11</w:t>
      </w:r>
      <w:r w:rsidRPr="0017412F">
        <w:rPr>
          <w:rFonts w:ascii="Times New Roman" w:hAnsi="Times New Roman" w:cs="Times New Roman"/>
          <w:sz w:val="24"/>
          <w:szCs w:val="24"/>
        </w:rPr>
        <w:t xml:space="preserve">), </w:t>
      </w:r>
      <w:proofErr w:type="spellStart"/>
      <w:r w:rsidRPr="0017412F">
        <w:rPr>
          <w:rFonts w:ascii="Times New Roman" w:hAnsi="Times New Roman" w:cs="Times New Roman"/>
          <w:sz w:val="24"/>
          <w:szCs w:val="24"/>
        </w:rPr>
        <w:t>Müllerové</w:t>
      </w:r>
      <w:proofErr w:type="spellEnd"/>
      <w:r w:rsidRPr="0017412F">
        <w:rPr>
          <w:rFonts w:ascii="Times New Roman" w:hAnsi="Times New Roman" w:cs="Times New Roman"/>
          <w:sz w:val="24"/>
          <w:szCs w:val="24"/>
        </w:rPr>
        <w:t xml:space="preserve"> (2009) a Odstrčila (2009), který uvádí, že 50% respondentů se získaným tělesným postižením se s některou nelegální drogou setkalo v zařízení poskytujícím zdravotní, či sociální péči osobám s postižením. Přitom v těchto zařízeních není užívání, ani distribuce návykových nijak systémově sledována. </w:t>
      </w:r>
    </w:p>
    <w:p w:rsidR="00C73B78" w:rsidRDefault="00C73B78" w:rsidP="00C73B78">
      <w:pPr>
        <w:spacing w:after="0" w:line="240" w:lineRule="auto"/>
        <w:ind w:right="70"/>
        <w:rPr>
          <w:rFonts w:ascii="Times New Roman" w:hAnsi="Times New Roman" w:cs="Times New Roman"/>
          <w:sz w:val="24"/>
          <w:szCs w:val="24"/>
        </w:rPr>
      </w:pPr>
      <w:r w:rsidRPr="0017412F">
        <w:rPr>
          <w:rFonts w:ascii="Times New Roman" w:hAnsi="Times New Roman" w:cs="Times New Roman"/>
          <w:sz w:val="24"/>
          <w:szCs w:val="24"/>
        </w:rPr>
        <w:t>Kachlík (20</w:t>
      </w:r>
      <w:r>
        <w:rPr>
          <w:rFonts w:ascii="Times New Roman" w:hAnsi="Times New Roman" w:cs="Times New Roman"/>
          <w:sz w:val="24"/>
          <w:szCs w:val="24"/>
        </w:rPr>
        <w:t>11</w:t>
      </w:r>
      <w:r w:rsidRPr="0017412F">
        <w:rPr>
          <w:rFonts w:ascii="Times New Roman" w:hAnsi="Times New Roman" w:cs="Times New Roman"/>
          <w:sz w:val="24"/>
          <w:szCs w:val="24"/>
        </w:rPr>
        <w:t xml:space="preserve">) ve své práci </w:t>
      </w:r>
      <w:r w:rsidRPr="0017412F">
        <w:rPr>
          <w:rFonts w:ascii="Times New Roman" w:hAnsi="Times New Roman" w:cs="Times New Roman"/>
          <w:bCs/>
          <w:i/>
          <w:sz w:val="24"/>
          <w:szCs w:val="24"/>
        </w:rPr>
        <w:t>Problematika patologických závislostí v populační skupině osob s tělesným postižením</w:t>
      </w:r>
      <w:r w:rsidRPr="0017412F">
        <w:rPr>
          <w:rFonts w:ascii="Times New Roman" w:hAnsi="Times New Roman" w:cs="Times New Roman"/>
          <w:b/>
          <w:bCs/>
          <w:sz w:val="24"/>
          <w:szCs w:val="24"/>
        </w:rPr>
        <w:t xml:space="preserve"> </w:t>
      </w:r>
      <w:r w:rsidRPr="0017412F">
        <w:rPr>
          <w:rFonts w:ascii="Times New Roman" w:hAnsi="Times New Roman" w:cs="Times New Roman"/>
          <w:bCs/>
          <w:sz w:val="24"/>
          <w:szCs w:val="24"/>
        </w:rPr>
        <w:t xml:space="preserve">uvádí, že </w:t>
      </w:r>
      <w:r w:rsidRPr="0017412F">
        <w:rPr>
          <w:rFonts w:ascii="Times New Roman" w:hAnsi="Times New Roman" w:cs="Times New Roman"/>
          <w:sz w:val="24"/>
          <w:szCs w:val="24"/>
        </w:rPr>
        <w:t>lze předpokládat, že vzhledem ke svému zdravotnímu omezení mohou jedinci s tělesným postižením více trpět odloučeností, obtížným hledáním partnera, přátel, zaměstnání, sebeuplatnění. Mohou prožívat své pocity jinou intenzitou či jiným způsobem než lidé „zdraví". Pokud nenaleznou pomocnou ruku, hrozí, že někteří z nich budou řešit své potíže užíváním drog či jinými návykovými aktivitami.</w:t>
      </w:r>
      <w:r>
        <w:rPr>
          <w:rFonts w:ascii="Times New Roman" w:hAnsi="Times New Roman" w:cs="Times New Roman"/>
          <w:sz w:val="24"/>
          <w:szCs w:val="24"/>
        </w:rPr>
        <w:t xml:space="preserve"> </w:t>
      </w:r>
      <w:r w:rsidRPr="0017412F">
        <w:rPr>
          <w:rFonts w:ascii="Times New Roman" w:hAnsi="Times New Roman" w:cs="Times New Roman"/>
          <w:sz w:val="24"/>
          <w:szCs w:val="24"/>
        </w:rPr>
        <w:t xml:space="preserve">Z šetření </w:t>
      </w:r>
      <w:proofErr w:type="spellStart"/>
      <w:r w:rsidRPr="0017412F">
        <w:rPr>
          <w:rFonts w:ascii="Times New Roman" w:hAnsi="Times New Roman" w:cs="Times New Roman"/>
          <w:sz w:val="24"/>
          <w:szCs w:val="24"/>
        </w:rPr>
        <w:t>Müllerové</w:t>
      </w:r>
      <w:proofErr w:type="spellEnd"/>
      <w:r w:rsidRPr="0017412F">
        <w:rPr>
          <w:rFonts w:ascii="Times New Roman" w:hAnsi="Times New Roman" w:cs="Times New Roman"/>
          <w:sz w:val="24"/>
          <w:szCs w:val="24"/>
        </w:rPr>
        <w:t xml:space="preserve"> (2009) vyplynulo, že dávkování předepsaných léků nedodržuje 56% dotázaných jedinců s tělesným postižením.</w:t>
      </w:r>
    </w:p>
    <w:p w:rsidR="00C73B78" w:rsidRPr="0017412F" w:rsidRDefault="00C73B78" w:rsidP="00C73B78">
      <w:pPr>
        <w:spacing w:after="0" w:line="240" w:lineRule="auto"/>
        <w:ind w:right="70"/>
        <w:rPr>
          <w:rFonts w:ascii="Times New Roman" w:hAnsi="Times New Roman" w:cs="Times New Roman"/>
          <w:sz w:val="24"/>
          <w:szCs w:val="24"/>
        </w:rPr>
      </w:pPr>
    </w:p>
    <w:p w:rsidR="00C73B78" w:rsidRPr="0017412F" w:rsidRDefault="00C73B78" w:rsidP="00C73B78">
      <w:pPr>
        <w:spacing w:line="240" w:lineRule="auto"/>
        <w:ind w:right="70"/>
        <w:rPr>
          <w:rFonts w:ascii="Times New Roman" w:hAnsi="Times New Roman" w:cs="Times New Roman"/>
          <w:b/>
          <w:sz w:val="24"/>
          <w:szCs w:val="24"/>
        </w:rPr>
      </w:pPr>
      <w:r w:rsidRPr="0017412F">
        <w:rPr>
          <w:rFonts w:ascii="Times New Roman" w:hAnsi="Times New Roman" w:cs="Times New Roman"/>
          <w:b/>
          <w:sz w:val="24"/>
          <w:szCs w:val="24"/>
        </w:rPr>
        <w:t>Doporučení pro praxi</w:t>
      </w:r>
      <w:r>
        <w:rPr>
          <w:rFonts w:ascii="Times New Roman" w:hAnsi="Times New Roman" w:cs="Times New Roman"/>
          <w:b/>
          <w:sz w:val="24"/>
          <w:szCs w:val="24"/>
        </w:rPr>
        <w:t xml:space="preserve"> </w:t>
      </w:r>
    </w:p>
    <w:p w:rsidR="00C73B78" w:rsidRPr="0017412F" w:rsidRDefault="00C73B78" w:rsidP="00C73B78">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Při práci s jedincem s tělesným postižením je vhodné zdůraznit, že:</w:t>
      </w:r>
    </w:p>
    <w:p w:rsidR="00C73B78" w:rsidRPr="0017412F" w:rsidRDefault="00C73B78" w:rsidP="00C73B78">
      <w:pPr>
        <w:numPr>
          <w:ilvl w:val="0"/>
          <w:numId w:val="3"/>
        </w:numPr>
        <w:spacing w:after="0" w:line="240" w:lineRule="auto"/>
        <w:ind w:left="0" w:right="70" w:firstLine="0"/>
        <w:rPr>
          <w:rFonts w:ascii="Times New Roman" w:hAnsi="Times New Roman" w:cs="Times New Roman"/>
          <w:sz w:val="24"/>
          <w:szCs w:val="24"/>
        </w:rPr>
      </w:pPr>
      <w:r w:rsidRPr="0017412F">
        <w:rPr>
          <w:rFonts w:ascii="Times New Roman" w:hAnsi="Times New Roman" w:cs="Times New Roman"/>
          <w:sz w:val="24"/>
          <w:szCs w:val="24"/>
        </w:rPr>
        <w:lastRenderedPageBreak/>
        <w:t>u člověka s tělesným postižením mohou i mírné dávky drogy zvýšit riziko zdravotních komplikací, úrazů a problémů v zaměstnání</w:t>
      </w:r>
    </w:p>
    <w:p w:rsidR="00C73B78" w:rsidRPr="0017412F" w:rsidRDefault="00C73B78" w:rsidP="00C73B78">
      <w:pPr>
        <w:numPr>
          <w:ilvl w:val="0"/>
          <w:numId w:val="3"/>
        </w:numPr>
        <w:spacing w:after="0" w:line="240" w:lineRule="auto"/>
        <w:ind w:left="0" w:right="70" w:firstLine="0"/>
        <w:rPr>
          <w:rFonts w:ascii="Times New Roman" w:hAnsi="Times New Roman" w:cs="Times New Roman"/>
          <w:sz w:val="24"/>
          <w:szCs w:val="24"/>
        </w:rPr>
      </w:pPr>
      <w:r w:rsidRPr="0017412F">
        <w:rPr>
          <w:rFonts w:ascii="Times New Roman" w:hAnsi="Times New Roman" w:cs="Times New Roman"/>
          <w:sz w:val="24"/>
          <w:szCs w:val="24"/>
        </w:rPr>
        <w:t>alkohol a jiné drogy vedou u tělesně postiženého k většímu narušení motorické koordinace a svalové kontroly, a tím ještě více znesnadňují motorickou činnost</w:t>
      </w:r>
    </w:p>
    <w:p w:rsidR="00C73B78" w:rsidRPr="0017412F" w:rsidRDefault="00C73B78" w:rsidP="00C73B78">
      <w:pPr>
        <w:numPr>
          <w:ilvl w:val="0"/>
          <w:numId w:val="3"/>
        </w:numPr>
        <w:spacing w:after="0" w:line="240" w:lineRule="auto"/>
        <w:ind w:left="0" w:right="70" w:firstLine="0"/>
        <w:rPr>
          <w:rFonts w:ascii="Times New Roman" w:hAnsi="Times New Roman" w:cs="Times New Roman"/>
          <w:sz w:val="24"/>
          <w:szCs w:val="24"/>
        </w:rPr>
      </w:pPr>
      <w:r w:rsidRPr="0017412F">
        <w:rPr>
          <w:rFonts w:ascii="Times New Roman" w:hAnsi="Times New Roman" w:cs="Times New Roman"/>
          <w:sz w:val="24"/>
          <w:szCs w:val="24"/>
        </w:rPr>
        <w:t>i malé množství návykové látky může být zdraví škodlivé v kombinaci s užívanými léky</w:t>
      </w:r>
    </w:p>
    <w:p w:rsidR="00C73B78" w:rsidRPr="0017412F" w:rsidRDefault="00C73B78" w:rsidP="00C73B78">
      <w:pPr>
        <w:spacing w:line="240" w:lineRule="auto"/>
        <w:rPr>
          <w:rFonts w:ascii="Times New Roman" w:hAnsi="Times New Roman" w:cs="Times New Roman"/>
          <w:b/>
          <w:bCs/>
          <w:sz w:val="24"/>
          <w:szCs w:val="24"/>
        </w:rPr>
      </w:pPr>
    </w:p>
    <w:p w:rsidR="00C73B78" w:rsidRPr="0017412F" w:rsidRDefault="00C73B78" w:rsidP="00C73B78">
      <w:pPr>
        <w:spacing w:line="240" w:lineRule="auto"/>
        <w:contextualSpacing/>
        <w:rPr>
          <w:rFonts w:ascii="Times New Roman" w:hAnsi="Times New Roman" w:cs="Times New Roman"/>
          <w:sz w:val="24"/>
          <w:szCs w:val="24"/>
        </w:rPr>
      </w:pPr>
      <w:r w:rsidRPr="0017412F">
        <w:rPr>
          <w:rFonts w:ascii="Times New Roman" w:hAnsi="Times New Roman" w:cs="Times New Roman"/>
          <w:sz w:val="24"/>
          <w:szCs w:val="24"/>
        </w:rPr>
        <w:t xml:space="preserve">Při identifikaci jedinců se získaným tělesným postižením s potencionálním rizikem zneužívání návykových látek je dle </w:t>
      </w:r>
      <w:proofErr w:type="spellStart"/>
      <w:r w:rsidRPr="0017412F">
        <w:rPr>
          <w:rFonts w:ascii="Times New Roman" w:hAnsi="Times New Roman" w:cs="Times New Roman"/>
          <w:sz w:val="24"/>
          <w:szCs w:val="24"/>
        </w:rPr>
        <w:t>Taylora</w:t>
      </w:r>
      <w:proofErr w:type="spellEnd"/>
      <w:r w:rsidRPr="0017412F">
        <w:rPr>
          <w:rFonts w:ascii="Times New Roman" w:hAnsi="Times New Roman" w:cs="Times New Roman"/>
          <w:sz w:val="24"/>
          <w:szCs w:val="24"/>
        </w:rPr>
        <w:t xml:space="preserve"> a kol. (2003) vhodné sledovat </w:t>
      </w:r>
      <w:r>
        <w:rPr>
          <w:rFonts w:ascii="Times New Roman" w:hAnsi="Times New Roman" w:cs="Times New Roman"/>
          <w:sz w:val="24"/>
          <w:szCs w:val="24"/>
        </w:rPr>
        <w:t xml:space="preserve">rizikové </w:t>
      </w:r>
      <w:r w:rsidRPr="0017412F">
        <w:rPr>
          <w:rFonts w:ascii="Times New Roman" w:hAnsi="Times New Roman" w:cs="Times New Roman"/>
          <w:sz w:val="24"/>
          <w:szCs w:val="24"/>
        </w:rPr>
        <w:t>faktory uvedené v následujícím výčtu:</w:t>
      </w:r>
    </w:p>
    <w:p w:rsidR="00C73B78" w:rsidRPr="0017412F" w:rsidRDefault="00C73B78" w:rsidP="00C73B78">
      <w:pPr>
        <w:numPr>
          <w:ilvl w:val="0"/>
          <w:numId w:val="4"/>
        </w:numPr>
        <w:spacing w:line="240" w:lineRule="auto"/>
        <w:ind w:left="0" w:firstLine="0"/>
        <w:contextualSpacing/>
        <w:rPr>
          <w:rFonts w:ascii="Times New Roman" w:hAnsi="Times New Roman" w:cs="Times New Roman"/>
          <w:sz w:val="24"/>
          <w:szCs w:val="24"/>
        </w:rPr>
      </w:pPr>
      <w:r w:rsidRPr="0017412F">
        <w:rPr>
          <w:rFonts w:ascii="Times New Roman" w:hAnsi="Times New Roman" w:cs="Times New Roman"/>
          <w:sz w:val="24"/>
          <w:szCs w:val="24"/>
        </w:rPr>
        <w:t>zneužívání návykových látek před vznikem postižení</w:t>
      </w:r>
    </w:p>
    <w:p w:rsidR="00C73B78" w:rsidRPr="0017412F" w:rsidRDefault="00C73B78" w:rsidP="00C73B78">
      <w:pPr>
        <w:numPr>
          <w:ilvl w:val="0"/>
          <w:numId w:val="4"/>
        </w:numPr>
        <w:spacing w:line="240" w:lineRule="auto"/>
        <w:ind w:left="0" w:firstLine="0"/>
        <w:contextualSpacing/>
        <w:rPr>
          <w:rFonts w:ascii="Times New Roman" w:hAnsi="Times New Roman" w:cs="Times New Roman"/>
          <w:sz w:val="24"/>
          <w:szCs w:val="24"/>
        </w:rPr>
      </w:pPr>
      <w:r w:rsidRPr="0017412F">
        <w:rPr>
          <w:rFonts w:ascii="Times New Roman" w:hAnsi="Times New Roman" w:cs="Times New Roman"/>
          <w:sz w:val="24"/>
          <w:szCs w:val="24"/>
        </w:rPr>
        <w:t>intoxikace v době vzniku postižení</w:t>
      </w:r>
    </w:p>
    <w:p w:rsidR="00C73B78" w:rsidRPr="0017412F" w:rsidRDefault="00C73B78" w:rsidP="00C73B78">
      <w:pPr>
        <w:numPr>
          <w:ilvl w:val="0"/>
          <w:numId w:val="4"/>
        </w:numPr>
        <w:spacing w:line="240" w:lineRule="auto"/>
        <w:ind w:left="0" w:firstLine="0"/>
        <w:contextualSpacing/>
        <w:rPr>
          <w:rFonts w:ascii="Times New Roman" w:hAnsi="Times New Roman" w:cs="Times New Roman"/>
          <w:sz w:val="24"/>
          <w:szCs w:val="24"/>
        </w:rPr>
      </w:pPr>
      <w:r w:rsidRPr="0017412F">
        <w:rPr>
          <w:rFonts w:ascii="Times New Roman" w:hAnsi="Times New Roman" w:cs="Times New Roman"/>
          <w:sz w:val="24"/>
          <w:szCs w:val="24"/>
        </w:rPr>
        <w:t>porušování zákona spojené s návykovými látkami (např. řízení motorového vozidla pod vlivem návykové látky)</w:t>
      </w:r>
    </w:p>
    <w:p w:rsidR="00C73B78" w:rsidRPr="0017412F" w:rsidRDefault="00C73B78" w:rsidP="00C73B78">
      <w:pPr>
        <w:numPr>
          <w:ilvl w:val="0"/>
          <w:numId w:val="4"/>
        </w:numPr>
        <w:spacing w:line="240" w:lineRule="auto"/>
        <w:ind w:left="0" w:firstLine="0"/>
        <w:contextualSpacing/>
        <w:rPr>
          <w:rFonts w:ascii="Times New Roman" w:hAnsi="Times New Roman" w:cs="Times New Roman"/>
          <w:sz w:val="24"/>
          <w:szCs w:val="24"/>
        </w:rPr>
      </w:pPr>
      <w:r w:rsidRPr="0017412F">
        <w:rPr>
          <w:rFonts w:ascii="Times New Roman" w:hAnsi="Times New Roman" w:cs="Times New Roman"/>
          <w:sz w:val="24"/>
          <w:szCs w:val="24"/>
        </w:rPr>
        <w:t>problémy s alkoholem a jinými drogami v rodině nebo mezi přáteli</w:t>
      </w:r>
    </w:p>
    <w:p w:rsidR="00C73B78" w:rsidRPr="0017412F" w:rsidRDefault="00C73B78" w:rsidP="00C73B78">
      <w:pPr>
        <w:numPr>
          <w:ilvl w:val="0"/>
          <w:numId w:val="4"/>
        </w:numPr>
        <w:spacing w:line="240" w:lineRule="auto"/>
        <w:ind w:left="0" w:firstLine="0"/>
        <w:contextualSpacing/>
        <w:rPr>
          <w:rFonts w:ascii="Times New Roman" w:hAnsi="Times New Roman" w:cs="Times New Roman"/>
          <w:sz w:val="24"/>
          <w:szCs w:val="24"/>
        </w:rPr>
      </w:pPr>
      <w:r w:rsidRPr="0017412F">
        <w:rPr>
          <w:rFonts w:ascii="Times New Roman" w:hAnsi="Times New Roman" w:cs="Times New Roman"/>
          <w:sz w:val="24"/>
          <w:szCs w:val="24"/>
        </w:rPr>
        <w:t>popírání nebo nedostatek vědomostí o nebezpečích spojených se zneužíváním návykových látek</w:t>
      </w:r>
    </w:p>
    <w:p w:rsidR="00C73B78" w:rsidRPr="0017412F" w:rsidRDefault="00C73B78" w:rsidP="00C73B78">
      <w:pPr>
        <w:numPr>
          <w:ilvl w:val="0"/>
          <w:numId w:val="4"/>
        </w:numPr>
        <w:spacing w:line="240" w:lineRule="auto"/>
        <w:ind w:left="0" w:firstLine="0"/>
        <w:contextualSpacing/>
        <w:rPr>
          <w:rFonts w:ascii="Times New Roman" w:hAnsi="Times New Roman" w:cs="Times New Roman"/>
          <w:sz w:val="24"/>
          <w:szCs w:val="24"/>
        </w:rPr>
      </w:pPr>
      <w:r w:rsidRPr="0017412F">
        <w:rPr>
          <w:rFonts w:ascii="Times New Roman" w:hAnsi="Times New Roman" w:cs="Times New Roman"/>
          <w:sz w:val="24"/>
          <w:szCs w:val="24"/>
        </w:rPr>
        <w:t>věk pod 25 let</w:t>
      </w:r>
    </w:p>
    <w:p w:rsidR="00C73B78" w:rsidRPr="0017412F" w:rsidRDefault="00C73B78" w:rsidP="00C73B78">
      <w:pPr>
        <w:numPr>
          <w:ilvl w:val="0"/>
          <w:numId w:val="4"/>
        </w:numPr>
        <w:spacing w:line="240" w:lineRule="auto"/>
        <w:ind w:left="0" w:firstLine="0"/>
        <w:contextualSpacing/>
        <w:rPr>
          <w:rFonts w:ascii="Times New Roman" w:hAnsi="Times New Roman" w:cs="Times New Roman"/>
          <w:sz w:val="24"/>
          <w:szCs w:val="24"/>
        </w:rPr>
      </w:pPr>
      <w:r w:rsidRPr="0017412F">
        <w:rPr>
          <w:rFonts w:ascii="Times New Roman" w:hAnsi="Times New Roman" w:cs="Times New Roman"/>
          <w:sz w:val="24"/>
          <w:szCs w:val="24"/>
        </w:rPr>
        <w:t>možnost samostatného pohybu a dostatečné finanční zajištění</w:t>
      </w:r>
    </w:p>
    <w:p w:rsidR="00C73B78" w:rsidRPr="0017412F" w:rsidRDefault="00C73B78" w:rsidP="00C73B78">
      <w:pPr>
        <w:spacing w:line="240" w:lineRule="auto"/>
        <w:contextualSpacing/>
        <w:rPr>
          <w:rFonts w:ascii="Times New Roman" w:hAnsi="Times New Roman" w:cs="Times New Roman"/>
          <w:sz w:val="24"/>
          <w:szCs w:val="24"/>
        </w:rPr>
      </w:pPr>
    </w:p>
    <w:p w:rsidR="00C73B78" w:rsidRPr="0017412F" w:rsidRDefault="00C73B78" w:rsidP="00C73B78">
      <w:pPr>
        <w:spacing w:line="240" w:lineRule="auto"/>
        <w:contextualSpacing/>
        <w:rPr>
          <w:rFonts w:ascii="Times New Roman" w:hAnsi="Times New Roman" w:cs="Times New Roman"/>
          <w:sz w:val="24"/>
          <w:szCs w:val="24"/>
        </w:rPr>
      </w:pPr>
      <w:r w:rsidRPr="0017412F">
        <w:rPr>
          <w:rFonts w:ascii="Times New Roman" w:hAnsi="Times New Roman" w:cs="Times New Roman"/>
          <w:sz w:val="24"/>
          <w:szCs w:val="24"/>
        </w:rPr>
        <w:t>V případě, že provádíme anamnestické šetření nebo rozhovor s klientem se získaným tělesným postižením, je vhodné se zaměřit na určité signály, které mohou naznačovat problémy s návykovými látkami. Mezi nejčastější znaky patří:</w:t>
      </w:r>
    </w:p>
    <w:p w:rsidR="00C73B78" w:rsidRPr="0017412F" w:rsidRDefault="00C73B78" w:rsidP="00C73B78">
      <w:pPr>
        <w:numPr>
          <w:ilvl w:val="0"/>
          <w:numId w:val="4"/>
        </w:numPr>
        <w:spacing w:line="240" w:lineRule="auto"/>
        <w:ind w:left="0" w:firstLine="0"/>
        <w:contextualSpacing/>
        <w:rPr>
          <w:rFonts w:ascii="Times New Roman" w:hAnsi="Times New Roman" w:cs="Times New Roman"/>
          <w:sz w:val="24"/>
          <w:szCs w:val="24"/>
        </w:rPr>
      </w:pPr>
      <w:r w:rsidRPr="0017412F">
        <w:rPr>
          <w:rFonts w:ascii="Times New Roman" w:hAnsi="Times New Roman" w:cs="Times New Roman"/>
          <w:sz w:val="24"/>
          <w:szCs w:val="24"/>
        </w:rPr>
        <w:t>nepravidelná školní docházka nebo časté střídání zaměstnání, nedochvilnost a absence zejména po víkendu</w:t>
      </w:r>
    </w:p>
    <w:p w:rsidR="00C73B78" w:rsidRPr="0017412F" w:rsidRDefault="00C73B78" w:rsidP="00C73B78">
      <w:pPr>
        <w:numPr>
          <w:ilvl w:val="0"/>
          <w:numId w:val="4"/>
        </w:numPr>
        <w:spacing w:line="240" w:lineRule="auto"/>
        <w:ind w:left="0" w:firstLine="0"/>
        <w:contextualSpacing/>
        <w:rPr>
          <w:rFonts w:ascii="Times New Roman" w:hAnsi="Times New Roman" w:cs="Times New Roman"/>
          <w:sz w:val="24"/>
          <w:szCs w:val="24"/>
        </w:rPr>
      </w:pPr>
      <w:r w:rsidRPr="0017412F">
        <w:rPr>
          <w:rFonts w:ascii="Times New Roman" w:hAnsi="Times New Roman" w:cs="Times New Roman"/>
          <w:sz w:val="24"/>
          <w:szCs w:val="24"/>
        </w:rPr>
        <w:t xml:space="preserve"> častá účast při sociálních aktivitách, kde jsou konzumovány návykové látky</w:t>
      </w:r>
    </w:p>
    <w:p w:rsidR="00C73B78" w:rsidRPr="0017412F" w:rsidRDefault="00C73B78" w:rsidP="00C73B78">
      <w:pPr>
        <w:numPr>
          <w:ilvl w:val="0"/>
          <w:numId w:val="4"/>
        </w:numPr>
        <w:spacing w:line="240" w:lineRule="auto"/>
        <w:ind w:left="0" w:firstLine="0"/>
        <w:contextualSpacing/>
        <w:rPr>
          <w:rFonts w:ascii="Times New Roman" w:hAnsi="Times New Roman" w:cs="Times New Roman"/>
          <w:sz w:val="24"/>
          <w:szCs w:val="24"/>
        </w:rPr>
      </w:pPr>
      <w:r w:rsidRPr="0017412F">
        <w:rPr>
          <w:rFonts w:ascii="Times New Roman" w:hAnsi="Times New Roman" w:cs="Times New Roman"/>
          <w:sz w:val="24"/>
          <w:szCs w:val="24"/>
        </w:rPr>
        <w:t>popírání nebo bagatelizace problémů s návykovými látkami</w:t>
      </w:r>
    </w:p>
    <w:p w:rsidR="00C73B78" w:rsidRPr="0017412F" w:rsidRDefault="00C73B78" w:rsidP="00C73B78">
      <w:pPr>
        <w:numPr>
          <w:ilvl w:val="0"/>
          <w:numId w:val="4"/>
        </w:numPr>
        <w:spacing w:line="240" w:lineRule="auto"/>
        <w:ind w:left="0" w:firstLine="0"/>
        <w:contextualSpacing/>
        <w:rPr>
          <w:rFonts w:ascii="Times New Roman" w:hAnsi="Times New Roman" w:cs="Times New Roman"/>
          <w:sz w:val="24"/>
          <w:szCs w:val="24"/>
        </w:rPr>
      </w:pPr>
      <w:r w:rsidRPr="0017412F">
        <w:rPr>
          <w:rFonts w:ascii="Times New Roman" w:hAnsi="Times New Roman" w:cs="Times New Roman"/>
          <w:sz w:val="24"/>
          <w:szCs w:val="24"/>
        </w:rPr>
        <w:t>zmínky o potřebě redukovat užívané množství návykové látky</w:t>
      </w:r>
    </w:p>
    <w:p w:rsidR="00C73B78" w:rsidRPr="0017412F" w:rsidRDefault="00C73B78" w:rsidP="00C73B78">
      <w:pPr>
        <w:numPr>
          <w:ilvl w:val="0"/>
          <w:numId w:val="4"/>
        </w:numPr>
        <w:spacing w:line="240" w:lineRule="auto"/>
        <w:ind w:left="0" w:firstLine="0"/>
        <w:contextualSpacing/>
        <w:rPr>
          <w:rFonts w:ascii="Times New Roman" w:hAnsi="Times New Roman" w:cs="Times New Roman"/>
          <w:sz w:val="24"/>
          <w:szCs w:val="24"/>
        </w:rPr>
      </w:pPr>
      <w:r w:rsidRPr="0017412F">
        <w:rPr>
          <w:rFonts w:ascii="Times New Roman" w:hAnsi="Times New Roman" w:cs="Times New Roman"/>
          <w:sz w:val="24"/>
          <w:szCs w:val="24"/>
        </w:rPr>
        <w:t>pocit vinny ve spojitosti s užíváním</w:t>
      </w:r>
    </w:p>
    <w:p w:rsidR="00C73B78" w:rsidRPr="0017412F" w:rsidRDefault="00C73B78" w:rsidP="00C73B78">
      <w:pPr>
        <w:numPr>
          <w:ilvl w:val="0"/>
          <w:numId w:val="4"/>
        </w:numPr>
        <w:spacing w:line="240" w:lineRule="auto"/>
        <w:ind w:left="0" w:firstLine="0"/>
        <w:contextualSpacing/>
        <w:rPr>
          <w:rFonts w:ascii="Times New Roman" w:hAnsi="Times New Roman" w:cs="Times New Roman"/>
          <w:sz w:val="24"/>
          <w:szCs w:val="24"/>
        </w:rPr>
      </w:pPr>
      <w:r w:rsidRPr="0017412F">
        <w:rPr>
          <w:rFonts w:ascii="Times New Roman" w:hAnsi="Times New Roman" w:cs="Times New Roman"/>
          <w:sz w:val="24"/>
          <w:szCs w:val="24"/>
        </w:rPr>
        <w:t>rozčilení v případě dotazů nebo starostí druhých osob týkajících se užívání</w:t>
      </w:r>
    </w:p>
    <w:p w:rsidR="00C73B78" w:rsidRPr="0017412F" w:rsidRDefault="00C73B78" w:rsidP="00C73B78">
      <w:pPr>
        <w:numPr>
          <w:ilvl w:val="0"/>
          <w:numId w:val="4"/>
        </w:numPr>
        <w:spacing w:line="240" w:lineRule="auto"/>
        <w:ind w:left="0" w:firstLine="0"/>
        <w:contextualSpacing/>
        <w:rPr>
          <w:rFonts w:ascii="Times New Roman" w:hAnsi="Times New Roman" w:cs="Times New Roman"/>
          <w:sz w:val="24"/>
          <w:szCs w:val="24"/>
        </w:rPr>
      </w:pPr>
      <w:r w:rsidRPr="0017412F">
        <w:rPr>
          <w:rFonts w:ascii="Times New Roman" w:hAnsi="Times New Roman" w:cs="Times New Roman"/>
          <w:sz w:val="24"/>
          <w:szCs w:val="24"/>
        </w:rPr>
        <w:t>užívání návykových látek v ranních hodinách</w:t>
      </w:r>
    </w:p>
    <w:p w:rsidR="00C73B78" w:rsidRPr="0017412F" w:rsidRDefault="00C73B78" w:rsidP="00C73B78">
      <w:pPr>
        <w:numPr>
          <w:ilvl w:val="0"/>
          <w:numId w:val="4"/>
        </w:numPr>
        <w:spacing w:line="240" w:lineRule="auto"/>
        <w:ind w:left="0" w:firstLine="0"/>
        <w:contextualSpacing/>
        <w:rPr>
          <w:rFonts w:ascii="Times New Roman" w:hAnsi="Times New Roman" w:cs="Times New Roman"/>
          <w:sz w:val="24"/>
          <w:szCs w:val="24"/>
        </w:rPr>
      </w:pPr>
      <w:r w:rsidRPr="0017412F">
        <w:rPr>
          <w:rFonts w:ascii="Times New Roman" w:hAnsi="Times New Roman" w:cs="Times New Roman"/>
          <w:sz w:val="24"/>
          <w:szCs w:val="24"/>
        </w:rPr>
        <w:t>častá konverzace o otázkách týkajících se drog</w:t>
      </w:r>
    </w:p>
    <w:p w:rsidR="008F164A" w:rsidRDefault="008F164A"/>
    <w:p w:rsidR="00C73B78" w:rsidRPr="00C73B78" w:rsidRDefault="00C73B78">
      <w:pPr>
        <w:rPr>
          <w:rFonts w:ascii="Times New Roman" w:hAnsi="Times New Roman" w:cs="Times New Roman"/>
          <w:b/>
          <w:i/>
          <w:sz w:val="24"/>
          <w:szCs w:val="24"/>
        </w:rPr>
      </w:pPr>
    </w:p>
    <w:p w:rsidR="00C73B78" w:rsidRPr="00C73B78" w:rsidRDefault="00C73B78">
      <w:pPr>
        <w:rPr>
          <w:rFonts w:ascii="Times New Roman" w:hAnsi="Times New Roman" w:cs="Times New Roman"/>
          <w:b/>
          <w:i/>
          <w:sz w:val="24"/>
          <w:szCs w:val="24"/>
        </w:rPr>
      </w:pPr>
      <w:r w:rsidRPr="00C73B78">
        <w:rPr>
          <w:rFonts w:ascii="Times New Roman" w:hAnsi="Times New Roman" w:cs="Times New Roman"/>
          <w:b/>
          <w:i/>
          <w:sz w:val="24"/>
          <w:szCs w:val="24"/>
        </w:rPr>
        <w:t>Úkol:</w:t>
      </w:r>
    </w:p>
    <w:p w:rsidR="00C73B78" w:rsidRPr="00C73B78" w:rsidRDefault="00C73B78">
      <w:pPr>
        <w:rPr>
          <w:rFonts w:ascii="Times New Roman" w:hAnsi="Times New Roman" w:cs="Times New Roman"/>
          <w:b/>
          <w:i/>
          <w:sz w:val="24"/>
          <w:szCs w:val="24"/>
        </w:rPr>
      </w:pPr>
      <w:r w:rsidRPr="00C73B78">
        <w:rPr>
          <w:rFonts w:ascii="Times New Roman" w:hAnsi="Times New Roman" w:cs="Times New Roman"/>
          <w:b/>
          <w:i/>
          <w:sz w:val="24"/>
          <w:szCs w:val="24"/>
        </w:rPr>
        <w:t xml:space="preserve">Jaký typ návykových látek je nejčastěji zneužíván v populaci osob s tělesným postižením? </w:t>
      </w:r>
    </w:p>
    <w:p w:rsidR="00C73B78" w:rsidRPr="00C73B78" w:rsidRDefault="00C73B78">
      <w:pPr>
        <w:rPr>
          <w:rFonts w:ascii="Times New Roman" w:hAnsi="Times New Roman" w:cs="Times New Roman"/>
          <w:b/>
          <w:i/>
          <w:sz w:val="24"/>
          <w:szCs w:val="24"/>
        </w:rPr>
      </w:pPr>
      <w:r w:rsidRPr="00C73B78">
        <w:rPr>
          <w:rFonts w:ascii="Times New Roman" w:hAnsi="Times New Roman" w:cs="Times New Roman"/>
          <w:b/>
          <w:i/>
          <w:sz w:val="24"/>
          <w:szCs w:val="24"/>
        </w:rPr>
        <w:t>Uveďte typické charakteristiky člověka s tělesným postižením, který je ohrožen závislostí na návykových látkách?</w:t>
      </w:r>
    </w:p>
    <w:sectPr w:rsidR="00C73B78" w:rsidRPr="00C73B78" w:rsidSect="008F16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B283E"/>
    <w:multiLevelType w:val="hybridMultilevel"/>
    <w:tmpl w:val="64A0D36A"/>
    <w:lvl w:ilvl="0" w:tplc="1552408A">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E875F77"/>
    <w:multiLevelType w:val="multilevel"/>
    <w:tmpl w:val="04050025"/>
    <w:lvl w:ilvl="0">
      <w:start w:val="1"/>
      <w:numFmt w:val="decimal"/>
      <w:pStyle w:val="Nadpis1"/>
      <w:lvlText w:val="%1"/>
      <w:lvlJc w:val="left"/>
      <w:pPr>
        <w:tabs>
          <w:tab w:val="num" w:pos="999"/>
        </w:tabs>
        <w:ind w:left="999" w:hanging="432"/>
      </w:pPr>
    </w:lvl>
    <w:lvl w:ilvl="1">
      <w:start w:val="1"/>
      <w:numFmt w:val="decimal"/>
      <w:pStyle w:val="Nadpis2"/>
      <w:lvlText w:val="%1.%2"/>
      <w:lvlJc w:val="left"/>
      <w:pPr>
        <w:tabs>
          <w:tab w:val="num" w:pos="1143"/>
        </w:tabs>
        <w:ind w:left="1143" w:hanging="576"/>
      </w:pPr>
    </w:lvl>
    <w:lvl w:ilvl="2">
      <w:start w:val="1"/>
      <w:numFmt w:val="decimal"/>
      <w:pStyle w:val="Nadpis3"/>
      <w:lvlText w:val="%1.%2.%3"/>
      <w:lvlJc w:val="left"/>
      <w:pPr>
        <w:tabs>
          <w:tab w:val="num" w:pos="1287"/>
        </w:tabs>
        <w:ind w:left="1287" w:hanging="720"/>
      </w:pPr>
    </w:lvl>
    <w:lvl w:ilvl="3">
      <w:start w:val="1"/>
      <w:numFmt w:val="decimal"/>
      <w:pStyle w:val="Nadpis4"/>
      <w:lvlText w:val="%1.%2.%3.%4"/>
      <w:lvlJc w:val="left"/>
      <w:pPr>
        <w:tabs>
          <w:tab w:val="num" w:pos="1431"/>
        </w:tabs>
        <w:ind w:left="1431" w:hanging="864"/>
      </w:pPr>
    </w:lvl>
    <w:lvl w:ilvl="4">
      <w:start w:val="1"/>
      <w:numFmt w:val="decimal"/>
      <w:pStyle w:val="Nadpis5"/>
      <w:lvlText w:val="%1.%2.%3.%4.%5"/>
      <w:lvlJc w:val="left"/>
      <w:pPr>
        <w:tabs>
          <w:tab w:val="num" w:pos="1575"/>
        </w:tabs>
        <w:ind w:left="1575" w:hanging="1008"/>
      </w:pPr>
    </w:lvl>
    <w:lvl w:ilvl="5">
      <w:start w:val="1"/>
      <w:numFmt w:val="decimal"/>
      <w:pStyle w:val="Nadpis6"/>
      <w:lvlText w:val="%1.%2.%3.%4.%5.%6"/>
      <w:lvlJc w:val="left"/>
      <w:pPr>
        <w:tabs>
          <w:tab w:val="num" w:pos="1719"/>
        </w:tabs>
        <w:ind w:left="1719" w:hanging="1152"/>
      </w:pPr>
    </w:lvl>
    <w:lvl w:ilvl="6">
      <w:start w:val="1"/>
      <w:numFmt w:val="decimal"/>
      <w:pStyle w:val="Nadpis7"/>
      <w:lvlText w:val="%1.%2.%3.%4.%5.%6.%7"/>
      <w:lvlJc w:val="left"/>
      <w:pPr>
        <w:tabs>
          <w:tab w:val="num" w:pos="1863"/>
        </w:tabs>
        <w:ind w:left="1863" w:hanging="1296"/>
      </w:pPr>
    </w:lvl>
    <w:lvl w:ilvl="7">
      <w:start w:val="1"/>
      <w:numFmt w:val="decimal"/>
      <w:pStyle w:val="Nadpis8"/>
      <w:lvlText w:val="%1.%2.%3.%4.%5.%6.%7.%8"/>
      <w:lvlJc w:val="left"/>
      <w:pPr>
        <w:tabs>
          <w:tab w:val="num" w:pos="2007"/>
        </w:tabs>
        <w:ind w:left="2007" w:hanging="1440"/>
      </w:pPr>
    </w:lvl>
    <w:lvl w:ilvl="8">
      <w:start w:val="1"/>
      <w:numFmt w:val="decimal"/>
      <w:pStyle w:val="Nadpis9"/>
      <w:lvlText w:val="%1.%2.%3.%4.%5.%6.%7.%8.%9"/>
      <w:lvlJc w:val="left"/>
      <w:pPr>
        <w:tabs>
          <w:tab w:val="num" w:pos="2151"/>
        </w:tabs>
        <w:ind w:left="2151" w:hanging="1584"/>
      </w:pPr>
    </w:lvl>
  </w:abstractNum>
  <w:abstractNum w:abstractNumId="2">
    <w:nsid w:val="7BF70909"/>
    <w:multiLevelType w:val="hybridMultilevel"/>
    <w:tmpl w:val="BE007914"/>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nsid w:val="7E4C7874"/>
    <w:multiLevelType w:val="hybridMultilevel"/>
    <w:tmpl w:val="176E56F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73B78"/>
    <w:rsid w:val="008F164A"/>
    <w:rsid w:val="00C73B7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73B78"/>
  </w:style>
  <w:style w:type="paragraph" w:styleId="Nadpis1">
    <w:name w:val="heading 1"/>
    <w:basedOn w:val="Normln"/>
    <w:next w:val="Normln"/>
    <w:link w:val="Nadpis1Char"/>
    <w:qFormat/>
    <w:rsid w:val="00C73B78"/>
    <w:pPr>
      <w:keepNext/>
      <w:numPr>
        <w:numId w:val="1"/>
      </w:numPr>
      <w:spacing w:after="0" w:line="240" w:lineRule="auto"/>
      <w:outlineLvl w:val="0"/>
    </w:pPr>
    <w:rPr>
      <w:rFonts w:ascii="Times New Roman" w:eastAsia="Times New Roman" w:hAnsi="Times New Roman" w:cs="Times New Roman"/>
      <w:b/>
      <w:sz w:val="24"/>
      <w:szCs w:val="20"/>
      <w:lang w:eastAsia="cs-CZ"/>
    </w:rPr>
  </w:style>
  <w:style w:type="paragraph" w:styleId="Nadpis2">
    <w:name w:val="heading 2"/>
    <w:basedOn w:val="Normln"/>
    <w:next w:val="Normln"/>
    <w:link w:val="Nadpis2Char"/>
    <w:qFormat/>
    <w:rsid w:val="00C73B78"/>
    <w:pPr>
      <w:keepNext/>
      <w:numPr>
        <w:ilvl w:val="1"/>
        <w:numId w:val="1"/>
      </w:numPr>
      <w:spacing w:after="0" w:line="240" w:lineRule="auto"/>
      <w:outlineLvl w:val="1"/>
    </w:pPr>
    <w:rPr>
      <w:rFonts w:ascii="Times New Roman" w:eastAsia="Times New Roman" w:hAnsi="Times New Roman" w:cs="Times New Roman"/>
      <w:b/>
      <w:sz w:val="24"/>
      <w:szCs w:val="20"/>
      <w:lang w:eastAsia="cs-CZ"/>
    </w:rPr>
  </w:style>
  <w:style w:type="paragraph" w:styleId="Nadpis3">
    <w:name w:val="heading 3"/>
    <w:basedOn w:val="Normln"/>
    <w:next w:val="Normln"/>
    <w:link w:val="Nadpis3Char"/>
    <w:qFormat/>
    <w:rsid w:val="00C73B78"/>
    <w:pPr>
      <w:keepNext/>
      <w:numPr>
        <w:ilvl w:val="2"/>
        <w:numId w:val="1"/>
      </w:numPr>
      <w:spacing w:after="0" w:line="240" w:lineRule="auto"/>
      <w:outlineLvl w:val="2"/>
    </w:pPr>
    <w:rPr>
      <w:rFonts w:ascii="Times New Roman" w:eastAsia="Times New Roman" w:hAnsi="Times New Roman" w:cs="Times New Roman"/>
      <w:b/>
      <w:i/>
      <w:sz w:val="24"/>
      <w:szCs w:val="20"/>
      <w:lang w:eastAsia="cs-CZ"/>
    </w:rPr>
  </w:style>
  <w:style w:type="paragraph" w:styleId="Nadpis4">
    <w:name w:val="heading 4"/>
    <w:basedOn w:val="Normln"/>
    <w:next w:val="Normln"/>
    <w:link w:val="Nadpis4Char"/>
    <w:qFormat/>
    <w:rsid w:val="00C73B78"/>
    <w:pPr>
      <w:keepNext/>
      <w:numPr>
        <w:ilvl w:val="3"/>
        <w:numId w:val="1"/>
      </w:numPr>
      <w:spacing w:before="240" w:after="60" w:line="240" w:lineRule="auto"/>
      <w:outlineLvl w:val="3"/>
    </w:pPr>
    <w:rPr>
      <w:rFonts w:ascii="Times New Roman" w:eastAsia="Times New Roman" w:hAnsi="Times New Roman" w:cs="Times New Roman"/>
      <w:b/>
      <w:bCs/>
      <w:sz w:val="28"/>
      <w:szCs w:val="28"/>
      <w:lang w:eastAsia="cs-CZ"/>
    </w:rPr>
  </w:style>
  <w:style w:type="paragraph" w:styleId="Nadpis5">
    <w:name w:val="heading 5"/>
    <w:basedOn w:val="Normln"/>
    <w:next w:val="Normln"/>
    <w:link w:val="Nadpis5Char"/>
    <w:qFormat/>
    <w:rsid w:val="00C73B78"/>
    <w:pPr>
      <w:numPr>
        <w:ilvl w:val="4"/>
        <w:numId w:val="1"/>
      </w:numPr>
      <w:spacing w:before="240" w:after="60" w:line="240" w:lineRule="auto"/>
      <w:outlineLvl w:val="4"/>
    </w:pPr>
    <w:rPr>
      <w:rFonts w:ascii="Times New Roman" w:eastAsia="Times New Roman" w:hAnsi="Times New Roman" w:cs="Times New Roman"/>
      <w:b/>
      <w:bCs/>
      <w:i/>
      <w:iCs/>
      <w:sz w:val="26"/>
      <w:szCs w:val="26"/>
      <w:lang w:eastAsia="cs-CZ"/>
    </w:rPr>
  </w:style>
  <w:style w:type="paragraph" w:styleId="Nadpis6">
    <w:name w:val="heading 6"/>
    <w:basedOn w:val="Normln"/>
    <w:next w:val="Normln"/>
    <w:link w:val="Nadpis6Char"/>
    <w:qFormat/>
    <w:rsid w:val="00C73B78"/>
    <w:pPr>
      <w:numPr>
        <w:ilvl w:val="5"/>
        <w:numId w:val="1"/>
      </w:numPr>
      <w:spacing w:before="240" w:after="60" w:line="240" w:lineRule="auto"/>
      <w:outlineLvl w:val="5"/>
    </w:pPr>
    <w:rPr>
      <w:rFonts w:ascii="Times New Roman" w:eastAsia="Times New Roman" w:hAnsi="Times New Roman" w:cs="Times New Roman"/>
      <w:b/>
      <w:bCs/>
      <w:lang w:eastAsia="cs-CZ"/>
    </w:rPr>
  </w:style>
  <w:style w:type="paragraph" w:styleId="Nadpis7">
    <w:name w:val="heading 7"/>
    <w:basedOn w:val="Normln"/>
    <w:next w:val="Normln"/>
    <w:link w:val="Nadpis7Char"/>
    <w:qFormat/>
    <w:rsid w:val="00C73B78"/>
    <w:pPr>
      <w:numPr>
        <w:ilvl w:val="6"/>
        <w:numId w:val="1"/>
      </w:numPr>
      <w:spacing w:before="240" w:after="60" w:line="240" w:lineRule="auto"/>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qFormat/>
    <w:rsid w:val="00C73B78"/>
    <w:pPr>
      <w:numPr>
        <w:ilvl w:val="7"/>
        <w:numId w:val="1"/>
      </w:numPr>
      <w:spacing w:before="240" w:after="60" w:line="240" w:lineRule="auto"/>
      <w:outlineLvl w:val="7"/>
    </w:pPr>
    <w:rPr>
      <w:rFonts w:ascii="Times New Roman" w:eastAsia="Times New Roman" w:hAnsi="Times New Roman" w:cs="Times New Roman"/>
      <w:i/>
      <w:iCs/>
      <w:sz w:val="24"/>
      <w:szCs w:val="24"/>
      <w:lang w:eastAsia="cs-CZ"/>
    </w:rPr>
  </w:style>
  <w:style w:type="paragraph" w:styleId="Nadpis9">
    <w:name w:val="heading 9"/>
    <w:basedOn w:val="Normln"/>
    <w:next w:val="Normln"/>
    <w:link w:val="Nadpis9Char"/>
    <w:qFormat/>
    <w:rsid w:val="00C73B78"/>
    <w:pPr>
      <w:numPr>
        <w:ilvl w:val="8"/>
        <w:numId w:val="1"/>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73B78"/>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C73B78"/>
    <w:rPr>
      <w:rFonts w:ascii="Times New Roman" w:eastAsia="Times New Roman" w:hAnsi="Times New Roman" w:cs="Times New Roman"/>
      <w:b/>
      <w:sz w:val="24"/>
      <w:szCs w:val="20"/>
      <w:lang w:eastAsia="cs-CZ"/>
    </w:rPr>
  </w:style>
  <w:style w:type="character" w:customStyle="1" w:styleId="Nadpis3Char">
    <w:name w:val="Nadpis 3 Char"/>
    <w:basedOn w:val="Standardnpsmoodstavce"/>
    <w:link w:val="Nadpis3"/>
    <w:rsid w:val="00C73B78"/>
    <w:rPr>
      <w:rFonts w:ascii="Times New Roman" w:eastAsia="Times New Roman" w:hAnsi="Times New Roman" w:cs="Times New Roman"/>
      <w:b/>
      <w:i/>
      <w:sz w:val="24"/>
      <w:szCs w:val="20"/>
      <w:lang w:eastAsia="cs-CZ"/>
    </w:rPr>
  </w:style>
  <w:style w:type="character" w:customStyle="1" w:styleId="Nadpis4Char">
    <w:name w:val="Nadpis 4 Char"/>
    <w:basedOn w:val="Standardnpsmoodstavce"/>
    <w:link w:val="Nadpis4"/>
    <w:rsid w:val="00C73B78"/>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C73B78"/>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C73B78"/>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C73B78"/>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C73B78"/>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C73B78"/>
    <w:rPr>
      <w:rFonts w:ascii="Arial" w:eastAsia="Times New Roman" w:hAnsi="Arial" w:cs="Arial"/>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1257</Words>
  <Characters>7421</Characters>
  <Application>Microsoft Office Word</Application>
  <DocSecurity>0</DocSecurity>
  <Lines>61</Lines>
  <Paragraphs>17</Paragraphs>
  <ScaleCrop>false</ScaleCrop>
  <Company>Pedagogická fakulta MU</Company>
  <LinksUpToDate>false</LinksUpToDate>
  <CharactersWithSpaces>8661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Pancocha</dc:creator>
  <cp:lastModifiedBy>Pancocha</cp:lastModifiedBy>
  <cp:revision>1</cp:revision>
  <dcterms:created xsi:type="dcterms:W3CDTF">2012-01-05T10:44:00Z</dcterms:created>
  <dcterms:modified xsi:type="dcterms:W3CDTF">2012-01-05T10:47:00Z</dcterms:modified>
</cp:coreProperties>
</file>