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07" w:rsidRPr="00010237" w:rsidRDefault="00010237" w:rsidP="000102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010237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STUDIENSYSTEM IN DEUTSCHLAND</w:t>
      </w:r>
    </w:p>
    <w:p w:rsidR="00FB43C8" w:rsidRDefault="00FB43C8" w:rsidP="00235F6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:rsidR="00FB43C8" w:rsidRPr="00B76FF5" w:rsidRDefault="00FB43C8" w:rsidP="00235F6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</w:pPr>
      <w:r w:rsidRPr="00B76F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Hochschulzugang:</w:t>
      </w:r>
    </w:p>
    <w:p w:rsidR="00B76FF5" w:rsidRPr="00B76FF5" w:rsidRDefault="00B76FF5" w:rsidP="00B76FF5">
      <w:pPr>
        <w:pStyle w:val="Odstavecseseznamem"/>
        <w:numPr>
          <w:ilvl w:val="0"/>
          <w:numId w:val="36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B76FF5">
        <w:rPr>
          <w:rFonts w:ascii="Times New Roman" w:eastAsia="Times New Roman" w:hAnsi="Times New Roman" w:cs="Times New Roman"/>
          <w:bCs/>
          <w:color w:val="000000"/>
          <w:lang w:eastAsia="cs-CZ"/>
        </w:rPr>
        <w:t>allgemeine Hochschulreife (Abitur) na</w:t>
      </w:r>
      <w:r w:rsidR="00D60D9F">
        <w:rPr>
          <w:rFonts w:ascii="Times New Roman" w:eastAsia="Times New Roman" w:hAnsi="Times New Roman" w:cs="Times New Roman"/>
          <w:bCs/>
          <w:color w:val="000000"/>
          <w:lang w:eastAsia="cs-CZ"/>
        </w:rPr>
        <w:t>ch</w:t>
      </w:r>
      <w:r w:rsidRPr="00B76FF5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12 bis 13 Jahren – Zugang zu allen Studiengängen</w:t>
      </w:r>
    </w:p>
    <w:p w:rsidR="00B76FF5" w:rsidRPr="00B76FF5" w:rsidRDefault="00B76FF5" w:rsidP="00B76FF5">
      <w:pPr>
        <w:pStyle w:val="Odstavecseseznamem"/>
        <w:numPr>
          <w:ilvl w:val="0"/>
          <w:numId w:val="36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B76FF5">
        <w:rPr>
          <w:rFonts w:ascii="Times New Roman" w:eastAsia="Times New Roman" w:hAnsi="Times New Roman" w:cs="Times New Roman"/>
          <w:bCs/>
          <w:color w:val="000000"/>
          <w:lang w:eastAsia="cs-CZ"/>
        </w:rPr>
        <w:t>fachgebundene Hochschulreife – Zugang zu bestimmten Fächern</w:t>
      </w:r>
    </w:p>
    <w:p w:rsidR="00B76FF5" w:rsidRDefault="00B76FF5" w:rsidP="00B76FF5">
      <w:pPr>
        <w:pStyle w:val="Odstavecseseznamem"/>
        <w:numPr>
          <w:ilvl w:val="0"/>
          <w:numId w:val="36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B76FF5">
        <w:rPr>
          <w:rFonts w:ascii="Times New Roman" w:eastAsia="Times New Roman" w:hAnsi="Times New Roman" w:cs="Times New Roman"/>
          <w:bCs/>
          <w:color w:val="000000"/>
          <w:lang w:eastAsia="cs-CZ"/>
        </w:rPr>
        <w:t>Zugang zu Kunst- und Musikschulen – zusätzliche Vorauss</w:t>
      </w:r>
      <w:r w:rsidR="00D60D9F">
        <w:rPr>
          <w:rFonts w:ascii="Times New Roman" w:eastAsia="Times New Roman" w:hAnsi="Times New Roman" w:cs="Times New Roman"/>
          <w:bCs/>
          <w:color w:val="000000"/>
          <w:lang w:eastAsia="cs-CZ"/>
        </w:rPr>
        <w:t>e</w:t>
      </w:r>
      <w:r w:rsidRPr="00B76FF5">
        <w:rPr>
          <w:rFonts w:ascii="Times New Roman" w:eastAsia="Times New Roman" w:hAnsi="Times New Roman" w:cs="Times New Roman"/>
          <w:bCs/>
          <w:color w:val="000000"/>
          <w:lang w:eastAsia="cs-CZ"/>
        </w:rPr>
        <w:t>tzu</w:t>
      </w:r>
      <w:r w:rsidR="00D60D9F">
        <w:rPr>
          <w:rFonts w:ascii="Times New Roman" w:eastAsia="Times New Roman" w:hAnsi="Times New Roman" w:cs="Times New Roman"/>
          <w:bCs/>
          <w:color w:val="000000"/>
          <w:lang w:eastAsia="cs-CZ"/>
        </w:rPr>
        <w:t>ngen – Nachweis einer besonderen</w:t>
      </w:r>
      <w:r w:rsidRPr="00B76FF5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Eignung</w:t>
      </w:r>
    </w:p>
    <w:p w:rsidR="004569BD" w:rsidRPr="004569BD" w:rsidRDefault="00F80301" w:rsidP="00B76FF5">
      <w:pPr>
        <w:pStyle w:val="Odstavecseseznamem"/>
        <w:numPr>
          <w:ilvl w:val="0"/>
          <w:numId w:val="36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4569B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ausländische </w:t>
      </w:r>
      <w:r w:rsidRPr="004569BD">
        <w:rPr>
          <w:rFonts w:ascii="Times New Roman" w:eastAsia="Times New Roman" w:hAnsi="Times New Roman" w:cs="Times New Roman"/>
          <w:bCs/>
          <w:color w:val="000000"/>
          <w:lang w:val="de-DE" w:eastAsia="cs-CZ"/>
        </w:rPr>
        <w:t>Studenten</w:t>
      </w:r>
    </w:p>
    <w:p w:rsidR="004569BD" w:rsidRPr="004569BD" w:rsidRDefault="004569BD" w:rsidP="004569BD">
      <w:pPr>
        <w:pStyle w:val="Odstavecseseznamem"/>
        <w:numPr>
          <w:ilvl w:val="0"/>
          <w:numId w:val="43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val="de-DE" w:eastAsia="cs-CZ"/>
        </w:rPr>
        <w:t>ausländische Sekundarschulzeugnisse, die im Heimatland den Hochschulzugang ermöglichen</w:t>
      </w:r>
    </w:p>
    <w:p w:rsidR="004569BD" w:rsidRPr="004569BD" w:rsidRDefault="004569BD" w:rsidP="004569BD">
      <w:pPr>
        <w:pStyle w:val="Odstavecseseznamem"/>
        <w:numPr>
          <w:ilvl w:val="0"/>
          <w:numId w:val="43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val="de-DE" w:eastAsia="cs-CZ"/>
        </w:rPr>
        <w:t>Nachweis der Sprachkenntnisse</w:t>
      </w:r>
      <w:r>
        <w:rPr>
          <w:rFonts w:ascii="Times New Roman" w:eastAsia="Times New Roman" w:hAnsi="Times New Roman" w:cs="Times New Roman"/>
          <w:bCs/>
          <w:color w:val="000000"/>
          <w:lang w:val="de-DE"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val="de-DE" w:eastAsia="cs-CZ"/>
        </w:rPr>
        <w:tab/>
        <w:t xml:space="preserve">- Deutsche Sprachprüfung für den Hochschulzugang </w:t>
      </w:r>
    </w:p>
    <w:p w:rsidR="004569BD" w:rsidRDefault="004569BD" w:rsidP="004569BD">
      <w:pPr>
        <w:pStyle w:val="Odstavecseseznamem"/>
        <w:spacing w:after="0" w:line="300" w:lineRule="atLeast"/>
        <w:ind w:left="4248"/>
        <w:textAlignment w:val="baseline"/>
        <w:rPr>
          <w:rFonts w:ascii="Times New Roman" w:eastAsia="Times New Roman" w:hAnsi="Times New Roman" w:cs="Times New Roman"/>
          <w:bCs/>
          <w:color w:val="000000"/>
          <w:lang w:val="de-DE"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val="de-DE" w:eastAsia="cs-CZ"/>
        </w:rPr>
        <w:t>(DHS) – wird von jeweiligen Hochschulen abgenommen (meistens DHS2)</w:t>
      </w:r>
    </w:p>
    <w:p w:rsidR="00F80301" w:rsidRPr="00CC1483" w:rsidRDefault="004569BD" w:rsidP="00CC1483">
      <w:pPr>
        <w:pStyle w:val="Odstavecseseznamem"/>
        <w:numPr>
          <w:ilvl w:val="0"/>
          <w:numId w:val="45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val="de-DE" w:eastAsia="cs-CZ"/>
        </w:rPr>
        <w:t>C2</w:t>
      </w:r>
      <w:r w:rsidR="00CC1483">
        <w:rPr>
          <w:rFonts w:ascii="Times New Roman" w:eastAsia="Times New Roman" w:hAnsi="Times New Roman" w:cs="Times New Roman"/>
          <w:bCs/>
          <w:color w:val="000000"/>
          <w:lang w:val="de-DE" w:eastAsia="cs-CZ"/>
        </w:rPr>
        <w:t xml:space="preserve"> (</w:t>
      </w:r>
      <w:r w:rsidR="00CC1483" w:rsidRPr="00CC1483">
        <w:rPr>
          <w:rFonts w:ascii="Times New Roman" w:eastAsia="Times New Roman" w:hAnsi="Times New Roman" w:cs="Times New Roman"/>
          <w:bCs/>
          <w:color w:val="000000"/>
          <w:lang w:val="de-DE" w:eastAsia="cs-CZ"/>
        </w:rPr>
        <w:t>C1</w:t>
      </w:r>
      <w:r w:rsidR="00CC1483">
        <w:rPr>
          <w:rFonts w:ascii="Times New Roman" w:eastAsia="Times New Roman" w:hAnsi="Times New Roman" w:cs="Times New Roman"/>
          <w:bCs/>
          <w:color w:val="000000"/>
          <w:lang w:val="de-DE" w:eastAsia="cs-CZ"/>
        </w:rPr>
        <w:t>)</w:t>
      </w:r>
      <w:r w:rsidRPr="00CC1483">
        <w:rPr>
          <w:rFonts w:ascii="Times New Roman" w:eastAsia="Times New Roman" w:hAnsi="Times New Roman" w:cs="Times New Roman"/>
          <w:bCs/>
          <w:color w:val="000000"/>
          <w:lang w:val="de-DE" w:eastAsia="cs-CZ"/>
        </w:rPr>
        <w:t xml:space="preserve"> </w:t>
      </w:r>
    </w:p>
    <w:p w:rsidR="003A0CF8" w:rsidRPr="00B76FF5" w:rsidRDefault="003F5AD0" w:rsidP="00B76FF5">
      <w:pPr>
        <w:pStyle w:val="Odstavecseseznamem"/>
        <w:numPr>
          <w:ilvl w:val="0"/>
          <w:numId w:val="36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Numerus-Clausus-Regelung </w:t>
      </w:r>
    </w:p>
    <w:p w:rsidR="00FB43C8" w:rsidRDefault="00FB43C8" w:rsidP="00235F6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:rsidR="00FB43C8" w:rsidRPr="00FB43C8" w:rsidRDefault="00FB43C8" w:rsidP="00235F6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</w:pPr>
      <w:r w:rsidRPr="00FB43C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Tertiäre Einrichtungen:</w:t>
      </w:r>
    </w:p>
    <w:p w:rsidR="00235F6C" w:rsidRPr="000D3C44" w:rsidRDefault="00235F6C" w:rsidP="00235F6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Cs/>
          <w:color w:val="000000"/>
          <w:lang w:eastAsia="cs-CZ"/>
        </w:rPr>
        <w:t>Derzeit existieren in Deutschland 349 Hochschulen. Diese spalten sich in etliche verschiedene Hochschularten auf.</w:t>
      </w:r>
    </w:p>
    <w:p w:rsidR="00010237" w:rsidRPr="000D3C44" w:rsidRDefault="00010237" w:rsidP="00235F6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:rsidR="00010237" w:rsidRPr="00FB43C8" w:rsidRDefault="00010237" w:rsidP="000D3C4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43C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Drei Hauptformen</w:t>
      </w:r>
      <w:r w:rsidR="000D3C44" w:rsidRPr="00FB43C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der tertiären Einrichtungen</w:t>
      </w:r>
      <w:r w:rsidRPr="00FB43C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:</w:t>
      </w:r>
    </w:p>
    <w:p w:rsidR="00235F6C" w:rsidRPr="000D3C44" w:rsidRDefault="00235F6C" w:rsidP="00235F6C">
      <w:pPr>
        <w:pStyle w:val="Odstavecseseznamem"/>
        <w:numPr>
          <w:ilvl w:val="0"/>
          <w:numId w:val="18"/>
        </w:numPr>
        <w:spacing w:after="6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t>Universität</w:t>
      </w:r>
    </w:p>
    <w:p w:rsidR="00235F6C" w:rsidRPr="000D3C44" w:rsidRDefault="00235F6C" w:rsidP="00235F6C">
      <w:pPr>
        <w:pStyle w:val="Odstavecseseznamem"/>
        <w:numPr>
          <w:ilvl w:val="0"/>
          <w:numId w:val="19"/>
        </w:numPr>
        <w:spacing w:after="6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Wissenschaftliche Hochschulen, das breiteste</w:t>
      </w: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Fächerangebot: Sprach- und Kulturwissenschaften, Rechts-, Wirtschafts- und Sozialwissenschaften, Naturwissenschaften, Medizin, Agrar-, Forst- und Ernährungswissenschaften, Ingenieurwissenschaften</w:t>
      </w:r>
    </w:p>
    <w:p w:rsidR="00C424DE" w:rsidRPr="000D3C44" w:rsidRDefault="00235F6C" w:rsidP="00235F6C">
      <w:pPr>
        <w:pStyle w:val="Odstavecseseznamem"/>
        <w:numPr>
          <w:ilvl w:val="0"/>
          <w:numId w:val="1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die theoretische Ausbildung überwiegt</w:t>
      </w:r>
    </w:p>
    <w:p w:rsidR="00C424DE" w:rsidRPr="000D3C44" w:rsidRDefault="00C424DE" w:rsidP="00235F6C">
      <w:pPr>
        <w:pStyle w:val="Odstavecseseznamem"/>
        <w:numPr>
          <w:ilvl w:val="0"/>
          <w:numId w:val="1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w</w:t>
      </w:r>
      <w:r w:rsidR="00235F6C" w:rsidRPr="000D3C44">
        <w:rPr>
          <w:rFonts w:ascii="Times New Roman" w:eastAsia="Times New Roman" w:hAnsi="Times New Roman" w:cs="Times New Roman"/>
          <w:color w:val="000000"/>
          <w:lang w:eastAsia="cs-CZ"/>
        </w:rPr>
        <w:t>issenschaftlich-analytische Fähigkeiten gefordert</w:t>
      </w:r>
    </w:p>
    <w:p w:rsidR="00C424DE" w:rsidRPr="000D3C44" w:rsidRDefault="00235F6C" w:rsidP="00235F6C">
      <w:pPr>
        <w:pStyle w:val="Odstavecseseznamem"/>
        <w:numPr>
          <w:ilvl w:val="0"/>
          <w:numId w:val="1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 xml:space="preserve">wesentlich weniger Praktika oder Praxisteile vorgeschrieben als an Fachhochschulen </w:t>
      </w:r>
      <w:r w:rsidR="00C424DE" w:rsidRPr="000D3C44">
        <w:rPr>
          <w:rFonts w:ascii="Times New Roman" w:eastAsia="Times New Roman" w:hAnsi="Times New Roman" w:cs="Times New Roman"/>
          <w:color w:val="000000"/>
          <w:lang w:eastAsia="cs-CZ"/>
        </w:rPr>
        <w:t>oder gar an den Berufsakademien</w:t>
      </w:r>
    </w:p>
    <w:p w:rsidR="00C424DE" w:rsidRPr="000D3C44" w:rsidRDefault="00C424DE" w:rsidP="00235F6C">
      <w:pPr>
        <w:pStyle w:val="Odstavecseseznamem"/>
        <w:numPr>
          <w:ilvl w:val="0"/>
          <w:numId w:val="1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="00235F6C" w:rsidRPr="000D3C44">
        <w:rPr>
          <w:rFonts w:ascii="Times New Roman" w:eastAsia="Times New Roman" w:hAnsi="Times New Roman" w:cs="Times New Roman"/>
          <w:color w:val="000000"/>
          <w:lang w:eastAsia="cs-CZ"/>
        </w:rPr>
        <w:t>ie Wahl und Kombination der (Neben-)Fächer ist relativ frei</w:t>
      </w:r>
    </w:p>
    <w:p w:rsidR="00235F6C" w:rsidRPr="000D3C44" w:rsidRDefault="00C424DE" w:rsidP="00235F6C">
      <w:pPr>
        <w:pStyle w:val="Odstavecseseznamem"/>
        <w:numPr>
          <w:ilvl w:val="0"/>
          <w:numId w:val="19"/>
        </w:numPr>
        <w:spacing w:after="6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="00235F6C" w:rsidRPr="000D3C44">
        <w:rPr>
          <w:rFonts w:ascii="Times New Roman" w:eastAsia="Times New Roman" w:hAnsi="Times New Roman" w:cs="Times New Roman"/>
          <w:color w:val="000000"/>
          <w:lang w:eastAsia="cs-CZ"/>
        </w:rPr>
        <w:t>er Studienalltag an einer Universität ist wenig verschult und bietet den Studierenden viel Freiraum und individuelle Gestaltungsmöglichkeiten</w:t>
      </w: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235F6C" w:rsidRPr="000D3C44">
        <w:rPr>
          <w:rFonts w:ascii="Times New Roman" w:eastAsia="Times New Roman" w:hAnsi="Times New Roman" w:cs="Times New Roman"/>
          <w:color w:val="000000"/>
          <w:lang w:eastAsia="cs-CZ"/>
        </w:rPr>
        <w:t>Lehrveranstaltungen mit Anwese</w:t>
      </w: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 xml:space="preserve">nheitspflicht sind die Ausnahme </w:t>
      </w:r>
    </w:p>
    <w:p w:rsidR="00235F6C" w:rsidRPr="000D3C44" w:rsidRDefault="00235F6C" w:rsidP="00235F6C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35F6C" w:rsidRPr="000D3C44" w:rsidRDefault="00235F6C" w:rsidP="00010237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t>Technische Universität</w:t>
      </w:r>
    </w:p>
    <w:p w:rsidR="00C424DE" w:rsidRPr="000D3C44" w:rsidRDefault="00C424DE" w:rsidP="00C424DE">
      <w:pPr>
        <w:pStyle w:val="Odstavecseseznamem"/>
        <w:numPr>
          <w:ilvl w:val="0"/>
          <w:numId w:val="20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die technischen Universitäten bzw. Hochschulen sind den Universitäten gleichgestellt</w:t>
      </w:r>
    </w:p>
    <w:p w:rsidR="00C424DE" w:rsidRPr="000D3C44" w:rsidRDefault="00C424DE" w:rsidP="00C424DE">
      <w:pPr>
        <w:pStyle w:val="Odstavecseseznamem"/>
        <w:numPr>
          <w:ilvl w:val="0"/>
          <w:numId w:val="20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Schwerpunkt jedoch bei den ingenieur- und naturwissenschaftlichen Studiengängen</w:t>
      </w:r>
    </w:p>
    <w:p w:rsidR="00C424DE" w:rsidRPr="000D3C44" w:rsidRDefault="00C424DE" w:rsidP="00010237">
      <w:pPr>
        <w:pStyle w:val="Odstavecseseznamem"/>
        <w:numPr>
          <w:ilvl w:val="0"/>
          <w:numId w:val="20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Einige</w:t>
      </w:r>
      <w:r w:rsidR="00D60D9F">
        <w:rPr>
          <w:rFonts w:ascii="Times New Roman" w:eastAsia="Times New Roman" w:hAnsi="Times New Roman" w:cs="Times New Roman"/>
          <w:color w:val="000000"/>
          <w:lang w:eastAsia="cs-CZ"/>
        </w:rPr>
        <w:t xml:space="preserve"> haben</w:t>
      </w: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 xml:space="preserve"> im Laufe der Zeit ihr Fächerangebot erweitert</w:t>
      </w:r>
      <w:r w:rsidR="00D60D9F">
        <w:rPr>
          <w:rFonts w:ascii="Times New Roman" w:eastAsia="Times New Roman" w:hAnsi="Times New Roman" w:cs="Times New Roman"/>
          <w:color w:val="000000"/>
          <w:lang w:eastAsia="cs-CZ"/>
        </w:rPr>
        <w:t xml:space="preserve"> und</w:t>
      </w: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 xml:space="preserve"> mittlerweile auch geisteswissenschaftliche Studiengänge im Angebot</w:t>
      </w:r>
    </w:p>
    <w:p w:rsidR="00C424DE" w:rsidRPr="000D3C44" w:rsidRDefault="00C424DE" w:rsidP="00C424DE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235F6C" w:rsidRPr="000D3C44" w:rsidRDefault="00235F6C" w:rsidP="00235F6C">
      <w:pPr>
        <w:pStyle w:val="Odstavecseseznamem"/>
        <w:numPr>
          <w:ilvl w:val="0"/>
          <w:numId w:val="18"/>
        </w:numPr>
        <w:spacing w:after="6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t>Fachhochschule</w:t>
      </w:r>
    </w:p>
    <w:p w:rsidR="00745A76" w:rsidRPr="000D3C44" w:rsidRDefault="00D60D9F" w:rsidP="00745A76">
      <w:pPr>
        <w:pStyle w:val="Odstavecseseznamem"/>
        <w:numPr>
          <w:ilvl w:val="0"/>
          <w:numId w:val="21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stark praxisorientiert</w:t>
      </w:r>
    </w:p>
    <w:p w:rsidR="00745A76" w:rsidRPr="000D3C44" w:rsidRDefault="00745A76" w:rsidP="00745A76">
      <w:pPr>
        <w:pStyle w:val="Odstavecseseznamem"/>
        <w:numPr>
          <w:ilvl w:val="0"/>
          <w:numId w:val="21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meistens ein einschlägiges Praktikum von einigen Monaten bis zu einem Jahr, meistens vor dem Studium erforderlich</w:t>
      </w:r>
    </w:p>
    <w:p w:rsidR="00745A76" w:rsidRPr="000D3C44" w:rsidRDefault="00745A76" w:rsidP="00745A76">
      <w:pPr>
        <w:pStyle w:val="Odstavecseseznamem"/>
        <w:numPr>
          <w:ilvl w:val="0"/>
          <w:numId w:val="21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in manchen Fächern muss auch eine Arbeitsmappe vorgelegt werden</w:t>
      </w:r>
    </w:p>
    <w:p w:rsidR="00745A76" w:rsidRPr="000D3C44" w:rsidRDefault="00745A76" w:rsidP="00745A76">
      <w:pPr>
        <w:pStyle w:val="Odstavecseseznamem"/>
        <w:numPr>
          <w:ilvl w:val="0"/>
          <w:numId w:val="21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Studium relativ straff organisiert, verschult, Anwesenheitspflicht in den meisten Seminaren</w:t>
      </w:r>
    </w:p>
    <w:p w:rsidR="00745A76" w:rsidRPr="000D3C44" w:rsidRDefault="00745A76" w:rsidP="00745A76">
      <w:pPr>
        <w:pStyle w:val="Odstavecseseznamem"/>
        <w:numPr>
          <w:ilvl w:val="0"/>
          <w:numId w:val="21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durchschnittliche Studiendauer: vier bis viereinhalb Jahre (d.h. kürzer als an der Universität oder Technischen Universität)</w:t>
      </w:r>
    </w:p>
    <w:p w:rsidR="00745A76" w:rsidRPr="000D3C44" w:rsidRDefault="00745A76" w:rsidP="00745A76">
      <w:pPr>
        <w:pStyle w:val="Odstavecseseznamem"/>
        <w:numPr>
          <w:ilvl w:val="0"/>
          <w:numId w:val="21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Fächerangebot: Ingenieurwesen, Wirtschaft, Sozialwesen, Land- und Forstwirtschaft, Gestaltung und Design, Architektur und Innenarchitektur, Übersetzen und Dolmetschen.</w:t>
      </w:r>
    </w:p>
    <w:p w:rsidR="00010237" w:rsidRPr="000D3C44" w:rsidRDefault="00010237" w:rsidP="00010237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010237" w:rsidRPr="000D3C44" w:rsidRDefault="00010237" w:rsidP="00010237">
      <w:pPr>
        <w:pStyle w:val="Odstavecseseznamem"/>
        <w:numPr>
          <w:ilvl w:val="0"/>
          <w:numId w:val="18"/>
        </w:numPr>
        <w:spacing w:after="6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t>Kunst- und Musikhochschule</w:t>
      </w:r>
    </w:p>
    <w:p w:rsidR="00010237" w:rsidRPr="000D3C44" w:rsidRDefault="00010237" w:rsidP="00010237">
      <w:pPr>
        <w:pStyle w:val="Odstavecseseznamem"/>
        <w:numPr>
          <w:ilvl w:val="0"/>
          <w:numId w:val="24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bereitet auf den Beruf des freischaffenden Künstlers bzw. Musikers vor, aber auch auf eine Tätigkeit im pädagogischen oder therapeutischen Bereich künstlerischer Disziplinen</w:t>
      </w:r>
    </w:p>
    <w:p w:rsidR="00010237" w:rsidRDefault="00010237" w:rsidP="00010237">
      <w:pPr>
        <w:pStyle w:val="Odstavecseseznamem"/>
        <w:numPr>
          <w:ilvl w:val="0"/>
          <w:numId w:val="24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Studium deutlich verschulter als an Universitäten, folgt einem festen Lehrplan, der wenig Raum für freie Fächerwahl lässt</w:t>
      </w:r>
    </w:p>
    <w:p w:rsidR="004569BD" w:rsidRPr="000D3C44" w:rsidRDefault="004569BD" w:rsidP="00010237">
      <w:pPr>
        <w:pStyle w:val="Odstavecseseznamem"/>
        <w:numPr>
          <w:ilvl w:val="0"/>
          <w:numId w:val="24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Besondere Voraussetzungen für die Aufnahme</w:t>
      </w:r>
    </w:p>
    <w:p w:rsidR="00745A76" w:rsidRPr="000D3C44" w:rsidRDefault="00745A76" w:rsidP="00745A76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010237" w:rsidRPr="00FB43C8" w:rsidRDefault="00010237" w:rsidP="00010237">
      <w:pPr>
        <w:pStyle w:val="Odstavecseseznamem"/>
        <w:spacing w:after="60" w:line="300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B43C8">
        <w:rPr>
          <w:rFonts w:ascii="Times New Roman" w:eastAsia="Times New Roman" w:hAnsi="Times New Roman" w:cs="Times New Roman"/>
          <w:b/>
          <w:color w:val="000000"/>
          <w:lang w:eastAsia="cs-CZ"/>
        </w:rPr>
        <w:t>Weitere Formen</w:t>
      </w:r>
      <w:r w:rsidR="000D3C44" w:rsidRPr="00FB43C8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der tertiären Einrichtungen</w:t>
      </w:r>
      <w:r w:rsidRPr="00FB43C8">
        <w:rPr>
          <w:rFonts w:ascii="Times New Roman" w:eastAsia="Times New Roman" w:hAnsi="Times New Roman" w:cs="Times New Roman"/>
          <w:b/>
          <w:color w:val="000000"/>
          <w:lang w:eastAsia="cs-CZ"/>
        </w:rPr>
        <w:t>:</w:t>
      </w:r>
    </w:p>
    <w:p w:rsidR="00235F6C" w:rsidRPr="000D3C44" w:rsidRDefault="00235F6C" w:rsidP="00010237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t>Universität-Gesamthochschule</w:t>
      </w:r>
    </w:p>
    <w:p w:rsidR="00D67C80" w:rsidRPr="000D3C44" w:rsidRDefault="00D67C80" w:rsidP="00D67C80">
      <w:pPr>
        <w:pStyle w:val="Odstavecseseznamem"/>
        <w:numPr>
          <w:ilvl w:val="0"/>
          <w:numId w:val="22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entstanden in den 70er Jahren</w:t>
      </w:r>
    </w:p>
    <w:p w:rsidR="00D67C80" w:rsidRPr="000D3C44" w:rsidRDefault="00D67C80" w:rsidP="00D67C80">
      <w:pPr>
        <w:pStyle w:val="Odstavecseseznamem"/>
        <w:numPr>
          <w:ilvl w:val="0"/>
          <w:numId w:val="22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verbinden die verschiedenen Merkmale von Fachhochschule und Universität</w:t>
      </w:r>
    </w:p>
    <w:p w:rsidR="0013550F" w:rsidRPr="000D3C44" w:rsidRDefault="0013550F" w:rsidP="00D67C80">
      <w:pPr>
        <w:pStyle w:val="Odstavecseseznamem"/>
        <w:numPr>
          <w:ilvl w:val="0"/>
          <w:numId w:val="22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D67C80" w:rsidRPr="000D3C44">
        <w:rPr>
          <w:rFonts w:ascii="Times New Roman" w:eastAsia="Times New Roman" w:hAnsi="Times New Roman" w:cs="Times New Roman"/>
          <w:color w:val="000000"/>
          <w:lang w:eastAsia="cs-CZ"/>
        </w:rPr>
        <w:t>"theoretischen" und "praktischen" Zweige der Hochschulen wurden zusammengeführt, die fächerübergreifende Forschung und Lehre vereinfacht. Hierdurch sollte eine zügigere und kostengünstigere Ausbildung gewährleistet werden, als dies bei einer rein univer</w:t>
      </w: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sitären Ausbildung möglich ist.</w:t>
      </w:r>
    </w:p>
    <w:p w:rsidR="0013550F" w:rsidRPr="000D3C44" w:rsidRDefault="00D67C80" w:rsidP="00D67C80">
      <w:pPr>
        <w:pStyle w:val="Odstavecseseznamem"/>
        <w:numPr>
          <w:ilvl w:val="0"/>
          <w:numId w:val="22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existieren heute nur in Nordrhein-Westfalen und Hessen und bieten universitäre Studiengänge, Fachhochschulstudiengänge und so genannte integrierte Studiengänge mit gestuften Diplomabschlüssen nach drei oder vier Jahren</w:t>
      </w:r>
      <w:r w:rsidR="0013550F" w:rsidRPr="000D3C44">
        <w:rPr>
          <w:rFonts w:ascii="Times New Roman" w:eastAsia="Times New Roman" w:hAnsi="Times New Roman" w:cs="Times New Roman"/>
          <w:color w:val="000000"/>
          <w:lang w:eastAsia="cs-CZ"/>
        </w:rPr>
        <w:t xml:space="preserve"> an</w:t>
      </w:r>
    </w:p>
    <w:p w:rsidR="00D67C80" w:rsidRPr="000D3C44" w:rsidRDefault="00D67C80" w:rsidP="00D67C80">
      <w:pPr>
        <w:pStyle w:val="Odstavecseseznamem"/>
        <w:numPr>
          <w:ilvl w:val="0"/>
          <w:numId w:val="22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Möglichkeit, auch während des Studiums noch zwischen verschiedenen Studiengängen und Abschlüssen zu wählen.</w:t>
      </w:r>
    </w:p>
    <w:p w:rsidR="00D67C80" w:rsidRPr="000D3C44" w:rsidRDefault="00D67C80" w:rsidP="00D67C80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235F6C" w:rsidRPr="000D3C44" w:rsidRDefault="00235F6C" w:rsidP="00010237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t>Pädagogische Hochschule</w:t>
      </w:r>
    </w:p>
    <w:p w:rsidR="0013550F" w:rsidRPr="000D3C44" w:rsidRDefault="0013550F" w:rsidP="0013550F">
      <w:pPr>
        <w:pStyle w:val="Odstavecseseznamem"/>
        <w:numPr>
          <w:ilvl w:val="0"/>
          <w:numId w:val="23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ein Hochschultyp in Baden-Württemberg, den Universitäten gleichgestellt</w:t>
      </w:r>
    </w:p>
    <w:p w:rsidR="0013550F" w:rsidRPr="000D3C44" w:rsidRDefault="0013550F" w:rsidP="0013550F">
      <w:pPr>
        <w:pStyle w:val="Odstavecseseznamem"/>
        <w:numPr>
          <w:ilvl w:val="0"/>
          <w:numId w:val="23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Ausbildung der Lehrer für die Grund-, Haupt-, Real- und Sonderschulen</w:t>
      </w:r>
    </w:p>
    <w:p w:rsidR="0013550F" w:rsidRPr="000D3C44" w:rsidRDefault="0013550F" w:rsidP="0013550F">
      <w:pPr>
        <w:pStyle w:val="Odstavecseseznamem"/>
        <w:numPr>
          <w:ilvl w:val="0"/>
          <w:numId w:val="23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allgemein die Lehrerausbildung jedoch in die Universitäten integriert</w:t>
      </w:r>
    </w:p>
    <w:p w:rsidR="0013550F" w:rsidRPr="000D3C44" w:rsidRDefault="0013550F" w:rsidP="0013550F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235F6C" w:rsidRPr="000D3C44" w:rsidRDefault="00235F6C" w:rsidP="00010237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t>Kirchliche und Theologische Hochschule</w:t>
      </w:r>
    </w:p>
    <w:p w:rsidR="00881E2C" w:rsidRPr="000D3C44" w:rsidRDefault="0013550F" w:rsidP="0013550F">
      <w:pPr>
        <w:pStyle w:val="Odstavecseseznamem"/>
        <w:numPr>
          <w:ilvl w:val="0"/>
          <w:numId w:val="25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Neben den theologischen Fakultäten an den Universitäten unterhalten die Kirchen eigene Hochschulen, an denen Theologie, Kirchenmusik, Christliches Soz</w:t>
      </w:r>
      <w:r w:rsidR="00881E2C" w:rsidRPr="000D3C44">
        <w:rPr>
          <w:rFonts w:ascii="Times New Roman" w:eastAsia="Times New Roman" w:hAnsi="Times New Roman" w:cs="Times New Roman"/>
          <w:color w:val="000000"/>
          <w:lang w:eastAsia="cs-CZ"/>
        </w:rPr>
        <w:t>ialwesen etc. unterrichtet wird</w:t>
      </w:r>
    </w:p>
    <w:p w:rsidR="0013550F" w:rsidRPr="000D3C44" w:rsidRDefault="00881E2C" w:rsidP="0013550F">
      <w:pPr>
        <w:pStyle w:val="Odstavecseseznamem"/>
        <w:numPr>
          <w:ilvl w:val="0"/>
          <w:numId w:val="25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="0013550F" w:rsidRPr="000D3C44">
        <w:rPr>
          <w:rFonts w:ascii="Times New Roman" w:eastAsia="Times New Roman" w:hAnsi="Times New Roman" w:cs="Times New Roman"/>
          <w:color w:val="000000"/>
          <w:lang w:eastAsia="cs-CZ"/>
        </w:rPr>
        <w:t>ennoch existieren noch einige Kirchliche Hochschulen in Deutschland, die den Universitäten gleichgestellt sind</w:t>
      </w: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 xml:space="preserve"> -</w:t>
      </w:r>
      <w:r w:rsidR="0013550F" w:rsidRPr="000D3C4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="0013550F" w:rsidRPr="000D3C44">
        <w:rPr>
          <w:rFonts w:ascii="Times New Roman" w:eastAsia="Times New Roman" w:hAnsi="Times New Roman" w:cs="Times New Roman"/>
          <w:color w:val="000000"/>
          <w:lang w:eastAsia="cs-CZ"/>
        </w:rPr>
        <w:t>hre Studiengänge und Studienabschlüsse in der Regel staatlich anerkannt.</w:t>
      </w:r>
    </w:p>
    <w:p w:rsidR="0013550F" w:rsidRPr="000D3C44" w:rsidRDefault="0013550F" w:rsidP="0013550F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235F6C" w:rsidRPr="000D3C44" w:rsidRDefault="00235F6C" w:rsidP="00010237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t>Fachspezifische Hochschulen</w:t>
      </w:r>
    </w:p>
    <w:p w:rsidR="00881E2C" w:rsidRPr="000D3C44" w:rsidRDefault="00881E2C" w:rsidP="00881E2C">
      <w:pPr>
        <w:pStyle w:val="Odstavecseseznamem"/>
        <w:numPr>
          <w:ilvl w:val="0"/>
          <w:numId w:val="26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spezielle Fachgebiete stehen im Mittelpunkt</w:t>
      </w:r>
    </w:p>
    <w:p w:rsidR="00881E2C" w:rsidRPr="000D3C44" w:rsidRDefault="00881E2C" w:rsidP="00881E2C">
      <w:pPr>
        <w:pStyle w:val="Odstavecseseznamem"/>
        <w:numPr>
          <w:ilvl w:val="0"/>
          <w:numId w:val="26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z. B. die Medizinische Hochschule und die Tierärztliche Hochschule in Hannover, die Medizinische Universität Lübeck, die Deutsche Sporthochschule und die Kunsthochschule für Medien in Köln, die Filmhochschulen in München, Potsdam-Babelsberg und die Filmakademie Ludwigsburg, die Hochschule für Verwaltungswissenschaften in Speyer</w:t>
      </w:r>
    </w:p>
    <w:p w:rsidR="00881E2C" w:rsidRDefault="00881E2C" w:rsidP="00881E2C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403A22" w:rsidRPr="000D3C44" w:rsidRDefault="00403A22" w:rsidP="00881E2C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235F6C" w:rsidRPr="000D3C44" w:rsidRDefault="00235F6C" w:rsidP="00010237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lastRenderedPageBreak/>
        <w:t>Private Hochschulen</w:t>
      </w:r>
    </w:p>
    <w:p w:rsidR="00881E2C" w:rsidRPr="000D3C44" w:rsidRDefault="00881E2C" w:rsidP="00881E2C">
      <w:pPr>
        <w:pStyle w:val="Odstavecseseznamem"/>
        <w:numPr>
          <w:ilvl w:val="0"/>
          <w:numId w:val="27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Motto: „Viel Bildung gegen Geld für wenige Studenten“</w:t>
      </w:r>
    </w:p>
    <w:p w:rsidR="00881E2C" w:rsidRPr="000D3C44" w:rsidRDefault="00881E2C" w:rsidP="00881E2C">
      <w:pPr>
        <w:pStyle w:val="Odstavecseseznamem"/>
        <w:numPr>
          <w:ilvl w:val="0"/>
          <w:numId w:val="27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sie werben mit Praxisnähe, Internationalität und Rund-um-Betreuung um die besten Abiturienten des Landes mit finanzkräftigem Elternhaus</w:t>
      </w:r>
    </w:p>
    <w:p w:rsidR="00A3213E" w:rsidRPr="000D3C44" w:rsidRDefault="00881E2C" w:rsidP="00881E2C">
      <w:pPr>
        <w:pStyle w:val="Odstavecseseznamem"/>
        <w:numPr>
          <w:ilvl w:val="0"/>
          <w:numId w:val="27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Fächerangebot - wenige Bereiche</w:t>
      </w:r>
      <w:r w:rsidR="00A3213E" w:rsidRPr="000D3C44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Wirtschaftswissenschaften, Informatik</w:t>
      </w:r>
      <w:r w:rsidR="00A3213E" w:rsidRPr="000D3C44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 xml:space="preserve"> T</w:t>
      </w:r>
      <w:r w:rsidR="00A3213E" w:rsidRPr="000D3C44">
        <w:rPr>
          <w:rFonts w:ascii="Times New Roman" w:eastAsia="Times New Roman" w:hAnsi="Times New Roman" w:cs="Times New Roman"/>
          <w:color w:val="000000"/>
          <w:lang w:eastAsia="cs-CZ"/>
        </w:rPr>
        <w:t>echnik und Naturwissenschaften</w:t>
      </w:r>
    </w:p>
    <w:p w:rsidR="00881E2C" w:rsidRPr="000D3C44" w:rsidRDefault="00881E2C" w:rsidP="00A3213E">
      <w:pPr>
        <w:pStyle w:val="Odstavecseseznamem"/>
        <w:numPr>
          <w:ilvl w:val="0"/>
          <w:numId w:val="27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Studiengebühren von 500 Euro und mehr</w:t>
      </w:r>
      <w:r w:rsidR="001D6B0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 xml:space="preserve"> pro Monat</w:t>
      </w:r>
    </w:p>
    <w:p w:rsidR="00881E2C" w:rsidRPr="000D3C44" w:rsidRDefault="00881E2C" w:rsidP="00881E2C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235F6C" w:rsidRPr="000D3C44" w:rsidRDefault="00235F6C" w:rsidP="00010237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t>Verwaltungsfachhochschule</w:t>
      </w:r>
    </w:p>
    <w:p w:rsidR="00A3213E" w:rsidRPr="000D3C44" w:rsidRDefault="00A3213E" w:rsidP="00A3213E">
      <w:pPr>
        <w:pStyle w:val="Odstavecseseznamem"/>
        <w:numPr>
          <w:ilvl w:val="0"/>
          <w:numId w:val="28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Der Bund und die einzelnen Länder haben eigene Fachhochschulen für Öffentliche Verwaltung</w:t>
      </w:r>
    </w:p>
    <w:p w:rsidR="00A3213E" w:rsidRPr="000D3C44" w:rsidRDefault="00A3213E" w:rsidP="00A3213E">
      <w:pPr>
        <w:pStyle w:val="Odstavecseseznamem"/>
        <w:numPr>
          <w:ilvl w:val="0"/>
          <w:numId w:val="28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eine drei- bis vierjährige Ausbildung zum Diplom-Verwaltungswirt</w:t>
      </w:r>
    </w:p>
    <w:p w:rsidR="00A3213E" w:rsidRPr="000D3C44" w:rsidRDefault="00A3213E" w:rsidP="00A3213E">
      <w:pPr>
        <w:pStyle w:val="Odstavecseseznamem"/>
        <w:numPr>
          <w:ilvl w:val="0"/>
          <w:numId w:val="28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so genannte gehobene Laufbahn, auch Inspektorenlaufbahn genannt – ein eineinhalbjähriges fachbezogenes Studium</w:t>
      </w:r>
    </w:p>
    <w:p w:rsidR="00A3213E" w:rsidRPr="000D3C44" w:rsidRDefault="00A3213E" w:rsidP="00A3213E">
      <w:pPr>
        <w:pStyle w:val="Odstavecseseznamem"/>
        <w:numPr>
          <w:ilvl w:val="0"/>
          <w:numId w:val="28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während der gesamten Zeit eine Ausbildungsvergütung für die Studierenden</w:t>
      </w:r>
    </w:p>
    <w:p w:rsidR="00A3213E" w:rsidRPr="000D3C44" w:rsidRDefault="00A3213E" w:rsidP="00A3213E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235F6C" w:rsidRPr="000D3C44" w:rsidRDefault="00235F6C" w:rsidP="00010237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t>Duale Hochschulen</w:t>
      </w:r>
    </w:p>
    <w:p w:rsidR="00B76FF5" w:rsidRDefault="00B76FF5" w:rsidP="00A3213E">
      <w:pPr>
        <w:pStyle w:val="Odstavecseseznamem"/>
        <w:numPr>
          <w:ilvl w:val="0"/>
          <w:numId w:val="2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nur in einigen Ländern</w:t>
      </w:r>
    </w:p>
    <w:p w:rsidR="00A3213E" w:rsidRPr="000D3C44" w:rsidRDefault="00A3213E" w:rsidP="00A3213E">
      <w:pPr>
        <w:pStyle w:val="Odstavecseseznamem"/>
        <w:numPr>
          <w:ilvl w:val="0"/>
          <w:numId w:val="2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Verbindung von Studium und Ausbildung - das duale Ausbildungsprinzip der Lehre wird hier auf den so genannten tertiären Bildungsbereich der Hochschulen übertragen</w:t>
      </w:r>
    </w:p>
    <w:p w:rsidR="00A3213E" w:rsidRPr="000D3C44" w:rsidRDefault="00A3213E" w:rsidP="00A3213E">
      <w:pPr>
        <w:pStyle w:val="Odstavecseseznamem"/>
        <w:numPr>
          <w:ilvl w:val="0"/>
          <w:numId w:val="2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Während des Studiums haben die Studierenden ein Ausbildungsverhäl</w:t>
      </w:r>
      <w:r w:rsidR="0038481B">
        <w:rPr>
          <w:rFonts w:ascii="Times New Roman" w:eastAsia="Times New Roman" w:hAnsi="Times New Roman" w:cs="Times New Roman"/>
          <w:color w:val="000000"/>
          <w:lang w:eastAsia="cs-CZ"/>
        </w:rPr>
        <w:t>tnis mit einem Unternehmen</w:t>
      </w:r>
    </w:p>
    <w:p w:rsidR="00A3213E" w:rsidRPr="000D3C44" w:rsidRDefault="00A3213E" w:rsidP="00A3213E">
      <w:pPr>
        <w:pStyle w:val="Odstavecseseznamem"/>
        <w:numPr>
          <w:ilvl w:val="0"/>
          <w:numId w:val="2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Die Absolventen verfügen nach drei Jahren über beides: über fundierte Fachkenntnisse und berufspraktische Erfahrungen aus einer unternehmensbezogenen Ausbildung</w:t>
      </w:r>
    </w:p>
    <w:p w:rsidR="00A3213E" w:rsidRPr="000D3C44" w:rsidRDefault="00A3213E" w:rsidP="00A3213E">
      <w:pPr>
        <w:pStyle w:val="Odstavecseseznamem"/>
        <w:numPr>
          <w:ilvl w:val="0"/>
          <w:numId w:val="29"/>
        </w:numPr>
        <w:spacing w:after="6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Während des Studiums erhalten die Studierenden eine Ausbildungsvergütung ihres Betriebs</w:t>
      </w:r>
    </w:p>
    <w:p w:rsidR="00A3213E" w:rsidRPr="000D3C44" w:rsidRDefault="00A3213E" w:rsidP="00A3213E">
      <w:pPr>
        <w:spacing w:after="6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235F6C" w:rsidRPr="000D3C44" w:rsidRDefault="00235F6C" w:rsidP="00010237">
      <w:pPr>
        <w:pStyle w:val="Odstavecseseznamem"/>
        <w:spacing w:after="6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b/>
          <w:color w:val="000000"/>
          <w:lang w:eastAsia="cs-CZ"/>
        </w:rPr>
        <w:t>Fernuniversität</w:t>
      </w:r>
    </w:p>
    <w:p w:rsidR="00D77022" w:rsidRPr="000D3C44" w:rsidRDefault="00D77022" w:rsidP="00D77022">
      <w:pPr>
        <w:pStyle w:val="Odstavecseseznamem"/>
        <w:numPr>
          <w:ilvl w:val="0"/>
          <w:numId w:val="30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z. B. Fernuniversität Hagen, Virtuelle Hochschule Bayern</w:t>
      </w:r>
    </w:p>
    <w:p w:rsidR="00D77022" w:rsidRPr="000D3C44" w:rsidRDefault="00D77022" w:rsidP="00D77022">
      <w:pPr>
        <w:pStyle w:val="Odstavecseseznamem"/>
        <w:numPr>
          <w:ilvl w:val="0"/>
          <w:numId w:val="30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man studiert zu Hause und bekommt alle Studienunterlagen per Post zugeschickt bekommt</w:t>
      </w:r>
    </w:p>
    <w:p w:rsidR="00D77022" w:rsidRPr="000D3C44" w:rsidRDefault="00D77022" w:rsidP="00D77022">
      <w:pPr>
        <w:pStyle w:val="Odstavecseseznamem"/>
        <w:numPr>
          <w:ilvl w:val="0"/>
          <w:numId w:val="30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man kann einzelne Kurse oder ein komplettes Studium anstreben</w:t>
      </w:r>
    </w:p>
    <w:p w:rsidR="00D77022" w:rsidRPr="000D3C44" w:rsidRDefault="00D77022" w:rsidP="00D77022">
      <w:pPr>
        <w:pStyle w:val="Odstavecseseznamem"/>
        <w:numPr>
          <w:ilvl w:val="0"/>
          <w:numId w:val="30"/>
        </w:numPr>
        <w:spacing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D3C44">
        <w:rPr>
          <w:rFonts w:ascii="Times New Roman" w:eastAsia="Times New Roman" w:hAnsi="Times New Roman" w:cs="Times New Roman"/>
          <w:color w:val="000000"/>
          <w:lang w:eastAsia="cs-CZ"/>
        </w:rPr>
        <w:t>je nach Umfang der Kurse - semesterweise Studiengebühren</w:t>
      </w:r>
    </w:p>
    <w:p w:rsidR="00010237" w:rsidRPr="000D3C44" w:rsidRDefault="00010237" w:rsidP="00A754C9">
      <w:pPr>
        <w:jc w:val="both"/>
        <w:rPr>
          <w:rFonts w:ascii="Times New Roman" w:hAnsi="Times New Roman" w:cs="Times New Roman"/>
          <w:b/>
          <w:u w:val="single"/>
          <w:lang w:val="de-DE"/>
        </w:rPr>
      </w:pPr>
    </w:p>
    <w:p w:rsidR="00A754C9" w:rsidRPr="000D3C44" w:rsidRDefault="00A754C9" w:rsidP="00A754C9">
      <w:pPr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0D3C44">
        <w:rPr>
          <w:rFonts w:ascii="Times New Roman" w:hAnsi="Times New Roman" w:cs="Times New Roman"/>
          <w:b/>
          <w:u w:val="single"/>
          <w:lang w:val="de-DE"/>
        </w:rPr>
        <w:t>Studiensysteme an den Hochschulen und Universitäten</w:t>
      </w:r>
    </w:p>
    <w:p w:rsidR="00A754C9" w:rsidRPr="00915AB6" w:rsidRDefault="000D3C44" w:rsidP="00915AB6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lang w:val="de-DE"/>
        </w:rPr>
      </w:pPr>
      <w:r w:rsidRPr="00915AB6">
        <w:rPr>
          <w:rFonts w:ascii="Times New Roman" w:hAnsi="Times New Roman" w:cs="Times New Roman"/>
          <w:lang w:val="de-DE"/>
        </w:rPr>
        <w:t xml:space="preserve">ursprünglich alle </w:t>
      </w:r>
      <w:r w:rsidRPr="00EE4A6B">
        <w:rPr>
          <w:rFonts w:ascii="Times New Roman" w:hAnsi="Times New Roman" w:cs="Times New Roman"/>
          <w:b/>
          <w:lang w:val="de-DE"/>
        </w:rPr>
        <w:t>einstufig</w:t>
      </w:r>
      <w:r w:rsidR="008A294B" w:rsidRPr="00915AB6">
        <w:rPr>
          <w:rFonts w:ascii="Times New Roman" w:hAnsi="Times New Roman" w:cs="Times New Roman"/>
          <w:lang w:val="de-DE"/>
        </w:rPr>
        <w:t xml:space="preserve"> - „lange“ Studiengänge</w:t>
      </w:r>
    </w:p>
    <w:p w:rsidR="008A294B" w:rsidRPr="00B76FF5" w:rsidRDefault="008A294B" w:rsidP="00B76FF5">
      <w:pPr>
        <w:pStyle w:val="Odstavecseseznamem"/>
        <w:jc w:val="both"/>
        <w:rPr>
          <w:rFonts w:ascii="Times New Roman" w:hAnsi="Times New Roman" w:cs="Times New Roman"/>
          <w:lang w:val="de-DE"/>
        </w:rPr>
      </w:pPr>
      <w:r w:rsidRPr="00EE4A6B">
        <w:rPr>
          <w:rFonts w:ascii="Times New Roman" w:hAnsi="Times New Roman" w:cs="Times New Roman"/>
          <w:lang w:val="de-DE"/>
        </w:rPr>
        <w:t xml:space="preserve">Universitäten: </w:t>
      </w:r>
      <w:r>
        <w:rPr>
          <w:rFonts w:ascii="Times New Roman" w:hAnsi="Times New Roman" w:cs="Times New Roman"/>
          <w:lang w:val="de-DE"/>
        </w:rPr>
        <w:t>Diplom &amp; Magister Artium (M.A.) Grad (4-5 Jahre)</w:t>
      </w:r>
      <w:r w:rsidR="00B76FF5">
        <w:rPr>
          <w:rFonts w:ascii="Times New Roman" w:hAnsi="Times New Roman" w:cs="Times New Roman"/>
          <w:lang w:val="de-DE"/>
        </w:rPr>
        <w:t xml:space="preserve"> </w:t>
      </w:r>
      <w:r w:rsidR="00B76FF5" w:rsidRPr="00B76FF5">
        <w:rPr>
          <w:rFonts w:ascii="Times New Roman" w:hAnsi="Times New Roman" w:cs="Times New Roman"/>
          <w:lang w:val="de-DE"/>
        </w:rPr>
        <w:t xml:space="preserve">oder </w:t>
      </w:r>
      <w:r w:rsidRPr="00B76FF5">
        <w:rPr>
          <w:rFonts w:ascii="Times New Roman" w:hAnsi="Times New Roman" w:cs="Times New Roman"/>
          <w:lang w:val="de-DE"/>
        </w:rPr>
        <w:t>Staatsprüfung (3-6,5 Jahre)</w:t>
      </w:r>
    </w:p>
    <w:p w:rsidR="00915AB6" w:rsidRDefault="00915AB6" w:rsidP="00915AB6">
      <w:pPr>
        <w:pStyle w:val="Odstavecseseznamem"/>
        <w:jc w:val="both"/>
        <w:rPr>
          <w:rFonts w:ascii="Times New Roman" w:hAnsi="Times New Roman" w:cs="Times New Roman"/>
          <w:lang w:val="de-DE"/>
        </w:rPr>
      </w:pPr>
      <w:r w:rsidRPr="00EE4A6B">
        <w:rPr>
          <w:rFonts w:ascii="Times New Roman" w:hAnsi="Times New Roman" w:cs="Times New Roman"/>
          <w:lang w:val="de-DE"/>
        </w:rPr>
        <w:t>Fachhochschulen:</w:t>
      </w:r>
      <w:r w:rsidR="00EE4A6B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Diplom (FH) Grad (4 Jahre)</w:t>
      </w:r>
    </w:p>
    <w:p w:rsidR="008A294B" w:rsidRDefault="008A294B" w:rsidP="00915AB6">
      <w:pPr>
        <w:pStyle w:val="Odstavecseseznamem"/>
        <w:jc w:val="both"/>
        <w:rPr>
          <w:rFonts w:ascii="Times New Roman" w:hAnsi="Times New Roman" w:cs="Times New Roman"/>
          <w:lang w:val="de-DE"/>
        </w:rPr>
      </w:pPr>
      <w:r w:rsidRPr="00EE4A6B">
        <w:rPr>
          <w:rFonts w:ascii="Times New Roman" w:hAnsi="Times New Roman" w:cs="Times New Roman"/>
          <w:lang w:val="de-DE"/>
        </w:rPr>
        <w:t>Kunst- und Musikhochschulen:</w:t>
      </w:r>
      <w:r w:rsidR="00EE4A6B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Diplom &amp; M.A. Grad, Zertifikate, zertifizierte Prüfungen (4,5 Jahre)</w:t>
      </w:r>
    </w:p>
    <w:p w:rsidR="00915AB6" w:rsidRDefault="00915AB6" w:rsidP="00EE4A6B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lang w:val="de-DE"/>
        </w:rPr>
      </w:pPr>
      <w:r w:rsidRPr="00915AB6">
        <w:rPr>
          <w:rFonts w:ascii="Times New Roman" w:hAnsi="Times New Roman" w:cs="Times New Roman"/>
          <w:lang w:val="de-DE"/>
        </w:rPr>
        <w:t xml:space="preserve">im Rahmen des Bologna-Prozesses – sukzessive durch ein </w:t>
      </w:r>
      <w:r w:rsidRPr="00EE4A6B">
        <w:rPr>
          <w:rFonts w:ascii="Times New Roman" w:hAnsi="Times New Roman" w:cs="Times New Roman"/>
          <w:b/>
          <w:lang w:val="de-DE"/>
        </w:rPr>
        <w:t>zweistufig</w:t>
      </w:r>
      <w:r w:rsidRPr="00EE4A6B">
        <w:rPr>
          <w:rFonts w:ascii="Times New Roman" w:hAnsi="Times New Roman" w:cs="Times New Roman"/>
          <w:lang w:val="de-DE"/>
        </w:rPr>
        <w:t>es</w:t>
      </w:r>
      <w:r w:rsidR="00EE4A6B">
        <w:rPr>
          <w:rFonts w:ascii="Times New Roman" w:hAnsi="Times New Roman" w:cs="Times New Roman"/>
          <w:lang w:val="de-DE"/>
        </w:rPr>
        <w:t xml:space="preserve"> System</w:t>
      </w:r>
      <w:r w:rsidRPr="00915AB6">
        <w:rPr>
          <w:rFonts w:ascii="Times New Roman" w:hAnsi="Times New Roman" w:cs="Times New Roman"/>
          <w:lang w:val="de-DE"/>
        </w:rPr>
        <w:t xml:space="preserve"> </w:t>
      </w:r>
      <w:r w:rsidR="00EE4A6B">
        <w:rPr>
          <w:rFonts w:ascii="Times New Roman" w:hAnsi="Times New Roman" w:cs="Times New Roman"/>
          <w:lang w:val="de-DE"/>
        </w:rPr>
        <w:t xml:space="preserve">in allen Hochschultypen </w:t>
      </w:r>
      <w:r w:rsidRPr="00915AB6">
        <w:rPr>
          <w:rFonts w:ascii="Times New Roman" w:hAnsi="Times New Roman" w:cs="Times New Roman"/>
          <w:lang w:val="de-DE"/>
        </w:rPr>
        <w:t>ersetzt</w:t>
      </w:r>
      <w:r w:rsidR="00EE4A6B">
        <w:rPr>
          <w:rFonts w:ascii="Times New Roman" w:hAnsi="Times New Roman" w:cs="Times New Roman"/>
          <w:lang w:val="de-DE"/>
        </w:rPr>
        <w:t>:</w:t>
      </w:r>
    </w:p>
    <w:p w:rsidR="00915AB6" w:rsidRDefault="00915AB6" w:rsidP="00915AB6">
      <w:pPr>
        <w:pStyle w:val="Odstavecseseznamem"/>
        <w:ind w:left="708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Bachelor (3-4 Jahre), Master (1-2 Jahre)</w:t>
      </w:r>
    </w:p>
    <w:p w:rsidR="00915AB6" w:rsidRDefault="00796E0B" w:rsidP="00915AB6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lang w:val="de-DE"/>
        </w:rPr>
      </w:pPr>
      <w:r w:rsidRPr="00EE4A6B">
        <w:rPr>
          <w:rFonts w:ascii="Times New Roman" w:hAnsi="Times New Roman" w:cs="Times New Roman"/>
          <w:b/>
          <w:lang w:val="de-DE"/>
        </w:rPr>
        <w:lastRenderedPageBreak/>
        <w:t>dritte</w:t>
      </w:r>
      <w:r>
        <w:rPr>
          <w:rFonts w:ascii="Times New Roman" w:hAnsi="Times New Roman" w:cs="Times New Roman"/>
          <w:lang w:val="de-DE"/>
        </w:rPr>
        <w:t xml:space="preserve"> Stufe: Promotion – Zulassung mit folgenden Hochschulabschlüssen: Master-, Magisterabschluss, Diplom, Staatsprüfung, ausnahmsweise nach Bachelorabschluss</w:t>
      </w:r>
      <w:r w:rsidR="00B76FF5">
        <w:rPr>
          <w:rFonts w:ascii="Times New Roman" w:hAnsi="Times New Roman" w:cs="Times New Roman"/>
          <w:lang w:val="de-DE"/>
        </w:rPr>
        <w:t xml:space="preserve"> –</w:t>
      </w:r>
      <w:r>
        <w:rPr>
          <w:rFonts w:ascii="Times New Roman" w:hAnsi="Times New Roman" w:cs="Times New Roman"/>
          <w:lang w:val="de-DE"/>
        </w:rPr>
        <w:t xml:space="preserve"> Zulassung durch ein Eignungsfeststellungsverfahren</w:t>
      </w:r>
    </w:p>
    <w:p w:rsidR="00915AB6" w:rsidRDefault="00915AB6" w:rsidP="00915AB6">
      <w:pPr>
        <w:jc w:val="both"/>
        <w:rPr>
          <w:rFonts w:ascii="Times New Roman" w:hAnsi="Times New Roman" w:cs="Times New Roman"/>
          <w:lang w:val="de-DE"/>
        </w:rPr>
      </w:pPr>
    </w:p>
    <w:p w:rsidR="00723795" w:rsidRPr="00D10515" w:rsidRDefault="00723795" w:rsidP="00796E0B">
      <w:pPr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D10515">
        <w:rPr>
          <w:rFonts w:ascii="Times New Roman" w:hAnsi="Times New Roman" w:cs="Times New Roman"/>
          <w:b/>
          <w:u w:val="single"/>
          <w:lang w:val="de-DE"/>
        </w:rPr>
        <w:t>Organisation des Studiums</w:t>
      </w:r>
    </w:p>
    <w:p w:rsidR="00F7424F" w:rsidRPr="00D10515" w:rsidRDefault="00D10515" w:rsidP="00796E0B">
      <w:pPr>
        <w:pStyle w:val="Odstavecseseznamem"/>
        <w:numPr>
          <w:ilvl w:val="0"/>
          <w:numId w:val="13"/>
        </w:numPr>
        <w:ind w:left="445"/>
        <w:jc w:val="both"/>
        <w:rPr>
          <w:rFonts w:ascii="Times New Roman" w:hAnsi="Times New Roman" w:cs="Times New Roman"/>
          <w:lang w:val="de-DE"/>
        </w:rPr>
      </w:pPr>
      <w:r w:rsidRPr="00D10515">
        <w:rPr>
          <w:rFonts w:ascii="Times New Roman" w:hAnsi="Times New Roman" w:cs="Times New Roman"/>
          <w:lang w:val="de-DE"/>
        </w:rPr>
        <w:t>an Universitäten: meistens Wintersemester vom 1.10. bis 31.03. und Sommersemester vom 01.04 – 30.09.</w:t>
      </w:r>
    </w:p>
    <w:p w:rsidR="00F7424F" w:rsidRDefault="00D10515" w:rsidP="00796E0B">
      <w:pPr>
        <w:pStyle w:val="Odstavecseseznamem"/>
        <w:numPr>
          <w:ilvl w:val="0"/>
          <w:numId w:val="13"/>
        </w:numPr>
        <w:ind w:left="445"/>
        <w:jc w:val="both"/>
        <w:rPr>
          <w:rFonts w:ascii="Times New Roman" w:hAnsi="Times New Roman" w:cs="Times New Roman"/>
          <w:lang w:val="de-DE"/>
        </w:rPr>
      </w:pPr>
      <w:r w:rsidRPr="00D10515">
        <w:rPr>
          <w:rFonts w:ascii="Times New Roman" w:hAnsi="Times New Roman" w:cs="Times New Roman"/>
          <w:lang w:val="de-DE"/>
        </w:rPr>
        <w:t>an Fachhochschulen meistens Anfang jedes Semesters um einen Monat früher</w:t>
      </w:r>
    </w:p>
    <w:p w:rsidR="00D10515" w:rsidRPr="00D10515" w:rsidRDefault="00D10515" w:rsidP="00796E0B">
      <w:pPr>
        <w:pStyle w:val="Odstavecseseznamem"/>
        <w:numPr>
          <w:ilvl w:val="0"/>
          <w:numId w:val="13"/>
        </w:numPr>
        <w:ind w:left="445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Vorlesungen (im Wintersemester 15 Wochen, im Sommersemester 14 Wochen) fangen in der Mitte des ersten Monats an</w:t>
      </w:r>
    </w:p>
    <w:p w:rsidR="00D10515" w:rsidRPr="00D10515" w:rsidRDefault="00D10515" w:rsidP="00796E0B">
      <w:pPr>
        <w:pStyle w:val="Odstavecseseznamem"/>
        <w:numPr>
          <w:ilvl w:val="0"/>
          <w:numId w:val="13"/>
        </w:numPr>
        <w:ind w:left="445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Semesterferien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lang w:val="de-DE"/>
        </w:rPr>
        <w:t>vorlesungsfreie Zeit</w:t>
      </w:r>
    </w:p>
    <w:p w:rsidR="00EE4A6B" w:rsidRDefault="00EE4A6B" w:rsidP="00F73166">
      <w:pPr>
        <w:jc w:val="both"/>
        <w:rPr>
          <w:rFonts w:ascii="Times New Roman" w:hAnsi="Times New Roman" w:cs="Times New Roman"/>
          <w:b/>
          <w:u w:val="single"/>
          <w:lang w:val="de-DE"/>
        </w:rPr>
      </w:pPr>
    </w:p>
    <w:p w:rsidR="00F73166" w:rsidRDefault="00F73166" w:rsidP="00F73166">
      <w:pPr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0D3C44">
        <w:rPr>
          <w:rFonts w:ascii="Times New Roman" w:hAnsi="Times New Roman" w:cs="Times New Roman"/>
          <w:b/>
          <w:u w:val="single"/>
          <w:lang w:val="de-DE"/>
        </w:rPr>
        <w:t>Leistungsbewertung</w:t>
      </w:r>
    </w:p>
    <w:p w:rsidR="00796E0B" w:rsidRDefault="00796E0B" w:rsidP="00FB43C8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5 Grade (es können auch Zwischennoten vergeben werden</w:t>
      </w:r>
      <w:r w:rsidR="00FB43C8">
        <w:rPr>
          <w:rFonts w:ascii="Times New Roman" w:hAnsi="Times New Roman" w:cs="Times New Roman"/>
          <w:lang w:val="de-DE"/>
        </w:rPr>
        <w:t>)</w:t>
      </w:r>
      <w:r>
        <w:rPr>
          <w:rFonts w:ascii="Times New Roman" w:hAnsi="Times New Roman" w:cs="Times New Roman"/>
          <w:lang w:val="de-DE"/>
        </w:rPr>
        <w:t>:</w:t>
      </w:r>
    </w:p>
    <w:p w:rsidR="00796E0B" w:rsidRPr="00FB43C8" w:rsidRDefault="00796E0B" w:rsidP="00FB43C8">
      <w:pPr>
        <w:spacing w:after="0"/>
        <w:jc w:val="both"/>
        <w:rPr>
          <w:rFonts w:ascii="Times New Roman" w:hAnsi="Times New Roman" w:cs="Times New Roman"/>
          <w:b/>
          <w:lang w:val="de-DE"/>
        </w:rPr>
      </w:pPr>
      <w:r w:rsidRPr="00FB43C8">
        <w:rPr>
          <w:rFonts w:ascii="Times New Roman" w:hAnsi="Times New Roman" w:cs="Times New Roman"/>
          <w:lang w:val="de-DE"/>
        </w:rPr>
        <w:t>„Sehr gut“</w:t>
      </w:r>
      <w:r w:rsidR="00FB43C8" w:rsidRPr="00FB43C8">
        <w:rPr>
          <w:rFonts w:ascii="Times New Roman" w:hAnsi="Times New Roman" w:cs="Times New Roman"/>
          <w:lang w:val="de-DE"/>
        </w:rPr>
        <w:tab/>
      </w:r>
      <w:r w:rsidR="00FB43C8" w:rsidRPr="00FB43C8">
        <w:rPr>
          <w:rFonts w:ascii="Times New Roman" w:hAnsi="Times New Roman" w:cs="Times New Roman"/>
          <w:lang w:val="de-DE"/>
        </w:rPr>
        <w:tab/>
      </w:r>
      <w:r w:rsidR="00FB43C8" w:rsidRPr="00FB43C8">
        <w:rPr>
          <w:rFonts w:ascii="Times New Roman" w:hAnsi="Times New Roman" w:cs="Times New Roman"/>
          <w:b/>
          <w:lang w:val="de-DE"/>
        </w:rPr>
        <w:t>1</w:t>
      </w:r>
    </w:p>
    <w:p w:rsidR="00796E0B" w:rsidRPr="00FB43C8" w:rsidRDefault="00796E0B" w:rsidP="00FB43C8">
      <w:pPr>
        <w:spacing w:after="0"/>
        <w:jc w:val="both"/>
        <w:rPr>
          <w:rFonts w:ascii="Times New Roman" w:hAnsi="Times New Roman" w:cs="Times New Roman"/>
          <w:b/>
          <w:lang w:val="de-DE"/>
        </w:rPr>
      </w:pPr>
      <w:r w:rsidRPr="00FB43C8">
        <w:rPr>
          <w:rFonts w:ascii="Times New Roman" w:hAnsi="Times New Roman" w:cs="Times New Roman"/>
          <w:lang w:val="de-DE"/>
        </w:rPr>
        <w:t>„Gut“</w:t>
      </w:r>
      <w:r w:rsidR="00FB43C8">
        <w:rPr>
          <w:rFonts w:ascii="Times New Roman" w:hAnsi="Times New Roman" w:cs="Times New Roman"/>
          <w:lang w:val="de-DE"/>
        </w:rPr>
        <w:tab/>
      </w:r>
      <w:r w:rsidR="00FB43C8">
        <w:rPr>
          <w:rFonts w:ascii="Times New Roman" w:hAnsi="Times New Roman" w:cs="Times New Roman"/>
          <w:lang w:val="de-DE"/>
        </w:rPr>
        <w:tab/>
      </w:r>
      <w:r w:rsidR="00FB43C8">
        <w:rPr>
          <w:rFonts w:ascii="Times New Roman" w:hAnsi="Times New Roman" w:cs="Times New Roman"/>
          <w:lang w:val="de-DE"/>
        </w:rPr>
        <w:tab/>
      </w:r>
      <w:r w:rsidR="00FB43C8" w:rsidRPr="00FB43C8">
        <w:rPr>
          <w:rFonts w:ascii="Times New Roman" w:hAnsi="Times New Roman" w:cs="Times New Roman"/>
          <w:b/>
          <w:lang w:val="de-DE"/>
        </w:rPr>
        <w:t>2</w:t>
      </w:r>
    </w:p>
    <w:p w:rsidR="00796E0B" w:rsidRPr="00FB43C8" w:rsidRDefault="00796E0B" w:rsidP="00FB43C8">
      <w:pPr>
        <w:spacing w:after="0"/>
        <w:jc w:val="both"/>
        <w:rPr>
          <w:rFonts w:ascii="Times New Roman" w:hAnsi="Times New Roman" w:cs="Times New Roman"/>
          <w:b/>
          <w:lang w:val="de-DE"/>
        </w:rPr>
      </w:pPr>
      <w:r w:rsidRPr="00FB43C8">
        <w:rPr>
          <w:rFonts w:ascii="Times New Roman" w:hAnsi="Times New Roman" w:cs="Times New Roman"/>
          <w:lang w:val="de-DE"/>
        </w:rPr>
        <w:t>„Befriedigend“</w:t>
      </w:r>
      <w:r w:rsidR="00FB43C8">
        <w:rPr>
          <w:rFonts w:ascii="Times New Roman" w:hAnsi="Times New Roman" w:cs="Times New Roman"/>
          <w:lang w:val="de-DE"/>
        </w:rPr>
        <w:tab/>
      </w:r>
      <w:r w:rsidR="00FB43C8">
        <w:rPr>
          <w:rFonts w:ascii="Times New Roman" w:hAnsi="Times New Roman" w:cs="Times New Roman"/>
          <w:lang w:val="de-DE"/>
        </w:rPr>
        <w:tab/>
      </w:r>
      <w:r w:rsidR="00FB43C8" w:rsidRPr="00FB43C8">
        <w:rPr>
          <w:rFonts w:ascii="Times New Roman" w:hAnsi="Times New Roman" w:cs="Times New Roman"/>
          <w:b/>
          <w:lang w:val="de-DE"/>
        </w:rPr>
        <w:t>3</w:t>
      </w:r>
      <w:r w:rsidR="00FB43C8">
        <w:rPr>
          <w:rFonts w:ascii="Times New Roman" w:hAnsi="Times New Roman" w:cs="Times New Roman"/>
          <w:b/>
          <w:lang w:val="de-DE"/>
        </w:rPr>
        <w:tab/>
      </w:r>
      <w:r w:rsidR="00FB43C8">
        <w:rPr>
          <w:rFonts w:ascii="Times New Roman" w:hAnsi="Times New Roman" w:cs="Times New Roman"/>
          <w:b/>
          <w:lang w:val="de-DE"/>
        </w:rPr>
        <w:tab/>
      </w:r>
      <w:r w:rsidR="00FB43C8">
        <w:rPr>
          <w:rFonts w:ascii="Times New Roman" w:hAnsi="Times New Roman" w:cs="Times New Roman"/>
          <w:b/>
          <w:lang w:val="de-DE"/>
        </w:rPr>
        <w:tab/>
      </w:r>
    </w:p>
    <w:p w:rsidR="00796E0B" w:rsidRPr="00FB43C8" w:rsidRDefault="00796E0B" w:rsidP="00FB43C8">
      <w:pPr>
        <w:spacing w:after="0"/>
        <w:jc w:val="both"/>
        <w:rPr>
          <w:rFonts w:ascii="Times New Roman" w:hAnsi="Times New Roman" w:cs="Times New Roman"/>
          <w:b/>
          <w:lang w:val="de-DE"/>
        </w:rPr>
      </w:pPr>
      <w:r w:rsidRPr="00FB43C8">
        <w:rPr>
          <w:rFonts w:ascii="Times New Roman" w:hAnsi="Times New Roman" w:cs="Times New Roman"/>
          <w:lang w:val="de-DE"/>
        </w:rPr>
        <w:t>„Ausreichend“</w:t>
      </w:r>
      <w:r w:rsidR="00FB43C8">
        <w:rPr>
          <w:rFonts w:ascii="Times New Roman" w:hAnsi="Times New Roman" w:cs="Times New Roman"/>
          <w:lang w:val="de-DE"/>
        </w:rPr>
        <w:tab/>
      </w:r>
      <w:r w:rsidR="00FB43C8">
        <w:rPr>
          <w:rFonts w:ascii="Times New Roman" w:hAnsi="Times New Roman" w:cs="Times New Roman"/>
          <w:lang w:val="de-DE"/>
        </w:rPr>
        <w:tab/>
      </w:r>
      <w:r w:rsidR="00FB43C8" w:rsidRPr="00FB43C8">
        <w:rPr>
          <w:rFonts w:ascii="Times New Roman" w:hAnsi="Times New Roman" w:cs="Times New Roman"/>
          <w:b/>
          <w:lang w:val="de-DE"/>
        </w:rPr>
        <w:t>4</w:t>
      </w:r>
    </w:p>
    <w:p w:rsidR="00796E0B" w:rsidRPr="00FB43C8" w:rsidRDefault="00796E0B" w:rsidP="00FB43C8">
      <w:pPr>
        <w:jc w:val="both"/>
        <w:rPr>
          <w:rFonts w:ascii="Times New Roman" w:hAnsi="Times New Roman" w:cs="Times New Roman"/>
          <w:b/>
          <w:lang w:val="de-DE"/>
        </w:rPr>
      </w:pPr>
      <w:r w:rsidRPr="00FB43C8">
        <w:rPr>
          <w:rFonts w:ascii="Times New Roman" w:hAnsi="Times New Roman" w:cs="Times New Roman"/>
          <w:lang w:val="de-DE"/>
        </w:rPr>
        <w:t>„Nicht ausreichend“</w:t>
      </w:r>
      <w:r w:rsidR="00FB43C8">
        <w:rPr>
          <w:rFonts w:ascii="Times New Roman" w:hAnsi="Times New Roman" w:cs="Times New Roman"/>
          <w:lang w:val="de-DE"/>
        </w:rPr>
        <w:tab/>
      </w:r>
      <w:r w:rsidR="00FB43C8" w:rsidRPr="00FB43C8">
        <w:rPr>
          <w:rFonts w:ascii="Times New Roman" w:hAnsi="Times New Roman" w:cs="Times New Roman"/>
          <w:b/>
          <w:lang w:val="de-DE"/>
        </w:rPr>
        <w:t>5</w:t>
      </w:r>
    </w:p>
    <w:p w:rsidR="00FB43C8" w:rsidRDefault="00FB43C8" w:rsidP="00FB43C8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Zum Teil verwenden Hochschulen bereits die ECTS-Benotungsskala</w:t>
      </w:r>
      <w:r w:rsidR="00EE4A6B">
        <w:rPr>
          <w:rFonts w:ascii="Times New Roman" w:hAnsi="Times New Roman" w:cs="Times New Roman"/>
          <w:lang w:val="de-DE"/>
        </w:rPr>
        <w:t xml:space="preserve"> (European Credit Transfer System)</w:t>
      </w:r>
      <w:r>
        <w:rPr>
          <w:rFonts w:ascii="Times New Roman" w:hAnsi="Times New Roman" w:cs="Times New Roman"/>
          <w:lang w:val="de-DE"/>
        </w:rPr>
        <w:t>:</w:t>
      </w:r>
    </w:p>
    <w:p w:rsidR="00FB43C8" w:rsidRPr="00FB43C8" w:rsidRDefault="00FB43C8" w:rsidP="00FB43C8">
      <w:pPr>
        <w:spacing w:after="0"/>
        <w:jc w:val="both"/>
        <w:rPr>
          <w:rFonts w:ascii="Times New Roman" w:hAnsi="Times New Roman" w:cs="Times New Roman"/>
          <w:b/>
          <w:lang w:val="de-DE"/>
        </w:rPr>
      </w:pPr>
      <w:r w:rsidRPr="00FB43C8">
        <w:rPr>
          <w:rFonts w:ascii="Times New Roman" w:hAnsi="Times New Roman" w:cs="Times New Roman"/>
          <w:lang w:val="de-DE"/>
        </w:rPr>
        <w:t>die besten 10%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b/>
          <w:lang w:val="de-DE"/>
        </w:rPr>
        <w:t>A</w:t>
      </w:r>
    </w:p>
    <w:p w:rsidR="00FB43C8" w:rsidRPr="00FB43C8" w:rsidRDefault="00FB43C8" w:rsidP="00FB43C8">
      <w:pPr>
        <w:spacing w:after="0"/>
        <w:jc w:val="both"/>
        <w:rPr>
          <w:rFonts w:ascii="Times New Roman" w:hAnsi="Times New Roman" w:cs="Times New Roman"/>
          <w:b/>
          <w:lang w:val="de-DE"/>
        </w:rPr>
      </w:pPr>
      <w:r w:rsidRPr="00FB43C8">
        <w:rPr>
          <w:rFonts w:ascii="Times New Roman" w:hAnsi="Times New Roman" w:cs="Times New Roman"/>
          <w:lang w:val="de-DE"/>
        </w:rPr>
        <w:t>die nächsten 25%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b/>
          <w:lang w:val="de-DE"/>
        </w:rPr>
        <w:t>B</w:t>
      </w:r>
    </w:p>
    <w:p w:rsidR="00FB43C8" w:rsidRPr="00FB43C8" w:rsidRDefault="00FB43C8" w:rsidP="00FB43C8">
      <w:pPr>
        <w:spacing w:after="0"/>
        <w:jc w:val="both"/>
        <w:rPr>
          <w:rFonts w:ascii="Times New Roman" w:hAnsi="Times New Roman" w:cs="Times New Roman"/>
          <w:b/>
          <w:lang w:val="de-DE"/>
        </w:rPr>
      </w:pPr>
      <w:r w:rsidRPr="00FB43C8">
        <w:rPr>
          <w:rFonts w:ascii="Times New Roman" w:hAnsi="Times New Roman" w:cs="Times New Roman"/>
          <w:lang w:val="de-DE"/>
        </w:rPr>
        <w:t>die nächsten 30%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b/>
          <w:lang w:val="de-DE"/>
        </w:rPr>
        <w:t>C</w:t>
      </w:r>
    </w:p>
    <w:p w:rsidR="00FB43C8" w:rsidRPr="00FB43C8" w:rsidRDefault="00FB43C8" w:rsidP="00FB43C8">
      <w:pPr>
        <w:spacing w:after="0"/>
        <w:jc w:val="both"/>
        <w:rPr>
          <w:rFonts w:ascii="Times New Roman" w:hAnsi="Times New Roman" w:cs="Times New Roman"/>
          <w:b/>
          <w:lang w:val="de-DE"/>
        </w:rPr>
      </w:pPr>
      <w:r w:rsidRPr="00FB43C8">
        <w:rPr>
          <w:rFonts w:ascii="Times New Roman" w:hAnsi="Times New Roman" w:cs="Times New Roman"/>
          <w:lang w:val="de-DE"/>
        </w:rPr>
        <w:t>die nächsten 25%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b/>
          <w:lang w:val="de-DE"/>
        </w:rPr>
        <w:t>D</w:t>
      </w:r>
    </w:p>
    <w:p w:rsidR="00FB43C8" w:rsidRPr="00FB43C8" w:rsidRDefault="00FB43C8" w:rsidP="00FB43C8">
      <w:pPr>
        <w:jc w:val="both"/>
        <w:rPr>
          <w:rFonts w:ascii="Times New Roman" w:hAnsi="Times New Roman" w:cs="Times New Roman"/>
          <w:b/>
          <w:lang w:val="de-DE"/>
        </w:rPr>
      </w:pPr>
      <w:r w:rsidRPr="00FB43C8">
        <w:rPr>
          <w:rFonts w:ascii="Times New Roman" w:hAnsi="Times New Roman" w:cs="Times New Roman"/>
          <w:lang w:val="de-DE"/>
        </w:rPr>
        <w:t xml:space="preserve">die nächsten 10% 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b/>
          <w:lang w:val="de-DE"/>
        </w:rPr>
        <w:t>E</w:t>
      </w:r>
    </w:p>
    <w:p w:rsidR="00EE4A6B" w:rsidRPr="00EE4A6B" w:rsidRDefault="00EE4A6B" w:rsidP="00EE4A6B">
      <w:pPr>
        <w:jc w:val="both"/>
        <w:rPr>
          <w:rFonts w:ascii="Times New Roman" w:hAnsi="Times New Roman" w:cs="Times New Roman"/>
          <w:b/>
          <w:u w:val="single"/>
          <w:lang w:val="de-DE"/>
        </w:rPr>
      </w:pPr>
    </w:p>
    <w:p w:rsidR="00B65AE9" w:rsidRDefault="00786C39" w:rsidP="00B76FF5">
      <w:pPr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0D3C44">
        <w:rPr>
          <w:rFonts w:ascii="Times New Roman" w:hAnsi="Times New Roman" w:cs="Times New Roman"/>
          <w:b/>
          <w:u w:val="single"/>
          <w:lang w:val="de-DE"/>
        </w:rPr>
        <w:t>Studiengebühren</w:t>
      </w:r>
    </w:p>
    <w:p w:rsidR="00B65AE9" w:rsidRDefault="00B57191" w:rsidP="00B57191">
      <w:pPr>
        <w:pStyle w:val="Normlnweb"/>
        <w:numPr>
          <w:ilvl w:val="0"/>
          <w:numId w:val="37"/>
        </w:numPr>
        <w:shd w:val="clear" w:color="auto" w:fill="FFFFFF"/>
        <w:spacing w:before="188" w:beforeAutospacing="0" w:after="188" w:afterAutospacing="0" w:line="252" w:lineRule="atLeast"/>
        <w:rPr>
          <w:color w:val="000000"/>
          <w:sz w:val="22"/>
          <w:szCs w:val="22"/>
        </w:rPr>
      </w:pPr>
      <w:r w:rsidRPr="00403A22">
        <w:rPr>
          <w:b/>
          <w:color w:val="000000"/>
          <w:sz w:val="22"/>
          <w:szCs w:val="22"/>
        </w:rPr>
        <w:t>Studiengebühren</w:t>
      </w:r>
      <w:r w:rsidR="00876C59" w:rsidRPr="00876C59">
        <w:rPr>
          <w:color w:val="000000"/>
          <w:sz w:val="22"/>
          <w:szCs w:val="22"/>
        </w:rPr>
        <w:t xml:space="preserve"> </w:t>
      </w:r>
      <w:r w:rsidR="00876C59">
        <w:rPr>
          <w:color w:val="000000"/>
          <w:sz w:val="22"/>
          <w:szCs w:val="22"/>
        </w:rPr>
        <w:t>– u</w:t>
      </w:r>
      <w:r w:rsidR="00876C59" w:rsidRPr="00876C59">
        <w:rPr>
          <w:color w:val="000000"/>
          <w:sz w:val="22"/>
          <w:szCs w:val="22"/>
        </w:rPr>
        <w:t>nterschiedlich</w:t>
      </w:r>
      <w:r w:rsidR="00876C59">
        <w:rPr>
          <w:color w:val="000000"/>
          <w:sz w:val="22"/>
          <w:szCs w:val="22"/>
        </w:rPr>
        <w:t xml:space="preserve"> </w:t>
      </w:r>
      <w:r w:rsidR="00876C59" w:rsidRPr="00876C59">
        <w:rPr>
          <w:color w:val="000000"/>
          <w:sz w:val="22"/>
          <w:szCs w:val="22"/>
        </w:rPr>
        <w:t>nach L</w:t>
      </w:r>
      <w:r w:rsidR="00876C59" w:rsidRPr="00876C59">
        <w:rPr>
          <w:color w:val="000000"/>
          <w:sz w:val="22"/>
          <w:szCs w:val="22"/>
          <w:lang w:val="de-DE"/>
        </w:rPr>
        <w:t>ändern</w:t>
      </w:r>
      <w:r w:rsidR="00876C59">
        <w:rPr>
          <w:color w:val="000000"/>
          <w:sz w:val="22"/>
          <w:szCs w:val="22"/>
          <w:lang w:val="de-DE"/>
        </w:rPr>
        <w:t xml:space="preserve"> (</w:t>
      </w:r>
      <w:r w:rsidR="00B65AE9" w:rsidRPr="00B65AE9">
        <w:rPr>
          <w:color w:val="000000"/>
          <w:sz w:val="22"/>
          <w:szCs w:val="22"/>
        </w:rPr>
        <w:t>Stand zum Januar 2012</w:t>
      </w:r>
      <w:r w:rsidR="00876C59">
        <w:rPr>
          <w:color w:val="000000"/>
          <w:sz w:val="22"/>
          <w:szCs w:val="22"/>
        </w:rPr>
        <w:t>)</w:t>
      </w:r>
      <w:r w:rsidR="00B65AE9">
        <w:rPr>
          <w:color w:val="000000"/>
          <w:sz w:val="22"/>
          <w:szCs w:val="22"/>
        </w:rPr>
        <w:t>:</w:t>
      </w:r>
    </w:p>
    <w:p w:rsidR="00481072" w:rsidRPr="00876C59" w:rsidRDefault="00A829F6" w:rsidP="00403A22">
      <w:pPr>
        <w:pStyle w:val="Normlnweb"/>
        <w:numPr>
          <w:ilvl w:val="0"/>
          <w:numId w:val="42"/>
        </w:numPr>
        <w:shd w:val="clear" w:color="auto" w:fill="FFFFFF"/>
        <w:spacing w:line="252" w:lineRule="atLeast"/>
        <w:rPr>
          <w:color w:val="000000"/>
          <w:sz w:val="22"/>
          <w:szCs w:val="22"/>
        </w:rPr>
      </w:pPr>
      <w:r w:rsidRPr="00876C59">
        <w:rPr>
          <w:b/>
          <w:color w:val="000000"/>
          <w:sz w:val="22"/>
          <w:szCs w:val="22"/>
          <w:lang w:val="de-DE"/>
        </w:rPr>
        <w:t>keine</w:t>
      </w:r>
      <w:r w:rsidRPr="00876C59">
        <w:rPr>
          <w:color w:val="000000"/>
          <w:sz w:val="22"/>
          <w:szCs w:val="22"/>
          <w:lang w:val="de-DE"/>
        </w:rPr>
        <w:t xml:space="preserve"> (Baden-Württemberg, Berlin, Brandenburg,  Hessen, Meckle</w:t>
      </w:r>
      <w:r w:rsidR="00876C59">
        <w:rPr>
          <w:color w:val="000000"/>
          <w:sz w:val="22"/>
          <w:szCs w:val="22"/>
          <w:lang w:val="de-DE"/>
        </w:rPr>
        <w:t>n</w:t>
      </w:r>
      <w:r w:rsidRPr="00876C59">
        <w:rPr>
          <w:color w:val="000000"/>
          <w:sz w:val="22"/>
          <w:szCs w:val="22"/>
          <w:lang w:val="de-DE"/>
        </w:rPr>
        <w:t>burg.-Vorpommern,  Saarland, Schleswig-Holstein</w:t>
      </w:r>
      <w:r w:rsidR="00876C59">
        <w:rPr>
          <w:color w:val="000000"/>
          <w:sz w:val="22"/>
          <w:szCs w:val="22"/>
          <w:lang w:val="de-DE"/>
        </w:rPr>
        <w:t>, Nordrhein-Westfalen</w:t>
      </w:r>
      <w:r w:rsidRPr="00876C59">
        <w:rPr>
          <w:color w:val="000000"/>
          <w:sz w:val="22"/>
          <w:szCs w:val="22"/>
          <w:lang w:val="de-DE"/>
        </w:rPr>
        <w:t>)</w:t>
      </w:r>
    </w:p>
    <w:p w:rsidR="00481072" w:rsidRPr="00876C59" w:rsidRDefault="00A829F6" w:rsidP="00876C59">
      <w:pPr>
        <w:pStyle w:val="Normlnweb"/>
        <w:numPr>
          <w:ilvl w:val="0"/>
          <w:numId w:val="42"/>
        </w:numPr>
        <w:shd w:val="clear" w:color="auto" w:fill="FFFFFF"/>
        <w:spacing w:before="188" w:after="188" w:line="252" w:lineRule="atLeast"/>
        <w:rPr>
          <w:color w:val="000000"/>
          <w:sz w:val="22"/>
          <w:szCs w:val="22"/>
        </w:rPr>
      </w:pPr>
      <w:r w:rsidRPr="00876C59">
        <w:rPr>
          <w:b/>
          <w:color w:val="000000"/>
          <w:sz w:val="22"/>
          <w:szCs w:val="22"/>
          <w:lang w:val="de-DE"/>
        </w:rPr>
        <w:t>Allgemeine Studiengebühren</w:t>
      </w:r>
      <w:r w:rsidRPr="00876C59">
        <w:rPr>
          <w:color w:val="000000"/>
          <w:sz w:val="22"/>
          <w:szCs w:val="22"/>
          <w:lang w:val="de-DE"/>
        </w:rPr>
        <w:t>: 100-500 EUR</w:t>
      </w:r>
    </w:p>
    <w:p w:rsidR="00481072" w:rsidRPr="00876C59" w:rsidRDefault="00A829F6" w:rsidP="00876C59">
      <w:pPr>
        <w:pStyle w:val="Normlnweb"/>
        <w:numPr>
          <w:ilvl w:val="0"/>
          <w:numId w:val="42"/>
        </w:numPr>
        <w:shd w:val="clear" w:color="auto" w:fill="FFFFFF"/>
        <w:spacing w:before="188" w:after="188" w:line="252" w:lineRule="atLeast"/>
        <w:rPr>
          <w:color w:val="000000"/>
          <w:sz w:val="22"/>
          <w:szCs w:val="22"/>
        </w:rPr>
      </w:pPr>
      <w:r w:rsidRPr="00876C59">
        <w:rPr>
          <w:b/>
          <w:color w:val="000000"/>
          <w:sz w:val="22"/>
          <w:szCs w:val="22"/>
          <w:lang w:val="de-DE"/>
        </w:rPr>
        <w:t>Langzeit-Studiengebühren</w:t>
      </w:r>
      <w:r w:rsidRPr="00876C59">
        <w:rPr>
          <w:color w:val="000000"/>
          <w:sz w:val="22"/>
          <w:szCs w:val="22"/>
          <w:lang w:val="de-DE"/>
        </w:rPr>
        <w:t>: 500-800 EUR</w:t>
      </w:r>
    </w:p>
    <w:p w:rsidR="00481072" w:rsidRPr="00876C59" w:rsidRDefault="00A829F6" w:rsidP="00403A22">
      <w:pPr>
        <w:pStyle w:val="Normlnweb"/>
        <w:numPr>
          <w:ilvl w:val="0"/>
          <w:numId w:val="42"/>
        </w:numPr>
        <w:shd w:val="clear" w:color="auto" w:fill="FFFFFF"/>
        <w:spacing w:line="252" w:lineRule="atLeast"/>
        <w:rPr>
          <w:color w:val="000000"/>
          <w:sz w:val="22"/>
          <w:szCs w:val="22"/>
        </w:rPr>
      </w:pPr>
      <w:r w:rsidRPr="00876C59">
        <w:rPr>
          <w:b/>
          <w:color w:val="000000"/>
          <w:sz w:val="22"/>
          <w:szCs w:val="22"/>
          <w:lang w:val="de-DE"/>
        </w:rPr>
        <w:t>Seniorenstudium-Gebühren</w:t>
      </w:r>
      <w:r w:rsidRPr="00876C59">
        <w:rPr>
          <w:color w:val="000000"/>
          <w:sz w:val="22"/>
          <w:szCs w:val="22"/>
          <w:lang w:val="de-DE"/>
        </w:rPr>
        <w:t>:650 EUR (Rheinland-Pfalz)</w:t>
      </w:r>
    </w:p>
    <w:p w:rsidR="00481072" w:rsidRPr="00876C59" w:rsidRDefault="00A829F6" w:rsidP="00403A22">
      <w:pPr>
        <w:pStyle w:val="Normlnweb"/>
        <w:numPr>
          <w:ilvl w:val="0"/>
          <w:numId w:val="42"/>
        </w:numPr>
        <w:shd w:val="clear" w:color="auto" w:fill="FFFFFF"/>
        <w:spacing w:line="252" w:lineRule="atLeast"/>
        <w:rPr>
          <w:color w:val="000000"/>
          <w:sz w:val="22"/>
          <w:szCs w:val="22"/>
        </w:rPr>
      </w:pPr>
      <w:r w:rsidRPr="00876C59">
        <w:rPr>
          <w:b/>
          <w:color w:val="000000"/>
          <w:sz w:val="22"/>
          <w:szCs w:val="22"/>
          <w:lang w:val="de-DE"/>
        </w:rPr>
        <w:t>Zweitstudium-Gebüh</w:t>
      </w:r>
      <w:r w:rsidR="00876C59">
        <w:rPr>
          <w:b/>
          <w:color w:val="000000"/>
          <w:sz w:val="22"/>
          <w:szCs w:val="22"/>
          <w:lang w:val="de-DE"/>
        </w:rPr>
        <w:t>r</w:t>
      </w:r>
      <w:r w:rsidRPr="00876C59">
        <w:rPr>
          <w:b/>
          <w:color w:val="000000"/>
          <w:sz w:val="22"/>
          <w:szCs w:val="22"/>
          <w:lang w:val="de-DE"/>
        </w:rPr>
        <w:t>en</w:t>
      </w:r>
      <w:r w:rsidRPr="00876C59">
        <w:rPr>
          <w:color w:val="000000"/>
          <w:sz w:val="22"/>
          <w:szCs w:val="22"/>
          <w:lang w:val="de-DE"/>
        </w:rPr>
        <w:t xml:space="preserve">: 30-450 EUR </w:t>
      </w:r>
    </w:p>
    <w:p w:rsidR="00876C59" w:rsidRPr="00B65AE9" w:rsidRDefault="00876C59" w:rsidP="00876C59">
      <w:pPr>
        <w:pStyle w:val="Normlnweb"/>
        <w:shd w:val="clear" w:color="auto" w:fill="FFFFFF"/>
        <w:spacing w:before="188" w:beforeAutospacing="0" w:after="188" w:afterAutospacing="0" w:line="252" w:lineRule="atLeast"/>
        <w:rPr>
          <w:color w:val="000000"/>
          <w:sz w:val="22"/>
          <w:szCs w:val="22"/>
        </w:rPr>
      </w:pPr>
    </w:p>
    <w:p w:rsidR="00403A22" w:rsidRDefault="00403A22">
      <w:pPr>
        <w:spacing w:line="360" w:lineRule="atLeast"/>
        <w:rPr>
          <w:rFonts w:ascii="Times New Roman" w:hAnsi="Times New Roman" w:cs="Times New Roman"/>
          <w:b/>
          <w:bCs/>
          <w:color w:val="000000"/>
          <w:sz w:val="16"/>
          <w:szCs w:val="16"/>
        </w:rPr>
        <w:sectPr w:rsidR="00403A22" w:rsidSect="00D004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7763" w:type="dxa"/>
        <w:tblCellSpacing w:w="15" w:type="dxa"/>
        <w:tblBorders>
          <w:bottom w:val="dotted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3425"/>
        <w:gridCol w:w="2827"/>
      </w:tblGrid>
      <w:tr w:rsidR="00B65AE9" w:rsidRPr="00B65AE9" w:rsidTr="00B65AE9">
        <w:trPr>
          <w:tblCellSpacing w:w="15" w:type="dxa"/>
        </w:trPr>
        <w:tc>
          <w:tcPr>
            <w:tcW w:w="0" w:type="auto"/>
            <w:tcBorders>
              <w:top w:val="dotted" w:sz="4" w:space="0" w:color="BBBBBB"/>
              <w:left w:val="nil"/>
              <w:bottom w:val="single" w:sz="4" w:space="0" w:color="081542"/>
              <w:right w:val="nil"/>
            </w:tcBorders>
            <w:shd w:val="clear" w:color="auto" w:fill="D1D1D1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Bundesland</w:t>
            </w:r>
          </w:p>
        </w:tc>
        <w:tc>
          <w:tcPr>
            <w:tcW w:w="0" w:type="auto"/>
            <w:tcBorders>
              <w:top w:val="dotted" w:sz="4" w:space="0" w:color="BBBBBB"/>
              <w:left w:val="nil"/>
              <w:bottom w:val="single" w:sz="4" w:space="0" w:color="081542"/>
              <w:right w:val="nil"/>
            </w:tcBorders>
            <w:shd w:val="clear" w:color="auto" w:fill="D1D1D1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Art der Studiengebühren</w:t>
            </w:r>
          </w:p>
        </w:tc>
        <w:tc>
          <w:tcPr>
            <w:tcW w:w="0" w:type="auto"/>
            <w:tcBorders>
              <w:top w:val="dotted" w:sz="4" w:space="0" w:color="BBBBBB"/>
              <w:left w:val="nil"/>
              <w:bottom w:val="single" w:sz="4" w:space="0" w:color="081542"/>
              <w:right w:val="nil"/>
            </w:tcBorders>
            <w:shd w:val="clear" w:color="auto" w:fill="D1D1D1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Höhe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Baden-Württemberg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keine (Abschaffung zum Sommersemester 2012)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Bayern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Allgemeine Studiengebühren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 EUR 500 (An FHs mind. EUR 100, an Unis mind. EUR 300)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Berlin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Keine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Brandenburg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Keine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Bremen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Langzeit-Studiengebühren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EUR 500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Hamburg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Allgemeine Studiengebühren</w:t>
            </w: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(nachgelagert)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EUR 375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Hessen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Keine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Mecklenburg-Vorpommern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Keine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Niedersachsen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Allgemeine- und Langzeit Studiengebühren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Allgemeine: EUR 500</w:t>
            </w: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Langzeit: EUR 600 - 800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Nordrhein-Westfalen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Allgemeine Studiengebühren (Abschaffung zum Wintersemester 2011/2012)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 EUR 500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Rheinland-Pfalz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Studienkonten/ Seniorenstudium</w:t>
            </w: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2. Zweitstudium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EUR 650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Saarland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974B7C">
            <w:pPr>
              <w:spacing w:line="3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B65AE9" w:rsidRPr="00B65AE9">
                <w:rPr>
                  <w:rStyle w:val="Hypertextovodkaz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Studiengebühren seit dem Sommersemester 2010 abgeschafft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Sachsen-Anhalt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Langzeit-Studiengebühren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EUR 500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Sachsen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Gebühren für Zweitstudium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EUR 30-450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Schleswig-Holstein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Keine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65AE9" w:rsidRPr="00B65AE9" w:rsidTr="00B65A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Thüringen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Langzeit-Studiengebühren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65AE9" w:rsidRPr="00B65AE9" w:rsidRDefault="00B65AE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EUR 500</w:t>
            </w:r>
          </w:p>
        </w:tc>
      </w:tr>
    </w:tbl>
    <w:p w:rsidR="00B65AE9" w:rsidRPr="00B65AE9" w:rsidRDefault="00B65AE9" w:rsidP="00B76FF5">
      <w:pPr>
        <w:jc w:val="both"/>
        <w:rPr>
          <w:rFonts w:ascii="Times New Roman" w:hAnsi="Times New Roman" w:cs="Times New Roman"/>
          <w:b/>
          <w:u w:val="single"/>
          <w:lang w:val="de-DE"/>
        </w:rPr>
      </w:pPr>
    </w:p>
    <w:p w:rsidR="00F7424F" w:rsidRPr="00876C59" w:rsidRDefault="00B65AE9" w:rsidP="00876C59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lang w:val="de-DE"/>
        </w:rPr>
      </w:pPr>
      <w:r w:rsidRPr="00403A22">
        <w:rPr>
          <w:rFonts w:ascii="Times New Roman" w:hAnsi="Times New Roman" w:cs="Times New Roman"/>
          <w:b/>
          <w:lang w:val="de-DE"/>
        </w:rPr>
        <w:lastRenderedPageBreak/>
        <w:t>Semesterbeitrag</w:t>
      </w:r>
      <w:r w:rsidR="001D6B05" w:rsidRPr="00876C59">
        <w:rPr>
          <w:rFonts w:ascii="Times New Roman" w:hAnsi="Times New Roman" w:cs="Times New Roman"/>
          <w:lang w:val="de-DE"/>
        </w:rPr>
        <w:t xml:space="preserve"> (50 bis 150 EUR)</w:t>
      </w:r>
      <w:r w:rsidRPr="00876C59">
        <w:rPr>
          <w:rFonts w:ascii="Times New Roman" w:hAnsi="Times New Roman" w:cs="Times New Roman"/>
          <w:lang w:val="de-DE"/>
        </w:rPr>
        <w:t xml:space="preserve"> wird an allen Hochschulen verlangt </w:t>
      </w:r>
      <w:r w:rsidR="00431641" w:rsidRPr="00876C59">
        <w:rPr>
          <w:rFonts w:ascii="Times New Roman" w:hAnsi="Times New Roman" w:cs="Times New Roman"/>
          <w:lang w:val="de-DE"/>
        </w:rPr>
        <w:t>– umfasst einen Sozialbetrag für das Studentenwerk (Mensa, Cafeteria, psych</w:t>
      </w:r>
      <w:r w:rsidR="00876C59">
        <w:rPr>
          <w:rFonts w:ascii="Times New Roman" w:hAnsi="Times New Roman" w:cs="Times New Roman"/>
          <w:lang w:val="de-DE"/>
        </w:rPr>
        <w:t>o</w:t>
      </w:r>
      <w:r w:rsidR="00431641" w:rsidRPr="00876C59">
        <w:rPr>
          <w:rFonts w:ascii="Times New Roman" w:hAnsi="Times New Roman" w:cs="Times New Roman"/>
          <w:lang w:val="de-DE"/>
        </w:rPr>
        <w:t>logische Beratung, …), einen Beitrag für die Studierendenvertretung und Semesterticket (öffentliche Verkehrsmittel)</w:t>
      </w:r>
      <w:r w:rsidR="001D6B05" w:rsidRPr="00876C59">
        <w:rPr>
          <w:rFonts w:ascii="Times New Roman" w:hAnsi="Times New Roman" w:cs="Times New Roman"/>
          <w:lang w:val="de-DE"/>
        </w:rPr>
        <w:t xml:space="preserve"> </w:t>
      </w:r>
    </w:p>
    <w:p w:rsidR="00EE4A6B" w:rsidRDefault="00EE4A6B" w:rsidP="00B76FF5">
      <w:pPr>
        <w:jc w:val="both"/>
        <w:rPr>
          <w:rFonts w:ascii="Times New Roman" w:hAnsi="Times New Roman" w:cs="Times New Roman"/>
          <w:b/>
          <w:u w:val="single"/>
          <w:lang w:val="de-DE"/>
        </w:rPr>
      </w:pPr>
    </w:p>
    <w:p w:rsidR="002F7C92" w:rsidRPr="000D3C44" w:rsidRDefault="001040D6" w:rsidP="00B76FF5">
      <w:pPr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0D3C44">
        <w:rPr>
          <w:rFonts w:ascii="Times New Roman" w:hAnsi="Times New Roman" w:cs="Times New Roman"/>
          <w:b/>
          <w:u w:val="single"/>
          <w:lang w:val="de-DE"/>
        </w:rPr>
        <w:t xml:space="preserve">Hilfe </w:t>
      </w:r>
      <w:r w:rsidR="00B57191">
        <w:rPr>
          <w:rFonts w:ascii="Times New Roman" w:hAnsi="Times New Roman" w:cs="Times New Roman"/>
          <w:b/>
          <w:u w:val="single"/>
          <w:lang w:val="de-DE"/>
        </w:rPr>
        <w:t xml:space="preserve">für </w:t>
      </w:r>
      <w:r w:rsidRPr="000D3C44">
        <w:rPr>
          <w:rFonts w:ascii="Times New Roman" w:hAnsi="Times New Roman" w:cs="Times New Roman"/>
          <w:b/>
          <w:u w:val="single"/>
          <w:lang w:val="de-DE"/>
        </w:rPr>
        <w:t>Studierende</w:t>
      </w:r>
    </w:p>
    <w:p w:rsidR="00C5407F" w:rsidRDefault="001D6B05" w:rsidP="00B76FF5">
      <w:pPr>
        <w:pStyle w:val="Odstavecseseznamem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BAföG</w:t>
      </w:r>
    </w:p>
    <w:p w:rsidR="001D6B05" w:rsidRDefault="001D6B05" w:rsidP="00B76FF5">
      <w:pPr>
        <w:pStyle w:val="Odstavecseseznamem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Stipendien</w:t>
      </w:r>
    </w:p>
    <w:p w:rsidR="001D6B05" w:rsidRDefault="001D6B05" w:rsidP="00B76FF5">
      <w:pPr>
        <w:pStyle w:val="Odstavecseseznamem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Studienkredit</w:t>
      </w:r>
    </w:p>
    <w:p w:rsidR="001D6B05" w:rsidRDefault="001D6B05" w:rsidP="00B76FF5">
      <w:pPr>
        <w:pStyle w:val="Odstavecseseznamem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Eltern</w:t>
      </w:r>
    </w:p>
    <w:p w:rsidR="001D6B05" w:rsidRPr="000D3C44" w:rsidRDefault="001D6B05" w:rsidP="00B76FF5">
      <w:pPr>
        <w:pStyle w:val="Odstavecseseznamem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Jobben</w:t>
      </w:r>
    </w:p>
    <w:p w:rsidR="00E73042" w:rsidRDefault="00E73042" w:rsidP="00B76FF5">
      <w:pPr>
        <w:jc w:val="both"/>
        <w:rPr>
          <w:rFonts w:ascii="Times New Roman" w:hAnsi="Times New Roman" w:cs="Times New Roman"/>
          <w:lang w:val="de-DE"/>
        </w:rPr>
      </w:pPr>
    </w:p>
    <w:p w:rsidR="001D6B05" w:rsidRPr="000D3C44" w:rsidRDefault="001D6B05" w:rsidP="00B76FF5">
      <w:pPr>
        <w:jc w:val="both"/>
        <w:rPr>
          <w:rFonts w:ascii="Times New Roman" w:hAnsi="Times New Roman" w:cs="Times New Roman"/>
          <w:lang w:val="de-DE"/>
        </w:rPr>
      </w:pPr>
    </w:p>
    <w:p w:rsidR="00CD6B1C" w:rsidRPr="000D3C44" w:rsidRDefault="008D0EA1" w:rsidP="00B76FF5">
      <w:pPr>
        <w:rPr>
          <w:rFonts w:ascii="Times New Roman" w:hAnsi="Times New Roman" w:cs="Times New Roman"/>
          <w:lang w:val="de-DE"/>
        </w:rPr>
      </w:pPr>
      <w:r w:rsidRPr="000D3C44">
        <w:rPr>
          <w:rFonts w:ascii="Times New Roman" w:hAnsi="Times New Roman" w:cs="Times New Roman"/>
          <w:lang w:val="de-DE"/>
        </w:rPr>
        <w:t>Q</w:t>
      </w:r>
      <w:r w:rsidR="002F7C92" w:rsidRPr="000D3C44">
        <w:rPr>
          <w:rFonts w:ascii="Times New Roman" w:hAnsi="Times New Roman" w:cs="Times New Roman"/>
          <w:lang w:val="de-DE"/>
        </w:rPr>
        <w:t xml:space="preserve">uellen: </w:t>
      </w:r>
    </w:p>
    <w:p w:rsidR="002F7C92" w:rsidRDefault="00B57191" w:rsidP="00B76FF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Bundesministerium für Bildung und Forschung </w:t>
      </w:r>
      <w:hyperlink r:id="rId6" w:history="1">
        <w:r w:rsidRPr="007C07E4">
          <w:rPr>
            <w:rStyle w:val="Hypertextovodkaz"/>
            <w:rFonts w:ascii="Times New Roman" w:hAnsi="Times New Roman" w:cs="Times New Roman"/>
            <w:lang w:val="de-DE"/>
          </w:rPr>
          <w:t>www.bmbf.de</w:t>
        </w:r>
      </w:hyperlink>
    </w:p>
    <w:p w:rsidR="00B57191" w:rsidRDefault="00974B7C" w:rsidP="00B76FF5">
      <w:pPr>
        <w:rPr>
          <w:rFonts w:ascii="Times New Roman" w:hAnsi="Times New Roman" w:cs="Times New Roman"/>
          <w:lang w:val="de-DE"/>
        </w:rPr>
      </w:pPr>
      <w:hyperlink r:id="rId7" w:history="1">
        <w:r w:rsidR="00B57191" w:rsidRPr="007C07E4">
          <w:rPr>
            <w:rStyle w:val="Hypertextovodkaz"/>
            <w:rFonts w:ascii="Times New Roman" w:hAnsi="Times New Roman" w:cs="Times New Roman"/>
            <w:lang w:val="de-DE"/>
          </w:rPr>
          <w:t>www.studieren.de</w:t>
        </w:r>
      </w:hyperlink>
    </w:p>
    <w:p w:rsidR="00B57191" w:rsidRDefault="00974B7C" w:rsidP="00B76FF5">
      <w:pPr>
        <w:rPr>
          <w:rFonts w:ascii="Times New Roman" w:hAnsi="Times New Roman" w:cs="Times New Roman"/>
          <w:lang w:val="de-DE"/>
        </w:rPr>
      </w:pPr>
      <w:hyperlink r:id="rId8" w:history="1">
        <w:r w:rsidR="00B57191" w:rsidRPr="007C07E4">
          <w:rPr>
            <w:rStyle w:val="Hypertextovodkaz"/>
            <w:rFonts w:ascii="Times New Roman" w:hAnsi="Times New Roman" w:cs="Times New Roman"/>
            <w:lang w:val="de-DE"/>
          </w:rPr>
          <w:t>www.studies-online.de</w:t>
        </w:r>
      </w:hyperlink>
    </w:p>
    <w:p w:rsidR="00B57191" w:rsidRDefault="00974B7C" w:rsidP="00B76FF5">
      <w:pPr>
        <w:rPr>
          <w:rFonts w:ascii="Times New Roman" w:hAnsi="Times New Roman" w:cs="Times New Roman"/>
          <w:lang w:val="de-DE"/>
        </w:rPr>
      </w:pPr>
      <w:hyperlink r:id="rId9" w:history="1">
        <w:r w:rsidR="00B57191" w:rsidRPr="007C07E4">
          <w:rPr>
            <w:rStyle w:val="Hypertextovodkaz"/>
            <w:rFonts w:ascii="Times New Roman" w:hAnsi="Times New Roman" w:cs="Times New Roman"/>
            <w:lang w:val="de-DE"/>
          </w:rPr>
          <w:t>www.efors.eu</w:t>
        </w:r>
      </w:hyperlink>
    </w:p>
    <w:p w:rsidR="00B57191" w:rsidRDefault="00974B7C" w:rsidP="00B76FF5">
      <w:pPr>
        <w:rPr>
          <w:rFonts w:ascii="Times New Roman" w:hAnsi="Times New Roman" w:cs="Times New Roman"/>
          <w:lang w:val="de-DE"/>
        </w:rPr>
      </w:pPr>
      <w:hyperlink r:id="rId10" w:history="1">
        <w:r w:rsidR="00B57191" w:rsidRPr="007C07E4">
          <w:rPr>
            <w:rStyle w:val="Hypertextovodkaz"/>
            <w:rFonts w:ascii="Times New Roman" w:hAnsi="Times New Roman" w:cs="Times New Roman"/>
            <w:lang w:val="de-DE"/>
          </w:rPr>
          <w:t>www.no-abilities.de</w:t>
        </w:r>
      </w:hyperlink>
    </w:p>
    <w:p w:rsidR="002F5C25" w:rsidRPr="004569BD" w:rsidRDefault="00974B7C" w:rsidP="004569BD">
      <w:pPr>
        <w:rPr>
          <w:rFonts w:ascii="Times New Roman" w:hAnsi="Times New Roman" w:cs="Times New Roman"/>
        </w:rPr>
      </w:pPr>
      <w:hyperlink r:id="rId11" w:history="1">
        <w:r w:rsidR="004569BD" w:rsidRPr="004569BD">
          <w:rPr>
            <w:rStyle w:val="Hypertextovodkaz"/>
            <w:rFonts w:ascii="Times New Roman" w:hAnsi="Times New Roman" w:cs="Times New Roman"/>
            <w:lang w:val="de-DE"/>
          </w:rPr>
          <w:t>www.anabin.de</w:t>
        </w:r>
      </w:hyperlink>
      <w:r w:rsidR="004569BD" w:rsidRPr="004569BD">
        <w:rPr>
          <w:rFonts w:ascii="Times New Roman" w:hAnsi="Times New Roman" w:cs="Times New Roman"/>
          <w:u w:val="single"/>
          <w:lang w:val="de-DE"/>
        </w:rPr>
        <w:t xml:space="preserve"> </w:t>
      </w:r>
    </w:p>
    <w:p w:rsidR="002F5C25" w:rsidRPr="004569BD" w:rsidRDefault="00974B7C" w:rsidP="004569BD">
      <w:pPr>
        <w:rPr>
          <w:rFonts w:ascii="Times New Roman" w:hAnsi="Times New Roman" w:cs="Times New Roman"/>
        </w:rPr>
      </w:pPr>
      <w:hyperlink r:id="rId12" w:history="1">
        <w:r w:rsidR="004569BD" w:rsidRPr="004569BD">
          <w:rPr>
            <w:rStyle w:val="Hypertextovodkaz"/>
            <w:rFonts w:ascii="Times New Roman" w:hAnsi="Times New Roman" w:cs="Times New Roman"/>
            <w:lang w:val="de-DE"/>
          </w:rPr>
          <w:t>www.ausländerstudium.de</w:t>
        </w:r>
      </w:hyperlink>
      <w:r w:rsidR="004569BD" w:rsidRPr="004569BD">
        <w:rPr>
          <w:rFonts w:ascii="Times New Roman" w:hAnsi="Times New Roman" w:cs="Times New Roman"/>
        </w:rPr>
        <w:t xml:space="preserve"> </w:t>
      </w:r>
    </w:p>
    <w:p w:rsidR="002F5C25" w:rsidRPr="004569BD" w:rsidRDefault="00974B7C" w:rsidP="004569BD">
      <w:pPr>
        <w:rPr>
          <w:rFonts w:ascii="Times New Roman" w:hAnsi="Times New Roman" w:cs="Times New Roman"/>
        </w:rPr>
      </w:pPr>
      <w:hyperlink r:id="rId13" w:history="1">
        <w:r w:rsidR="004569BD" w:rsidRPr="004569BD">
          <w:rPr>
            <w:rStyle w:val="Hypertextovodkaz"/>
            <w:rFonts w:ascii="Times New Roman" w:hAnsi="Times New Roman" w:cs="Times New Roman"/>
          </w:rPr>
          <w:t>www.fh-bonn-rhein-sieg.de</w:t>
        </w:r>
      </w:hyperlink>
      <w:r w:rsidR="004569BD" w:rsidRPr="004569BD">
        <w:rPr>
          <w:rFonts w:ascii="Times New Roman" w:hAnsi="Times New Roman" w:cs="Times New Roman"/>
        </w:rPr>
        <w:t xml:space="preserve"> </w:t>
      </w:r>
    </w:p>
    <w:p w:rsidR="006427FE" w:rsidRDefault="006427FE" w:rsidP="004569BD">
      <w:pPr>
        <w:rPr>
          <w:rFonts w:ascii="Times New Roman" w:hAnsi="Times New Roman" w:cs="Times New Roman"/>
        </w:rPr>
      </w:pPr>
    </w:p>
    <w:sectPr w:rsidR="006427FE" w:rsidSect="00D0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A8"/>
    <w:multiLevelType w:val="hybridMultilevel"/>
    <w:tmpl w:val="74C6347C"/>
    <w:lvl w:ilvl="0" w:tplc="8DFA5B20">
      <w:start w:val="1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02F05908"/>
    <w:multiLevelType w:val="hybridMultilevel"/>
    <w:tmpl w:val="A5566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47D4E"/>
    <w:multiLevelType w:val="hybridMultilevel"/>
    <w:tmpl w:val="EA08F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F50A1"/>
    <w:multiLevelType w:val="hybridMultilevel"/>
    <w:tmpl w:val="FA763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66882"/>
    <w:multiLevelType w:val="multilevel"/>
    <w:tmpl w:val="11B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C5E71"/>
    <w:multiLevelType w:val="hybridMultilevel"/>
    <w:tmpl w:val="C7CEB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185E"/>
    <w:multiLevelType w:val="hybridMultilevel"/>
    <w:tmpl w:val="51D0338C"/>
    <w:lvl w:ilvl="0" w:tplc="040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7">
    <w:nsid w:val="1A543C72"/>
    <w:multiLevelType w:val="hybridMultilevel"/>
    <w:tmpl w:val="5F98E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77377"/>
    <w:multiLevelType w:val="hybridMultilevel"/>
    <w:tmpl w:val="177E8A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5A713C"/>
    <w:multiLevelType w:val="hybridMultilevel"/>
    <w:tmpl w:val="3DD0E55A"/>
    <w:lvl w:ilvl="0" w:tplc="5218E7AE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71B27"/>
    <w:multiLevelType w:val="hybridMultilevel"/>
    <w:tmpl w:val="797AA392"/>
    <w:lvl w:ilvl="0" w:tplc="9DB01334">
      <w:start w:val="1"/>
      <w:numFmt w:val="upperLetter"/>
      <w:lvlText w:val="%1."/>
      <w:lvlJc w:val="left"/>
      <w:pPr>
        <w:ind w:left="720" w:hanging="360"/>
      </w:pPr>
      <w:rPr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02F82"/>
    <w:multiLevelType w:val="hybridMultilevel"/>
    <w:tmpl w:val="BB427D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B84286"/>
    <w:multiLevelType w:val="hybridMultilevel"/>
    <w:tmpl w:val="B218C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31259"/>
    <w:multiLevelType w:val="hybridMultilevel"/>
    <w:tmpl w:val="2DA0B250"/>
    <w:lvl w:ilvl="0" w:tplc="0405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>
    <w:nsid w:val="201F0A06"/>
    <w:multiLevelType w:val="hybridMultilevel"/>
    <w:tmpl w:val="358CB494"/>
    <w:lvl w:ilvl="0" w:tplc="973A102E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6" w:hanging="360"/>
      </w:pPr>
    </w:lvl>
    <w:lvl w:ilvl="2" w:tplc="0405001B" w:tentative="1">
      <w:start w:val="1"/>
      <w:numFmt w:val="lowerRoman"/>
      <w:lvlText w:val="%3."/>
      <w:lvlJc w:val="right"/>
      <w:pPr>
        <w:ind w:left="2846" w:hanging="180"/>
      </w:pPr>
    </w:lvl>
    <w:lvl w:ilvl="3" w:tplc="0405000F" w:tentative="1">
      <w:start w:val="1"/>
      <w:numFmt w:val="decimal"/>
      <w:lvlText w:val="%4."/>
      <w:lvlJc w:val="left"/>
      <w:pPr>
        <w:ind w:left="3566" w:hanging="360"/>
      </w:pPr>
    </w:lvl>
    <w:lvl w:ilvl="4" w:tplc="04050019" w:tentative="1">
      <w:start w:val="1"/>
      <w:numFmt w:val="lowerLetter"/>
      <w:lvlText w:val="%5."/>
      <w:lvlJc w:val="left"/>
      <w:pPr>
        <w:ind w:left="4286" w:hanging="360"/>
      </w:pPr>
    </w:lvl>
    <w:lvl w:ilvl="5" w:tplc="0405001B" w:tentative="1">
      <w:start w:val="1"/>
      <w:numFmt w:val="lowerRoman"/>
      <w:lvlText w:val="%6."/>
      <w:lvlJc w:val="right"/>
      <w:pPr>
        <w:ind w:left="5006" w:hanging="180"/>
      </w:pPr>
    </w:lvl>
    <w:lvl w:ilvl="6" w:tplc="0405000F" w:tentative="1">
      <w:start w:val="1"/>
      <w:numFmt w:val="decimal"/>
      <w:lvlText w:val="%7."/>
      <w:lvlJc w:val="left"/>
      <w:pPr>
        <w:ind w:left="5726" w:hanging="360"/>
      </w:pPr>
    </w:lvl>
    <w:lvl w:ilvl="7" w:tplc="04050019" w:tentative="1">
      <w:start w:val="1"/>
      <w:numFmt w:val="lowerLetter"/>
      <w:lvlText w:val="%8."/>
      <w:lvlJc w:val="left"/>
      <w:pPr>
        <w:ind w:left="6446" w:hanging="360"/>
      </w:pPr>
    </w:lvl>
    <w:lvl w:ilvl="8" w:tplc="040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5">
    <w:nsid w:val="250207DB"/>
    <w:multiLevelType w:val="hybridMultilevel"/>
    <w:tmpl w:val="FF18C3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E1406C"/>
    <w:multiLevelType w:val="hybridMultilevel"/>
    <w:tmpl w:val="458A269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DEB3A36"/>
    <w:multiLevelType w:val="hybridMultilevel"/>
    <w:tmpl w:val="C0CA9B26"/>
    <w:lvl w:ilvl="0" w:tplc="040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8">
    <w:nsid w:val="33B55CBC"/>
    <w:multiLevelType w:val="hybridMultilevel"/>
    <w:tmpl w:val="C7127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229AA"/>
    <w:multiLevelType w:val="hybridMultilevel"/>
    <w:tmpl w:val="51DA6A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BB2AD3"/>
    <w:multiLevelType w:val="multilevel"/>
    <w:tmpl w:val="1A40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9F7E7F"/>
    <w:multiLevelType w:val="hybridMultilevel"/>
    <w:tmpl w:val="AE322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865B6"/>
    <w:multiLevelType w:val="hybridMultilevel"/>
    <w:tmpl w:val="6F707B12"/>
    <w:lvl w:ilvl="0" w:tplc="9DB01334">
      <w:start w:val="1"/>
      <w:numFmt w:val="upperLetter"/>
      <w:lvlText w:val="%1."/>
      <w:lvlJc w:val="left"/>
      <w:pPr>
        <w:ind w:left="720" w:hanging="360"/>
      </w:pPr>
      <w:rPr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063DB"/>
    <w:multiLevelType w:val="hybridMultilevel"/>
    <w:tmpl w:val="4216A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C152E"/>
    <w:multiLevelType w:val="hybridMultilevel"/>
    <w:tmpl w:val="54467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4C43BD"/>
    <w:multiLevelType w:val="hybridMultilevel"/>
    <w:tmpl w:val="EB3C1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1E17BE"/>
    <w:multiLevelType w:val="hybridMultilevel"/>
    <w:tmpl w:val="3732D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B6D08"/>
    <w:multiLevelType w:val="hybridMultilevel"/>
    <w:tmpl w:val="4442F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82A9A"/>
    <w:multiLevelType w:val="hybridMultilevel"/>
    <w:tmpl w:val="11044B5A"/>
    <w:lvl w:ilvl="0" w:tplc="44389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8B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65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CC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8B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6C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4D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CB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2B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7662AA1"/>
    <w:multiLevelType w:val="hybridMultilevel"/>
    <w:tmpl w:val="4C222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63D20"/>
    <w:multiLevelType w:val="hybridMultilevel"/>
    <w:tmpl w:val="69AC63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3F2E47"/>
    <w:multiLevelType w:val="hybridMultilevel"/>
    <w:tmpl w:val="21ECA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07368"/>
    <w:multiLevelType w:val="hybridMultilevel"/>
    <w:tmpl w:val="A664D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D44646"/>
    <w:multiLevelType w:val="hybridMultilevel"/>
    <w:tmpl w:val="5EF0A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45502"/>
    <w:multiLevelType w:val="hybridMultilevel"/>
    <w:tmpl w:val="B1AEFF08"/>
    <w:lvl w:ilvl="0" w:tplc="B90A4CFC">
      <w:start w:val="1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5">
    <w:nsid w:val="65A41185"/>
    <w:multiLevelType w:val="hybridMultilevel"/>
    <w:tmpl w:val="B0CAEB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A81D88"/>
    <w:multiLevelType w:val="hybridMultilevel"/>
    <w:tmpl w:val="455C4CCE"/>
    <w:lvl w:ilvl="0" w:tplc="040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7">
    <w:nsid w:val="65C34766"/>
    <w:multiLevelType w:val="hybridMultilevel"/>
    <w:tmpl w:val="5B2C20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50BC7"/>
    <w:multiLevelType w:val="hybridMultilevel"/>
    <w:tmpl w:val="FD58E664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9">
    <w:nsid w:val="67353A85"/>
    <w:multiLevelType w:val="hybridMultilevel"/>
    <w:tmpl w:val="6A024890"/>
    <w:lvl w:ilvl="0" w:tplc="9DB01334">
      <w:start w:val="1"/>
      <w:numFmt w:val="upperLetter"/>
      <w:lvlText w:val="%1."/>
      <w:lvlJc w:val="left"/>
      <w:pPr>
        <w:ind w:left="720" w:hanging="360"/>
      </w:pPr>
      <w:rPr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F157C"/>
    <w:multiLevelType w:val="hybridMultilevel"/>
    <w:tmpl w:val="CBFE5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3D7E4C"/>
    <w:multiLevelType w:val="hybridMultilevel"/>
    <w:tmpl w:val="0DC6C58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7E4517"/>
    <w:multiLevelType w:val="hybridMultilevel"/>
    <w:tmpl w:val="7BE43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777A08"/>
    <w:multiLevelType w:val="hybridMultilevel"/>
    <w:tmpl w:val="C9043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44F6E"/>
    <w:multiLevelType w:val="hybridMultilevel"/>
    <w:tmpl w:val="F76C8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2D62A1"/>
    <w:multiLevelType w:val="hybridMultilevel"/>
    <w:tmpl w:val="FC2A5E8C"/>
    <w:lvl w:ilvl="0" w:tplc="B19070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6D07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E7C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FE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001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E80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01F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E15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9C3A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2"/>
  </w:num>
  <w:num w:numId="4">
    <w:abstractNumId w:val="11"/>
  </w:num>
  <w:num w:numId="5">
    <w:abstractNumId w:val="16"/>
  </w:num>
  <w:num w:numId="6">
    <w:abstractNumId w:val="23"/>
  </w:num>
  <w:num w:numId="7">
    <w:abstractNumId w:val="42"/>
  </w:num>
  <w:num w:numId="8">
    <w:abstractNumId w:val="1"/>
  </w:num>
  <w:num w:numId="9">
    <w:abstractNumId w:val="38"/>
  </w:num>
  <w:num w:numId="10">
    <w:abstractNumId w:val="17"/>
  </w:num>
  <w:num w:numId="11">
    <w:abstractNumId w:val="36"/>
  </w:num>
  <w:num w:numId="12">
    <w:abstractNumId w:val="6"/>
  </w:num>
  <w:num w:numId="13">
    <w:abstractNumId w:val="15"/>
  </w:num>
  <w:num w:numId="14">
    <w:abstractNumId w:val="18"/>
  </w:num>
  <w:num w:numId="15">
    <w:abstractNumId w:val="31"/>
  </w:num>
  <w:num w:numId="16">
    <w:abstractNumId w:val="13"/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5"/>
  </w:num>
  <w:num w:numId="19">
    <w:abstractNumId w:val="44"/>
  </w:num>
  <w:num w:numId="20">
    <w:abstractNumId w:val="40"/>
  </w:num>
  <w:num w:numId="21">
    <w:abstractNumId w:val="26"/>
  </w:num>
  <w:num w:numId="22">
    <w:abstractNumId w:val="12"/>
  </w:num>
  <w:num w:numId="23">
    <w:abstractNumId w:val="27"/>
  </w:num>
  <w:num w:numId="24">
    <w:abstractNumId w:val="29"/>
  </w:num>
  <w:num w:numId="25">
    <w:abstractNumId w:val="43"/>
  </w:num>
  <w:num w:numId="26">
    <w:abstractNumId w:val="5"/>
  </w:num>
  <w:num w:numId="27">
    <w:abstractNumId w:val="7"/>
  </w:num>
  <w:num w:numId="28">
    <w:abstractNumId w:val="2"/>
  </w:num>
  <w:num w:numId="29">
    <w:abstractNumId w:val="3"/>
  </w:num>
  <w:num w:numId="30">
    <w:abstractNumId w:val="33"/>
  </w:num>
  <w:num w:numId="31">
    <w:abstractNumId w:val="41"/>
  </w:num>
  <w:num w:numId="32">
    <w:abstractNumId w:val="14"/>
  </w:num>
  <w:num w:numId="33">
    <w:abstractNumId w:val="19"/>
  </w:num>
  <w:num w:numId="34">
    <w:abstractNumId w:val="9"/>
  </w:num>
  <w:num w:numId="35">
    <w:abstractNumId w:val="10"/>
  </w:num>
  <w:num w:numId="36">
    <w:abstractNumId w:val="35"/>
  </w:num>
  <w:num w:numId="37">
    <w:abstractNumId w:val="8"/>
  </w:num>
  <w:num w:numId="38">
    <w:abstractNumId w:val="4"/>
  </w:num>
  <w:num w:numId="39">
    <w:abstractNumId w:val="39"/>
  </w:num>
  <w:num w:numId="40">
    <w:abstractNumId w:val="22"/>
  </w:num>
  <w:num w:numId="41">
    <w:abstractNumId w:val="30"/>
  </w:num>
  <w:num w:numId="42">
    <w:abstractNumId w:val="28"/>
  </w:num>
  <w:num w:numId="43">
    <w:abstractNumId w:val="37"/>
  </w:num>
  <w:num w:numId="44">
    <w:abstractNumId w:val="34"/>
  </w:num>
  <w:num w:numId="45">
    <w:abstractNumId w:val="0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427FE"/>
    <w:rsid w:val="00010237"/>
    <w:rsid w:val="00075A8F"/>
    <w:rsid w:val="000945B7"/>
    <w:rsid w:val="000C0315"/>
    <w:rsid w:val="000D3C44"/>
    <w:rsid w:val="000D6933"/>
    <w:rsid w:val="001040D6"/>
    <w:rsid w:val="0013550F"/>
    <w:rsid w:val="001D6B05"/>
    <w:rsid w:val="00235F6C"/>
    <w:rsid w:val="002C7A24"/>
    <w:rsid w:val="002F3D07"/>
    <w:rsid w:val="002F5C25"/>
    <w:rsid w:val="002F7C92"/>
    <w:rsid w:val="00323E6A"/>
    <w:rsid w:val="0038481B"/>
    <w:rsid w:val="003A0CF8"/>
    <w:rsid w:val="003B4F18"/>
    <w:rsid w:val="003F5AD0"/>
    <w:rsid w:val="00403A22"/>
    <w:rsid w:val="00431641"/>
    <w:rsid w:val="004569BD"/>
    <w:rsid w:val="00466EB8"/>
    <w:rsid w:val="00481072"/>
    <w:rsid w:val="00554B56"/>
    <w:rsid w:val="005854D0"/>
    <w:rsid w:val="005F12F0"/>
    <w:rsid w:val="00600B5F"/>
    <w:rsid w:val="0060380F"/>
    <w:rsid w:val="006427FE"/>
    <w:rsid w:val="00647536"/>
    <w:rsid w:val="00650CCB"/>
    <w:rsid w:val="006F081B"/>
    <w:rsid w:val="006F235F"/>
    <w:rsid w:val="00723795"/>
    <w:rsid w:val="00745A76"/>
    <w:rsid w:val="00786C39"/>
    <w:rsid w:val="00796E0B"/>
    <w:rsid w:val="0086382A"/>
    <w:rsid w:val="00876C59"/>
    <w:rsid w:val="00881E2C"/>
    <w:rsid w:val="008A294B"/>
    <w:rsid w:val="008D0EA1"/>
    <w:rsid w:val="00915AB6"/>
    <w:rsid w:val="00974B7C"/>
    <w:rsid w:val="00A3213E"/>
    <w:rsid w:val="00A42521"/>
    <w:rsid w:val="00A754C9"/>
    <w:rsid w:val="00A829F6"/>
    <w:rsid w:val="00B57191"/>
    <w:rsid w:val="00B65AE9"/>
    <w:rsid w:val="00B76FF5"/>
    <w:rsid w:val="00C424DE"/>
    <w:rsid w:val="00C5407F"/>
    <w:rsid w:val="00C72986"/>
    <w:rsid w:val="00CC1483"/>
    <w:rsid w:val="00CD6B1C"/>
    <w:rsid w:val="00D00424"/>
    <w:rsid w:val="00D10515"/>
    <w:rsid w:val="00D60D9F"/>
    <w:rsid w:val="00D67C80"/>
    <w:rsid w:val="00D77022"/>
    <w:rsid w:val="00D81EFA"/>
    <w:rsid w:val="00DF2FEF"/>
    <w:rsid w:val="00E73042"/>
    <w:rsid w:val="00EB7D02"/>
    <w:rsid w:val="00EE4A6B"/>
    <w:rsid w:val="00EF5E99"/>
    <w:rsid w:val="00F73166"/>
    <w:rsid w:val="00F7424F"/>
    <w:rsid w:val="00F80301"/>
    <w:rsid w:val="00FA0C8F"/>
    <w:rsid w:val="00FA1E1E"/>
    <w:rsid w:val="00FB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424"/>
  </w:style>
  <w:style w:type="paragraph" w:styleId="Nadpis2">
    <w:name w:val="heading 2"/>
    <w:basedOn w:val="Normln"/>
    <w:link w:val="Nadpis2Char"/>
    <w:uiPriority w:val="9"/>
    <w:qFormat/>
    <w:rsid w:val="00B65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7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031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7C92"/>
    <w:rPr>
      <w:color w:val="800080" w:themeColor="followedHyperlink"/>
      <w:u w:val="single"/>
    </w:rPr>
  </w:style>
  <w:style w:type="paragraph" w:customStyle="1" w:styleId="Default">
    <w:name w:val="Default"/>
    <w:rsid w:val="00F731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65A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7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031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7C92"/>
    <w:rPr>
      <w:color w:val="800080" w:themeColor="followedHyperlink"/>
      <w:u w:val="single"/>
    </w:rPr>
  </w:style>
  <w:style w:type="paragraph" w:customStyle="1" w:styleId="Default">
    <w:name w:val="Default"/>
    <w:rsid w:val="00F731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6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1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es-online.de" TargetMode="External"/><Relationship Id="rId13" Type="http://schemas.openxmlformats.org/officeDocument/2006/relationships/hyperlink" Target="http://www.fh-bonn-rhein-sieg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eren.de" TargetMode="External"/><Relationship Id="rId12" Type="http://schemas.openxmlformats.org/officeDocument/2006/relationships/hyperlink" Target="http://www.ausl&#228;nderstudium.de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bf.de" TargetMode="External"/><Relationship Id="rId11" Type="http://schemas.openxmlformats.org/officeDocument/2006/relationships/hyperlink" Target="http://www.anabin.de/" TargetMode="External"/><Relationship Id="rId5" Type="http://schemas.openxmlformats.org/officeDocument/2006/relationships/hyperlink" Target="http://www.no-abilities.de/143-Saarland-kippt-Studiengebuehren-ab-dem-Sommersemester-2010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o-abilitie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fors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1427</Words>
  <Characters>8423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</dc:creator>
  <cp:lastModifiedBy>Your User Name</cp:lastModifiedBy>
  <cp:revision>2</cp:revision>
  <dcterms:created xsi:type="dcterms:W3CDTF">2012-12-06T16:31:00Z</dcterms:created>
  <dcterms:modified xsi:type="dcterms:W3CDTF">2012-12-06T16:31:00Z</dcterms:modified>
</cp:coreProperties>
</file>