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3D" w:rsidRPr="00D85C4B" w:rsidRDefault="0038333D" w:rsidP="00D85C4B">
      <w:pPr>
        <w:spacing w:line="360" w:lineRule="auto"/>
        <w:ind w:firstLine="397"/>
        <w:jc w:val="center"/>
        <w:rPr>
          <w:b/>
          <w:sz w:val="32"/>
          <w:szCs w:val="32"/>
        </w:rPr>
      </w:pPr>
      <w:r w:rsidRPr="00D85C4B">
        <w:rPr>
          <w:b/>
          <w:sz w:val="32"/>
          <w:szCs w:val="32"/>
        </w:rPr>
        <w:t>Projekt závěrečné práce</w:t>
      </w:r>
    </w:p>
    <w:p w:rsidR="0038333D" w:rsidRPr="00D85C4B" w:rsidRDefault="0038333D" w:rsidP="00D85C4B">
      <w:pPr>
        <w:spacing w:line="360" w:lineRule="auto"/>
        <w:ind w:firstLine="397"/>
        <w:jc w:val="center"/>
        <w:rPr>
          <w:b/>
        </w:rPr>
      </w:pPr>
      <w:r w:rsidRPr="00D85C4B">
        <w:rPr>
          <w:b/>
        </w:rPr>
        <w:t>bakalářské - diplomové – rigorózní - doktorské</w:t>
      </w:r>
    </w:p>
    <w:p w:rsidR="0038333D" w:rsidRPr="0038333D" w:rsidRDefault="0038333D" w:rsidP="00D85C4B">
      <w:pPr>
        <w:spacing w:line="360" w:lineRule="auto"/>
        <w:ind w:firstLine="397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Autor projektu, UČO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>
              <w:t>Barbora Počinková, 433135</w:t>
            </w:r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Studijní program, obor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402FD3" w:rsidP="00D85C4B">
            <w:pPr>
              <w:spacing w:line="360" w:lineRule="auto"/>
              <w:ind w:firstLine="397"/>
              <w:jc w:val="both"/>
            </w:pPr>
            <w:r>
              <w:t>Speciální pedagogika, Speciální pedagogika – komunikační techniky</w:t>
            </w:r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Datum předložení projektu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Téma práce česky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38333D" w:rsidP="00A14B3E">
            <w:pPr>
              <w:spacing w:line="360" w:lineRule="auto"/>
              <w:ind w:firstLine="397"/>
              <w:jc w:val="both"/>
            </w:pPr>
            <w:r>
              <w:t xml:space="preserve">Logopedická intervence u dětí s </w:t>
            </w:r>
            <w:r w:rsidR="00A14B3E">
              <w:t>balbuties</w:t>
            </w:r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Klíčová slova česky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>
              <w:t>Logopedie, logopedická intervence, narušená komunikační schopnost, narušená plynulost řeči, koktavost</w:t>
            </w:r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Téma práce anglicky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FE628C" w:rsidP="00D85C4B">
            <w:pPr>
              <w:spacing w:line="360" w:lineRule="auto"/>
              <w:ind w:firstLine="397"/>
              <w:jc w:val="both"/>
            </w:pP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therapy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stammering</w:t>
            </w:r>
            <w:proofErr w:type="spellEnd"/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Klíčová slova anglicky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DE2288" w:rsidP="00D85C4B">
            <w:pPr>
              <w:spacing w:line="360" w:lineRule="auto"/>
              <w:ind w:firstLine="397"/>
              <w:jc w:val="both"/>
            </w:pP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therapy</w:t>
            </w:r>
            <w:proofErr w:type="spellEnd"/>
            <w:r>
              <w:t>,</w:t>
            </w:r>
            <w:r w:rsidR="00FE628C">
              <w:t xml:space="preserve"> </w:t>
            </w:r>
            <w:proofErr w:type="spellStart"/>
            <w:r w:rsidR="00FE628C">
              <w:t>speech</w:t>
            </w:r>
            <w:proofErr w:type="spellEnd"/>
            <w:r w:rsidR="00FE628C">
              <w:t xml:space="preserve"> </w:t>
            </w:r>
            <w:proofErr w:type="spellStart"/>
            <w:r w:rsidR="00FE628C">
              <w:t>therapy</w:t>
            </w:r>
            <w:proofErr w:type="spellEnd"/>
            <w:r w:rsidR="00FE628C">
              <w:t xml:space="preserve"> </w:t>
            </w:r>
            <w:proofErr w:type="spellStart"/>
            <w:r w:rsidR="00FE628C">
              <w:t>intervention</w:t>
            </w:r>
            <w:proofErr w:type="spellEnd"/>
            <w:r w:rsidR="00FE628C">
              <w:t xml:space="preserve">, </w:t>
            </w:r>
            <w:proofErr w:type="spellStart"/>
            <w:r w:rsidR="00FE628C">
              <w:t>communication</w:t>
            </w:r>
            <w:proofErr w:type="spellEnd"/>
            <w:r w:rsidR="00FE628C">
              <w:t xml:space="preserve"> </w:t>
            </w:r>
            <w:proofErr w:type="spellStart"/>
            <w:r w:rsidR="00FE628C">
              <w:t>disorder</w:t>
            </w:r>
            <w:proofErr w:type="spellEnd"/>
            <w:r w:rsidR="00FE628C">
              <w:t xml:space="preserve">, disturbance </w:t>
            </w:r>
            <w:proofErr w:type="spellStart"/>
            <w:r w:rsidR="00FE628C">
              <w:t>of</w:t>
            </w:r>
            <w:proofErr w:type="spellEnd"/>
            <w:r w:rsidR="00FE628C">
              <w:t xml:space="preserve"> </w:t>
            </w:r>
            <w:proofErr w:type="spellStart"/>
            <w:r w:rsidR="00FE628C">
              <w:t>speech</w:t>
            </w:r>
            <w:proofErr w:type="spellEnd"/>
            <w:r w:rsidR="00FE628C">
              <w:t xml:space="preserve">, </w:t>
            </w:r>
            <w:proofErr w:type="spellStart"/>
            <w:r w:rsidR="00FE628C">
              <w:t>stammer</w:t>
            </w:r>
            <w:proofErr w:type="spellEnd"/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Vedoucí práce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</w:p>
        </w:tc>
      </w:tr>
      <w:tr w:rsidR="0038333D" w:rsidRPr="0038333D" w:rsidTr="0038333D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  <w:r w:rsidRPr="0038333D">
              <w:t>Katedra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D" w:rsidRPr="0038333D" w:rsidRDefault="0038333D" w:rsidP="00D85C4B">
            <w:pPr>
              <w:spacing w:line="360" w:lineRule="auto"/>
              <w:ind w:firstLine="397"/>
              <w:jc w:val="both"/>
            </w:pPr>
          </w:p>
        </w:tc>
      </w:tr>
    </w:tbl>
    <w:p w:rsidR="0038333D" w:rsidRPr="0038333D" w:rsidRDefault="0038333D" w:rsidP="00D85C4B">
      <w:pPr>
        <w:spacing w:line="360" w:lineRule="auto"/>
        <w:ind w:firstLine="397"/>
        <w:jc w:val="both"/>
      </w:pPr>
    </w:p>
    <w:p w:rsidR="0035086A" w:rsidRDefault="0035086A" w:rsidP="00700A0D">
      <w:pPr>
        <w:spacing w:line="360" w:lineRule="auto"/>
        <w:jc w:val="both"/>
        <w:rPr>
          <w:b/>
        </w:rPr>
      </w:pPr>
    </w:p>
    <w:p w:rsidR="00295E4D" w:rsidRDefault="00295E4D" w:rsidP="00700A0D">
      <w:pPr>
        <w:spacing w:line="360" w:lineRule="auto"/>
        <w:jc w:val="both"/>
        <w:rPr>
          <w:b/>
        </w:rPr>
      </w:pPr>
    </w:p>
    <w:p w:rsidR="00295E4D" w:rsidRPr="00700A0D" w:rsidRDefault="00295E4D" w:rsidP="00700A0D">
      <w:pPr>
        <w:spacing w:line="360" w:lineRule="auto"/>
        <w:jc w:val="both"/>
        <w:rPr>
          <w:b/>
        </w:rPr>
      </w:pPr>
    </w:p>
    <w:p w:rsidR="0035086A" w:rsidRPr="008D5798" w:rsidRDefault="0035086A" w:rsidP="008D5798">
      <w:pPr>
        <w:pStyle w:val="Odstavecseseznamem"/>
        <w:numPr>
          <w:ilvl w:val="0"/>
          <w:numId w:val="9"/>
        </w:numPr>
        <w:spacing w:line="360" w:lineRule="auto"/>
        <w:jc w:val="both"/>
        <w:rPr>
          <w:b/>
        </w:rPr>
      </w:pPr>
      <w:r w:rsidRPr="008D5798">
        <w:rPr>
          <w:b/>
          <w:sz w:val="28"/>
          <w:szCs w:val="28"/>
        </w:rPr>
        <w:t>Vymezení řešené problematiky a základních pojmů (dle tématu práce</w:t>
      </w:r>
      <w:r w:rsidRPr="008D5798">
        <w:rPr>
          <w:b/>
        </w:rPr>
        <w:t>)</w:t>
      </w:r>
    </w:p>
    <w:p w:rsidR="007466B9" w:rsidRDefault="00EB2AE6" w:rsidP="0035086A">
      <w:pPr>
        <w:spacing w:line="360" w:lineRule="auto"/>
        <w:jc w:val="both"/>
      </w:pPr>
      <w:r>
        <w:t xml:space="preserve">   Koktavost </w:t>
      </w:r>
      <w:r w:rsidR="00DD31A5">
        <w:t xml:space="preserve">(balbuties) </w:t>
      </w:r>
      <w:r>
        <w:t>řadíme spolu s breptavostí do skupiny narušení plynulosti řeči</w:t>
      </w:r>
      <w:r w:rsidR="00DD31A5">
        <w:t>. Zaobírá se jí celá řada vědních disciplín</w:t>
      </w:r>
      <w:r>
        <w:t xml:space="preserve"> </w:t>
      </w:r>
      <w:r w:rsidR="00DD31A5">
        <w:t xml:space="preserve">různých oborů. Z nich si uvedeme například obory psychologické, lékařské, logopedické či lingvistické. Jelikož problematika koktavosti je velmi rozsáhlá, vytvořil se v oblasti logopedie samostatný podobor zabývající se speciálně tímto narušením komunikační schopnosti. Název daného podoboru se </w:t>
      </w:r>
      <w:r w:rsidR="008C53E6">
        <w:t xml:space="preserve">odvíjí od odborného názvu koktavosti – balbuties. Říkáme mu tedy </w:t>
      </w:r>
      <w:proofErr w:type="spellStart"/>
      <w:r w:rsidR="008C53E6">
        <w:t>balbutologie</w:t>
      </w:r>
      <w:proofErr w:type="spellEnd"/>
      <w:r w:rsidR="008C53E6">
        <w:t xml:space="preserve"> </w:t>
      </w:r>
      <w:r>
        <w:t xml:space="preserve">(Klenková, 2006). </w:t>
      </w:r>
    </w:p>
    <w:p w:rsidR="0023124F" w:rsidRDefault="005E2178" w:rsidP="0035086A">
      <w:pPr>
        <w:spacing w:line="360" w:lineRule="auto"/>
        <w:jc w:val="both"/>
      </w:pPr>
      <w:r>
        <w:t xml:space="preserve">   </w:t>
      </w:r>
      <w:proofErr w:type="spellStart"/>
      <w:r>
        <w:t>Pipeková</w:t>
      </w:r>
      <w:proofErr w:type="spellEnd"/>
      <w:r>
        <w:t xml:space="preserve"> (1998) charakterizuje koktavost jako </w:t>
      </w:r>
      <w:r w:rsidR="00CE5360">
        <w:t>souhrnné</w:t>
      </w:r>
      <w:bookmarkStart w:id="0" w:name="_GoBack"/>
      <w:bookmarkEnd w:id="0"/>
      <w:r>
        <w:t xml:space="preserve"> narušení koordinace orgánů, které se podílí na mluvení, projevující se nedobrovolným přerušováním plynulosti řeči.</w:t>
      </w:r>
      <w:r w:rsidR="00EA02E3">
        <w:t xml:space="preserve"> </w:t>
      </w:r>
      <w:proofErr w:type="spellStart"/>
      <w:r w:rsidR="00EA02E3">
        <w:t>Slowík</w:t>
      </w:r>
      <w:proofErr w:type="spellEnd"/>
      <w:r w:rsidR="00EA02E3">
        <w:t xml:space="preserve"> (2007) dělí toto přerušování na tonické, klonické a smíšené křeče svalstva mluvních orgánů, které mohou být doprovázeny různými koverbálními projevy v chování.</w:t>
      </w:r>
    </w:p>
    <w:p w:rsidR="00582DD3" w:rsidRPr="00582DD3" w:rsidRDefault="00582DD3" w:rsidP="0035086A">
      <w:pPr>
        <w:spacing w:line="360" w:lineRule="auto"/>
        <w:jc w:val="both"/>
        <w:rPr>
          <w:i/>
        </w:rPr>
      </w:pPr>
      <w:r>
        <w:lastRenderedPageBreak/>
        <w:t xml:space="preserve">   Ucelenou definici koktavosti, která je u nás stále využívaná, předložil </w:t>
      </w:r>
      <w:proofErr w:type="spellStart"/>
      <w:r>
        <w:t>Lechta</w:t>
      </w:r>
      <w:proofErr w:type="spellEnd"/>
      <w:r>
        <w:t xml:space="preserve"> (1990): </w:t>
      </w:r>
      <w:r w:rsidRPr="00582DD3">
        <w:rPr>
          <w:i/>
        </w:rPr>
        <w:t>„Koktavost pokládáme za syndrom komplexního narušení koordinace orgánů participujících na</w:t>
      </w:r>
      <w:r w:rsidR="009F34B5">
        <w:rPr>
          <w:i/>
        </w:rPr>
        <w:t xml:space="preserve"> </w:t>
      </w:r>
      <w:r w:rsidRPr="00582DD3">
        <w:rPr>
          <w:i/>
        </w:rPr>
        <w:t>mluvení, který se nejnápadněji projevuje charakteristickým nedobrovolným (tonickým, klonickým) přerušováním plynulosti procesu mluvení.“</w:t>
      </w:r>
    </w:p>
    <w:p w:rsidR="0023124F" w:rsidRDefault="0023124F" w:rsidP="0035086A">
      <w:pPr>
        <w:spacing w:line="360" w:lineRule="auto"/>
        <w:jc w:val="both"/>
      </w:pPr>
      <w:r>
        <w:t xml:space="preserve">   </w:t>
      </w:r>
      <w:r w:rsidR="00680635">
        <w:t xml:space="preserve">Koktavost můžeme rozdělovat dle různých hledisek. Jeden typ takového dělení </w:t>
      </w:r>
      <w:r w:rsidR="009E6FA0">
        <w:t xml:space="preserve">uvádí </w:t>
      </w:r>
      <w:proofErr w:type="spellStart"/>
      <w:r w:rsidR="009E6FA0">
        <w:t>Lechta</w:t>
      </w:r>
      <w:proofErr w:type="spellEnd"/>
      <w:r w:rsidR="009E6FA0">
        <w:t xml:space="preserve"> (1990, I</w:t>
      </w:r>
      <w:r w:rsidR="00680635">
        <w:t>n</w:t>
      </w:r>
      <w:r w:rsidR="009E6FA0">
        <w:t>:</w:t>
      </w:r>
      <w:r w:rsidR="00680635">
        <w:t xml:space="preserve"> Klenková, 2006) :</w:t>
      </w:r>
    </w:p>
    <w:p w:rsidR="00680635" w:rsidRDefault="00421187" w:rsidP="00680635">
      <w:pPr>
        <w:pStyle w:val="Odstavecseseznamem"/>
        <w:numPr>
          <w:ilvl w:val="0"/>
          <w:numId w:val="8"/>
        </w:numPr>
        <w:spacing w:line="360" w:lineRule="auto"/>
        <w:jc w:val="both"/>
      </w:pPr>
      <w:r>
        <w:t>d</w:t>
      </w:r>
      <w:r w:rsidR="00680635">
        <w:t>ělení dle vzniku koktavosti</w:t>
      </w:r>
      <w:r>
        <w:t xml:space="preserve"> – koktavost předčasná, obvyklá, pozdní</w:t>
      </w:r>
    </w:p>
    <w:p w:rsidR="00421187" w:rsidRDefault="00421187" w:rsidP="00680635">
      <w:pPr>
        <w:pStyle w:val="Odstavecseseznamem"/>
        <w:numPr>
          <w:ilvl w:val="0"/>
          <w:numId w:val="8"/>
        </w:numPr>
        <w:spacing w:line="360" w:lineRule="auto"/>
        <w:jc w:val="both"/>
      </w:pPr>
      <w:r>
        <w:t xml:space="preserve">dle verbálních symptomů – koktavost tonická, klonická, </w:t>
      </w:r>
      <w:proofErr w:type="spellStart"/>
      <w:r>
        <w:t>tonoklonická</w:t>
      </w:r>
      <w:proofErr w:type="spellEnd"/>
      <w:r>
        <w:t xml:space="preserve"> a </w:t>
      </w:r>
      <w:proofErr w:type="spellStart"/>
      <w:r>
        <w:t>klonotonická</w:t>
      </w:r>
      <w:proofErr w:type="spellEnd"/>
    </w:p>
    <w:p w:rsidR="00421187" w:rsidRDefault="00421187" w:rsidP="00680635">
      <w:pPr>
        <w:pStyle w:val="Odstavecseseznamem"/>
        <w:numPr>
          <w:ilvl w:val="0"/>
          <w:numId w:val="8"/>
        </w:numPr>
        <w:spacing w:line="360" w:lineRule="auto"/>
        <w:jc w:val="both"/>
      </w:pPr>
      <w:r>
        <w:t xml:space="preserve">dle původu – fyziologická, traumatická, hysterická, </w:t>
      </w:r>
      <w:proofErr w:type="spellStart"/>
      <w:r>
        <w:t>dysfatická</w:t>
      </w:r>
      <w:proofErr w:type="spellEnd"/>
      <w:r>
        <w:t>, dysartrická koktavost a koktavost kombinovaná s dysartrií</w:t>
      </w:r>
    </w:p>
    <w:p w:rsidR="00421187" w:rsidRDefault="00421187" w:rsidP="00680635">
      <w:pPr>
        <w:pStyle w:val="Odstavecseseznamem"/>
        <w:numPr>
          <w:ilvl w:val="0"/>
          <w:numId w:val="8"/>
        </w:numPr>
        <w:spacing w:line="360" w:lineRule="auto"/>
        <w:jc w:val="both"/>
      </w:pPr>
      <w:r>
        <w:t>dle stupně – od minimálních příznaků až po ty nejtěžší</w:t>
      </w:r>
    </w:p>
    <w:p w:rsidR="00421187" w:rsidRDefault="00421187" w:rsidP="00680635">
      <w:pPr>
        <w:pStyle w:val="Odstavecseseznamem"/>
        <w:numPr>
          <w:ilvl w:val="0"/>
          <w:numId w:val="8"/>
        </w:numPr>
        <w:spacing w:line="360" w:lineRule="auto"/>
        <w:jc w:val="both"/>
      </w:pPr>
      <w:r>
        <w:t xml:space="preserve">dle uvědomění si poruchy – </w:t>
      </w:r>
      <w:proofErr w:type="spellStart"/>
      <w:r>
        <w:t>inscientní</w:t>
      </w:r>
      <w:proofErr w:type="spellEnd"/>
      <w:r>
        <w:t xml:space="preserve"> a frustrační</w:t>
      </w:r>
      <w:r w:rsidR="007F6CBD">
        <w:t xml:space="preserve"> forma</w:t>
      </w:r>
    </w:p>
    <w:p w:rsidR="007F6CBD" w:rsidRDefault="007F6CBD" w:rsidP="007F6CBD">
      <w:pPr>
        <w:spacing w:line="360" w:lineRule="auto"/>
        <w:jc w:val="both"/>
      </w:pPr>
      <w:r>
        <w:t xml:space="preserve">   Již po přečtení tohoto typu dělení si jistě čtenář dokáže představit, jak rozsáhlá a složitá je problematika koktavosti, která se dotýká všech částí člověka, a to nejen stránky fyzické, ale i psychické.</w:t>
      </w:r>
    </w:p>
    <w:p w:rsidR="00FD1E25" w:rsidRDefault="00FD1E25" w:rsidP="007F6CBD">
      <w:pPr>
        <w:spacing w:line="360" w:lineRule="auto"/>
        <w:jc w:val="both"/>
      </w:pPr>
      <w:r>
        <w:t xml:space="preserve">   </w:t>
      </w:r>
      <w:r w:rsidR="009E6FA0">
        <w:t xml:space="preserve">Balbuties může vznikat z různých příčin. Velikou důležitost zde zaujímá dědičnost. Uvádí se, že 40 – 60% případů je zapříčiněno právě dědičností. </w:t>
      </w:r>
      <w:r w:rsidR="007045C5">
        <w:t xml:space="preserve">Dále panuje názor že, koktavost může být způsobena negativními vlivy prostředí, zejména dlouhotrvajícím stres v rodinném či školním prostředí (Klenková, 2006). Tento názor nezastávají </w:t>
      </w:r>
      <w:proofErr w:type="spellStart"/>
      <w:r w:rsidR="007045C5">
        <w:t>Lechta</w:t>
      </w:r>
      <w:proofErr w:type="spellEnd"/>
      <w:r w:rsidR="007045C5">
        <w:t xml:space="preserve"> a </w:t>
      </w:r>
      <w:proofErr w:type="spellStart"/>
      <w:r w:rsidR="007045C5">
        <w:t>Králiková</w:t>
      </w:r>
      <w:proofErr w:type="spellEnd"/>
      <w:r w:rsidR="007045C5">
        <w:t xml:space="preserve"> (2011), avšak nepopírají, že špatné vlivy prostředí mají významný vliv na již rozvíjející se koktavost jakožto fixující faktor. </w:t>
      </w:r>
    </w:p>
    <w:p w:rsidR="007045C5" w:rsidRDefault="007045C5" w:rsidP="007F6CBD">
      <w:pPr>
        <w:spacing w:line="360" w:lineRule="auto"/>
        <w:jc w:val="both"/>
      </w:pPr>
      <w:r>
        <w:t xml:space="preserve">   Dalšími z možných příčin vzniku koktavosti jsou různá </w:t>
      </w:r>
      <w:proofErr w:type="spellStart"/>
      <w:r>
        <w:t>psychotraumata</w:t>
      </w:r>
      <w:proofErr w:type="spellEnd"/>
      <w:r>
        <w:t xml:space="preserve">, orgánové příčiny, </w:t>
      </w:r>
      <w:r w:rsidR="007D427B">
        <w:t>narušená sluchová zpětná vazba, vrozená řečová slabost, poruchy metabolismu či vegetativní labilita (Klenková, 2006).</w:t>
      </w:r>
    </w:p>
    <w:p w:rsidR="007D427B" w:rsidRDefault="007D427B" w:rsidP="007F6CBD">
      <w:pPr>
        <w:spacing w:line="360" w:lineRule="auto"/>
        <w:jc w:val="both"/>
      </w:pPr>
      <w:r>
        <w:t xml:space="preserve">   Již přežitým názorem na vznik koktavosti, panujícím zejména v minulém století, je, že koktavost je způsobena napodobováním svých vrstevníků (</w:t>
      </w:r>
      <w:proofErr w:type="spellStart"/>
      <w:r>
        <w:t>Lechta</w:t>
      </w:r>
      <w:proofErr w:type="spellEnd"/>
      <w:r>
        <w:t xml:space="preserve">, </w:t>
      </w:r>
      <w:proofErr w:type="spellStart"/>
      <w:r>
        <w:t>Králiková</w:t>
      </w:r>
      <w:proofErr w:type="spellEnd"/>
      <w:r>
        <w:t>, 2011).</w:t>
      </w:r>
    </w:p>
    <w:p w:rsidR="001D1BFF" w:rsidRDefault="001D1BFF" w:rsidP="007F6CBD">
      <w:pPr>
        <w:spacing w:line="360" w:lineRule="auto"/>
        <w:jc w:val="both"/>
      </w:pPr>
      <w:r>
        <w:t xml:space="preserve">   Příznaky koktavosti můžeme rozdělit na příznaky řečové a tělesné. Mezi řečové příznaky řadíme tzv. klony, kam patří opakování prvních a posledních slabik ve slově a nepřiměřené protahování délky slabik. Klony řadíme do lehčího stupně závažnosti. Pokud není situace řešena, přechází klony do stupně </w:t>
      </w:r>
      <w:r w:rsidR="000467C7">
        <w:t>závažnějšího, který tvoří tony. Ty se projevují tlakem na první slabiku, kdy se dítě nemůže posunout z místa. Po překonání křeče dítě vysloví dané slovo, které je již, stejně jako zbytek věty, často plynulé.</w:t>
      </w:r>
      <w:r w:rsidR="006A69AC">
        <w:t xml:space="preserve"> Tony a klony se velmi často vyskytují společně. V takovou chvíli označujeme příznaky jako </w:t>
      </w:r>
      <w:proofErr w:type="spellStart"/>
      <w:r w:rsidR="006A69AC">
        <w:t>tonoklony</w:t>
      </w:r>
      <w:proofErr w:type="spellEnd"/>
      <w:r w:rsidR="006A69AC">
        <w:t>.</w:t>
      </w:r>
    </w:p>
    <w:p w:rsidR="002D36AA" w:rsidRDefault="002D36AA" w:rsidP="007F6CBD">
      <w:pPr>
        <w:spacing w:line="360" w:lineRule="auto"/>
        <w:jc w:val="both"/>
      </w:pPr>
      <w:r>
        <w:lastRenderedPageBreak/>
        <w:t xml:space="preserve">   Do fyzických příznaků řadíme souhyby. Ty se objevují většinou na začátku mluvení a projevují se jako křečovité grimasy, záškuby některých svalů či přešlapování na místě. Dále sem řadíme součiny. </w:t>
      </w:r>
      <w:r w:rsidR="004B4356">
        <w:t>Těmi charakterizujeme situace</w:t>
      </w:r>
      <w:r w:rsidR="00F64711">
        <w:t>, pomocí kterých si dítě s koktavostí získává dostatek času pro překonání křeče a oddaluje začátek mluvení.</w:t>
      </w:r>
    </w:p>
    <w:p w:rsidR="00F64711" w:rsidRDefault="00F64711" w:rsidP="007F6CBD">
      <w:pPr>
        <w:spacing w:line="360" w:lineRule="auto"/>
        <w:jc w:val="both"/>
      </w:pPr>
      <w:r>
        <w:t xml:space="preserve">   Také sem paří různé tělesné příznaky, například bušení srdce, rudnutí či pocení (Kutálková, 1996).</w:t>
      </w:r>
    </w:p>
    <w:p w:rsidR="00F64711" w:rsidRDefault="008D5798" w:rsidP="007F6CBD">
      <w:pPr>
        <w:spacing w:line="360" w:lineRule="auto"/>
        <w:jc w:val="both"/>
      </w:pPr>
      <w:r>
        <w:t xml:space="preserve">   </w:t>
      </w:r>
      <w:r w:rsidR="00D66852">
        <w:t>Kromě výše jmenovaných příznaků se u dítěte</w:t>
      </w:r>
      <w:r w:rsidR="00F64711">
        <w:t xml:space="preserve"> </w:t>
      </w:r>
      <w:r w:rsidR="00D66852">
        <w:t xml:space="preserve">též </w:t>
      </w:r>
      <w:r w:rsidR="00F64711">
        <w:t>může vyvinout strach z řeči a dítě se může začít vyhýbat mluvení. Celý tento problém může přerůst v </w:t>
      </w:r>
      <w:proofErr w:type="spellStart"/>
      <w:r w:rsidR="00F64711">
        <w:t>logofobii</w:t>
      </w:r>
      <w:proofErr w:type="spellEnd"/>
      <w:r w:rsidR="00F64711">
        <w:t xml:space="preserve"> (</w:t>
      </w:r>
      <w:proofErr w:type="spellStart"/>
      <w:r w:rsidR="00F64711">
        <w:t>Pipeková</w:t>
      </w:r>
      <w:proofErr w:type="spellEnd"/>
      <w:r w:rsidR="00F64711">
        <w:t>, 1998).</w:t>
      </w:r>
    </w:p>
    <w:p w:rsidR="00700A0D" w:rsidRDefault="008D5798" w:rsidP="007F6CBD">
      <w:pPr>
        <w:spacing w:line="360" w:lineRule="auto"/>
        <w:jc w:val="both"/>
      </w:pPr>
      <w:r>
        <w:t xml:space="preserve">   </w:t>
      </w:r>
      <w:r w:rsidR="00A14B3E">
        <w:t xml:space="preserve">Znát příčinu způsobující koktavost je velmi důležité pro následnou terapii. </w:t>
      </w:r>
      <w:r w:rsidR="00700A0D">
        <w:t>Pokud totiž neznáme příčinu, nemůžeme balbuties odstranit a pouze potlačujeme příznaky. V terapii je také velmi důležité zvolit vhodný terapeutický postup. Těchto postupů je v současné době známo přes 250 typů (Klenková, 2006)</w:t>
      </w:r>
      <w:r w:rsidR="004E35D7">
        <w:t xml:space="preserve">. </w:t>
      </w:r>
      <w:r w:rsidR="00700A0D">
        <w:t xml:space="preserve">Nejjednodušší dělení </w:t>
      </w:r>
      <w:r w:rsidR="004E35D7">
        <w:t>terapeutických postupů</w:t>
      </w:r>
      <w:r w:rsidR="00700A0D">
        <w:t xml:space="preserve"> je rozdělení na individuální a skupinové metody (</w:t>
      </w:r>
      <w:proofErr w:type="spellStart"/>
      <w:r w:rsidR="00700A0D">
        <w:t>Peutelschmiedová</w:t>
      </w:r>
      <w:proofErr w:type="spellEnd"/>
      <w:r w:rsidR="00700A0D">
        <w:t>, 1994, In: Klenková, 2006).</w:t>
      </w:r>
    </w:p>
    <w:p w:rsidR="00700A0D" w:rsidRDefault="00700A0D" w:rsidP="007F6CBD">
      <w:pPr>
        <w:spacing w:line="360" w:lineRule="auto"/>
        <w:jc w:val="both"/>
      </w:pPr>
      <w:r>
        <w:t xml:space="preserve">   </w:t>
      </w:r>
      <w:proofErr w:type="spellStart"/>
      <w:r>
        <w:t>Peutelschmiedová</w:t>
      </w:r>
      <w:proofErr w:type="spellEnd"/>
      <w:r>
        <w:t xml:space="preserve"> (1994, In: Klenková, 2006) uvádí také další dělení na metody medicínské, mechanické, psychologické, cvičné a komplexní specifické.</w:t>
      </w:r>
    </w:p>
    <w:p w:rsidR="004E35D7" w:rsidRDefault="004E35D7" w:rsidP="007F6CBD">
      <w:pPr>
        <w:spacing w:line="360" w:lineRule="auto"/>
        <w:jc w:val="both"/>
      </w:pPr>
      <w:r>
        <w:t xml:space="preserve">   Při terapii je nutné pracovat nejen s dítětem, ale </w:t>
      </w:r>
      <w:r w:rsidR="00E678EA">
        <w:t>i</w:t>
      </w:r>
      <w:r>
        <w:t xml:space="preserve"> s jemu blízkými osobami, zejména s rodinou, která je většinou s dítětem v nejužším kontaktu (Dalton, 1994, In: </w:t>
      </w:r>
      <w:proofErr w:type="spellStart"/>
      <w:r>
        <w:t>Slowík</w:t>
      </w:r>
      <w:proofErr w:type="spellEnd"/>
      <w:r>
        <w:t>, 2007).</w:t>
      </w:r>
    </w:p>
    <w:p w:rsidR="00E678EA" w:rsidRDefault="00E678EA" w:rsidP="007F6CBD">
      <w:pPr>
        <w:spacing w:line="360" w:lineRule="auto"/>
        <w:jc w:val="both"/>
      </w:pPr>
      <w:r>
        <w:t xml:space="preserve">   Rodina má významnou roli též v prevenci vzniku koktavosti, kde dítěti slouží jako mluvní vzor. Při prevenci je nutno respektovat základní etapy vývoje dítěte a klást na něj přiměřené nároky respektující jeho možnosti. Také je důležité poskytnout dítěti pocit jistoty a bezpečí (Kutálková, 1996).</w:t>
      </w:r>
    </w:p>
    <w:p w:rsidR="0035086A" w:rsidRPr="00D85C4B" w:rsidRDefault="00FE66A6" w:rsidP="0035086A">
      <w:pPr>
        <w:spacing w:line="360" w:lineRule="auto"/>
        <w:jc w:val="both"/>
      </w:pPr>
      <w:r>
        <w:t xml:space="preserve">   </w:t>
      </w:r>
    </w:p>
    <w:p w:rsidR="0035086A" w:rsidRPr="008D5798" w:rsidRDefault="0035086A" w:rsidP="008D5798">
      <w:pPr>
        <w:pStyle w:val="Odstavecseseznamem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8D5798">
        <w:rPr>
          <w:b/>
          <w:sz w:val="28"/>
          <w:szCs w:val="28"/>
        </w:rPr>
        <w:t>Shrnutí dosavadního stavu řešení či poznání (stručná rešerše, východisko pro cíl práce, formulace výzkumných problémů apod.)</w:t>
      </w:r>
    </w:p>
    <w:p w:rsidR="0035086A" w:rsidRDefault="00CD3396" w:rsidP="0035086A">
      <w:pPr>
        <w:spacing w:line="360" w:lineRule="auto"/>
        <w:jc w:val="both"/>
      </w:pPr>
      <w:r>
        <w:t xml:space="preserve">   Problematice koktavosti se věnuje spousta českých i zahraničních odborníků a lze předpokládat, že zájem o tuto problematiku bude nadále růst. Toto tvrzení opíráme o statistické údaje, které prokazují vzrůstající tendenci výskytu koktavosti. Zatímco starší prameny uváděly výskyt balbuties na 0,5 – 1,5% dětí, z novějších statistických údajů vyplývá, že koktavostí trpí 4 –</w:t>
      </w:r>
      <w:r w:rsidR="00912E3D">
        <w:t xml:space="preserve"> 5% dětské populace.</w:t>
      </w:r>
    </w:p>
    <w:p w:rsidR="0035086A" w:rsidRDefault="00912E3D" w:rsidP="0035086A">
      <w:pPr>
        <w:spacing w:line="360" w:lineRule="auto"/>
        <w:jc w:val="both"/>
      </w:pPr>
      <w:r>
        <w:t xml:space="preserve">   Problém terapie dodnes není zcela vyřešen. Při terapii je nutno znát příčinu poruchy a brát ohled na značné individuální rozdíly. Zásadní je spolupráce logopeda s rodinou </w:t>
      </w:r>
      <w:r w:rsidR="00295E4D">
        <w:t>dítěte (Klenová, 2006).</w:t>
      </w:r>
    </w:p>
    <w:p w:rsidR="00295E4D" w:rsidRPr="00897864" w:rsidRDefault="00295E4D" w:rsidP="0035086A">
      <w:pPr>
        <w:spacing w:line="360" w:lineRule="auto"/>
        <w:jc w:val="both"/>
      </w:pPr>
    </w:p>
    <w:p w:rsidR="0035086A" w:rsidRPr="008D5798" w:rsidRDefault="0035086A" w:rsidP="008D5798">
      <w:pPr>
        <w:pStyle w:val="Odstavecseseznamem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8D5798">
        <w:rPr>
          <w:b/>
          <w:sz w:val="28"/>
          <w:szCs w:val="28"/>
        </w:rPr>
        <w:lastRenderedPageBreak/>
        <w:t>Cíl práce</w:t>
      </w:r>
    </w:p>
    <w:p w:rsidR="0035086A" w:rsidRDefault="0035086A" w:rsidP="0035086A">
      <w:pPr>
        <w:spacing w:line="360" w:lineRule="auto"/>
        <w:jc w:val="both"/>
      </w:pPr>
      <w:commentRangeStart w:id="1"/>
      <w:r>
        <w:t xml:space="preserve">   Hlavním cílem této práce je analyzovat a porovnat postupy využívané při reedukaci koktavosti. </w:t>
      </w:r>
      <w:commentRangeEnd w:id="1"/>
      <w:r w:rsidR="00E0491F">
        <w:rPr>
          <w:rStyle w:val="Odkaznakoment"/>
        </w:rPr>
        <w:commentReference w:id="1"/>
      </w:r>
      <w:r>
        <w:t xml:space="preserve">Porovnávat budeme z hlediska účinnosti reedukačních metod a také z hlediska spokojenosti dítěte a jeho rodičů s těmito metodami. </w:t>
      </w:r>
    </w:p>
    <w:p w:rsidR="0035086A" w:rsidRPr="00D85C4B" w:rsidRDefault="0035086A" w:rsidP="0035086A">
      <w:pPr>
        <w:spacing w:line="360" w:lineRule="auto"/>
        <w:jc w:val="both"/>
      </w:pPr>
      <w:r>
        <w:t xml:space="preserve">   Kromě cíle hlavního si budeme klást i dva cíle dílčí. Prvním je dokumentace nejčastějších způsobů vzniku koktavosti. Z tohoto cíle vyvodíme možné metody její prevence. Druhým dílčím cílem je zmapování veřejné povědomí o koktavosti a postoje lidí k jedincům postižených touto vadou.</w:t>
      </w:r>
    </w:p>
    <w:p w:rsidR="0035086A" w:rsidRDefault="0035086A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35086A" w:rsidRPr="008D5798" w:rsidRDefault="0035086A" w:rsidP="008D5798">
      <w:pPr>
        <w:pStyle w:val="Odstavecseseznamem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8D5798">
        <w:rPr>
          <w:b/>
          <w:sz w:val="28"/>
          <w:szCs w:val="28"/>
        </w:rPr>
        <w:t>Pracovní postup (přístup k řešení, metody, techniky, nástroje apod.)</w:t>
      </w:r>
    </w:p>
    <w:p w:rsidR="00BE0F3E" w:rsidRDefault="0035086A" w:rsidP="0035086A">
      <w:pPr>
        <w:spacing w:line="360" w:lineRule="auto"/>
        <w:jc w:val="both"/>
      </w:pPr>
      <w:r>
        <w:t xml:space="preserve">   Práce se bude skládat ze dvou částí, kterými jsou část teoretická a na ni navazující část empirická.</w:t>
      </w:r>
      <w:r w:rsidR="00050D53">
        <w:t xml:space="preserve"> </w:t>
      </w:r>
      <w:r w:rsidR="00F146ED">
        <w:t>V teoretické části čtenáře seznámíme s problematikou narušené komunikační schopnosti a blíže charakterizujeme koktavost, její příčiny a projevy. Dále popíšeme techniky využívané k reedukaci koktavosti. Také uvedeme některé autory zabývající se touto problematikou a jejich náhled na věc.</w:t>
      </w:r>
      <w:r w:rsidR="00BE0F3E">
        <w:t xml:space="preserve"> Pro tvorbu teoretické části využijeme knižních a elektronických informačních zdrojů. </w:t>
      </w:r>
    </w:p>
    <w:p w:rsidR="00FF298B" w:rsidRDefault="00BE0F3E" w:rsidP="0035086A">
      <w:pPr>
        <w:spacing w:line="360" w:lineRule="auto"/>
        <w:jc w:val="both"/>
      </w:pPr>
      <w:r>
        <w:t xml:space="preserve">   Empirická část je zaměřena na dosažení vytyčených cílů. K tomu budeme využívat především </w:t>
      </w:r>
      <w:r w:rsidR="00E0447E">
        <w:t xml:space="preserve">metod </w:t>
      </w:r>
      <w:r>
        <w:t>kvantitat</w:t>
      </w:r>
      <w:r w:rsidR="00FF298B">
        <w:t>ivního výzkumu.</w:t>
      </w:r>
    </w:p>
    <w:p w:rsidR="00FF298B" w:rsidRDefault="00FF298B" w:rsidP="0035086A">
      <w:pPr>
        <w:spacing w:line="360" w:lineRule="auto"/>
        <w:jc w:val="both"/>
      </w:pPr>
      <w:r>
        <w:t xml:space="preserve">   </w:t>
      </w:r>
      <w:r w:rsidR="00E0447E">
        <w:t xml:space="preserve">Pro dosažení prvního dílčího cíle </w:t>
      </w:r>
      <w:r w:rsidR="00302BDD">
        <w:t>nám poslouží rozhovory s dětmi s koktavostí, jejich rodiči a logopedy. Rozhovorů budeme využívat i k dosažení cíle hlavního. Také se budeme opírat o odbornou literaturu zabývající se touto problematikou.</w:t>
      </w:r>
    </w:p>
    <w:p w:rsidR="00D74DC6" w:rsidRDefault="00FF298B" w:rsidP="0035086A">
      <w:pPr>
        <w:spacing w:line="360" w:lineRule="auto"/>
        <w:jc w:val="both"/>
      </w:pPr>
      <w:r>
        <w:t xml:space="preserve">   </w:t>
      </w:r>
      <w:r w:rsidR="00BE0F3E">
        <w:t>Ke zmapování veřejného povědomí a postojů se ná</w:t>
      </w:r>
      <w:r w:rsidR="00D74DC6">
        <w:t>m jeví jako nejvhodnější způsob zkoumání námi vytvořený dotazník. Dotazník bude pro větší otevřenost dotazovaných anonymní. Cílovou skupinou</w:t>
      </w:r>
      <w:r w:rsidR="00FF6AD5">
        <w:t xml:space="preserve">, ze které poté vytvoříme </w:t>
      </w:r>
      <w:commentRangeStart w:id="2"/>
      <w:r w:rsidR="00FF6AD5">
        <w:t>reprezentativní výzkumný vzorek pomocí účelového výběru,</w:t>
      </w:r>
      <w:r w:rsidR="00D74DC6">
        <w:t xml:space="preserve"> bude 300 – 350 jedinců intaktní společnosti obou pohlaví, pokud možno zastoupené stejnou měrou. Dotazovaní budou různých věkových kategorií, taktéž zastoupených rovnoměrně.</w:t>
      </w:r>
      <w:commentRangeEnd w:id="2"/>
      <w:r w:rsidR="00E0491F">
        <w:rPr>
          <w:rStyle w:val="Odkaznakoment"/>
        </w:rPr>
        <w:commentReference w:id="2"/>
      </w:r>
    </w:p>
    <w:p w:rsidR="0035086A" w:rsidRPr="00D85C4B" w:rsidRDefault="0035086A" w:rsidP="0035086A">
      <w:pPr>
        <w:spacing w:line="360" w:lineRule="auto"/>
        <w:jc w:val="both"/>
      </w:pPr>
    </w:p>
    <w:p w:rsidR="0035086A" w:rsidRPr="008D5798" w:rsidRDefault="0035086A" w:rsidP="008D5798">
      <w:pPr>
        <w:pStyle w:val="Odstavecseseznamem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8D5798">
        <w:rPr>
          <w:b/>
          <w:sz w:val="28"/>
          <w:szCs w:val="28"/>
        </w:rPr>
        <w:t>Organizační, materiální a finanční zabezpečení práce (časový harmonogram práce aj.)</w:t>
      </w:r>
    </w:p>
    <w:p w:rsidR="0035086A" w:rsidRDefault="00CE6A72" w:rsidP="0035086A">
      <w:pPr>
        <w:spacing w:line="360" w:lineRule="auto"/>
        <w:jc w:val="both"/>
      </w:pPr>
      <w:r>
        <w:t xml:space="preserve">   V začátcích se bude práce orientovat na sběr informací a studium odborné literatury pro tvorbu teoretické části práce. V další části se zaměříme na tvorbu dotazníků a jejich</w:t>
      </w:r>
      <w:r w:rsidR="00FA3FA5">
        <w:t xml:space="preserve"> následnou </w:t>
      </w:r>
      <w:r w:rsidR="00FA3FA5">
        <w:lastRenderedPageBreak/>
        <w:t>distribuci. Také oslovíme cílovou skupinu pro rozhovory a navážeme s ní spolupráci. Ke konci rozhovory a dotazníky zpracujeme a vyvodíme z nich závěry.</w:t>
      </w:r>
    </w:p>
    <w:p w:rsidR="00A214A1" w:rsidRDefault="00A214A1" w:rsidP="0035086A">
      <w:pPr>
        <w:spacing w:line="360" w:lineRule="auto"/>
        <w:jc w:val="both"/>
      </w:pPr>
      <w:r>
        <w:t>Časový harmonogram:</w:t>
      </w:r>
    </w:p>
    <w:p w:rsidR="00A214A1" w:rsidRDefault="00A214A1" w:rsidP="00A214A1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Červenec – vyhledávání a studování odborných zdrojů pro tvorbu teoretické části</w:t>
      </w:r>
    </w:p>
    <w:p w:rsidR="00A214A1" w:rsidRDefault="00A214A1" w:rsidP="00A214A1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Srpen – tvorba teoretické části</w:t>
      </w:r>
    </w:p>
    <w:p w:rsidR="00A214A1" w:rsidRDefault="00A214A1" w:rsidP="00A214A1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 xml:space="preserve">Září – dokončení teoretické části a její kontrola, </w:t>
      </w:r>
      <w:r w:rsidR="0031074B">
        <w:t>tvorba dotazníků</w:t>
      </w:r>
    </w:p>
    <w:p w:rsidR="0031074B" w:rsidRDefault="0031074B" w:rsidP="00A214A1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Říjen – distribuce dotazníků</w:t>
      </w:r>
    </w:p>
    <w:p w:rsidR="0031074B" w:rsidRDefault="0031074B" w:rsidP="00A214A1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Listopad  - začátek rozhovorů, zpracování dotazníků</w:t>
      </w:r>
    </w:p>
    <w:p w:rsidR="0031074B" w:rsidRDefault="0031074B" w:rsidP="00A214A1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Prosinec, leden – průběžné zpracovávání rozhovorů</w:t>
      </w:r>
    </w:p>
    <w:p w:rsidR="0031074B" w:rsidRDefault="0031074B" w:rsidP="0031074B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Únor, březen – sepsání empirické části a její kontrola</w:t>
      </w:r>
    </w:p>
    <w:p w:rsidR="00CE6A72" w:rsidRDefault="0031074B" w:rsidP="0035086A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Duben – odevzdání práce</w:t>
      </w:r>
    </w:p>
    <w:p w:rsidR="0031074B" w:rsidRDefault="0031074B" w:rsidP="0031074B">
      <w:pPr>
        <w:spacing w:line="360" w:lineRule="auto"/>
        <w:jc w:val="both"/>
      </w:pPr>
      <w:r>
        <w:t xml:space="preserve">   Materiální zabezpečení se skládá z přístupu k počítači a internetovým databázím, tisku dotazníků a dopravě na místa, kde budou probíhat rozhovory.</w:t>
      </w:r>
    </w:p>
    <w:p w:rsidR="0031074B" w:rsidRDefault="00EF2B1D" w:rsidP="0031074B">
      <w:pPr>
        <w:spacing w:line="360" w:lineRule="auto"/>
        <w:jc w:val="both"/>
      </w:pPr>
      <w:r>
        <w:t xml:space="preserve">   Finanční stránka bude pokryta z vlastích zdrojů.</w:t>
      </w:r>
    </w:p>
    <w:p w:rsidR="00B11BE3" w:rsidRPr="00D85C4B" w:rsidRDefault="00B11BE3" w:rsidP="0031074B">
      <w:pPr>
        <w:spacing w:line="360" w:lineRule="auto"/>
        <w:jc w:val="both"/>
      </w:pPr>
    </w:p>
    <w:p w:rsidR="0035086A" w:rsidRPr="008D5798" w:rsidRDefault="0035086A" w:rsidP="008D5798">
      <w:pPr>
        <w:pStyle w:val="Odstavecseseznamem"/>
        <w:numPr>
          <w:ilvl w:val="0"/>
          <w:numId w:val="9"/>
        </w:numPr>
        <w:spacing w:line="360" w:lineRule="auto"/>
        <w:jc w:val="both"/>
        <w:rPr>
          <w:b/>
          <w:sz w:val="28"/>
        </w:rPr>
      </w:pPr>
      <w:r w:rsidRPr="008D5798">
        <w:rPr>
          <w:b/>
          <w:sz w:val="28"/>
        </w:rPr>
        <w:t>Předpokládané využití výsledků (způsoby prezentace, publikace apod.)</w:t>
      </w:r>
    </w:p>
    <w:p w:rsidR="0035086A" w:rsidRPr="00D85C4B" w:rsidRDefault="0035086A" w:rsidP="0035086A">
      <w:pPr>
        <w:spacing w:line="360" w:lineRule="auto"/>
        <w:jc w:val="both"/>
        <w:rPr>
          <w:b/>
        </w:rPr>
      </w:pPr>
      <w:r>
        <w:t xml:space="preserve">   Tato práce slouží ke zkvalitnění logopedické péče u nás. Její výsledky mohou být přínosné v logopedické praxi, a to jak při práci s dětmi postiženými koktavostí, tak při komunikaci s jejich rodiči. Výzkumné šetření může upozornit na některé nedostatky v logopedické péči a obohatit ji tak o nové nápady či postupy využitelné při reedukaci dětí s již zmíněnou vadou komunikační schopnosti. Dále tato práce může rozšířit o nové poznatky oblast prevence vzniku koktavosti v dětském věku.</w:t>
      </w:r>
    </w:p>
    <w:p w:rsidR="0035086A" w:rsidRDefault="0035086A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35086A">
      <w:pPr>
        <w:pStyle w:val="Odstavecseseznamem"/>
        <w:spacing w:line="360" w:lineRule="auto"/>
        <w:ind w:left="1117"/>
        <w:jc w:val="both"/>
        <w:rPr>
          <w:b/>
        </w:rPr>
      </w:pPr>
    </w:p>
    <w:p w:rsidR="00912E3D" w:rsidRDefault="00912E3D" w:rsidP="0076007D">
      <w:pPr>
        <w:spacing w:line="360" w:lineRule="auto"/>
        <w:jc w:val="both"/>
        <w:rPr>
          <w:b/>
        </w:rPr>
      </w:pPr>
    </w:p>
    <w:p w:rsidR="0076007D" w:rsidRPr="0076007D" w:rsidRDefault="0076007D" w:rsidP="0076007D">
      <w:pPr>
        <w:spacing w:line="360" w:lineRule="auto"/>
        <w:jc w:val="both"/>
        <w:rPr>
          <w:b/>
        </w:rPr>
      </w:pPr>
    </w:p>
    <w:p w:rsidR="0035086A" w:rsidRPr="008D5798" w:rsidRDefault="0035086A" w:rsidP="008D5798">
      <w:pPr>
        <w:pStyle w:val="Odstavecseseznamem"/>
        <w:numPr>
          <w:ilvl w:val="0"/>
          <w:numId w:val="9"/>
        </w:numPr>
        <w:spacing w:line="360" w:lineRule="auto"/>
        <w:jc w:val="both"/>
        <w:rPr>
          <w:b/>
          <w:sz w:val="28"/>
        </w:rPr>
      </w:pPr>
      <w:r w:rsidRPr="008D5798">
        <w:rPr>
          <w:b/>
          <w:sz w:val="28"/>
        </w:rPr>
        <w:lastRenderedPageBreak/>
        <w:t>Seznam literatury a odkazů (citované a výchozí informační zdroje)</w:t>
      </w:r>
    </w:p>
    <w:p w:rsidR="00D4769E" w:rsidRDefault="00D4769E" w:rsidP="00D85C4B">
      <w:pPr>
        <w:spacing w:line="360" w:lineRule="auto"/>
        <w:jc w:val="both"/>
      </w:pPr>
      <w:r>
        <w:t xml:space="preserve">KLENKOVÁ, Jiřina. </w:t>
      </w:r>
      <w:r>
        <w:rPr>
          <w:i/>
          <w:iCs/>
        </w:rPr>
        <w:t>Logopedie: narušení komunikační schopnosti, logopedická prevence, logopedická intervence v ČR, příklady z praxe</w:t>
      </w:r>
      <w:r>
        <w:t xml:space="preserve">. Vyd. 1. Praha: </w:t>
      </w:r>
      <w:proofErr w:type="spellStart"/>
      <w:r>
        <w:t>Grada</w:t>
      </w:r>
      <w:proofErr w:type="spellEnd"/>
      <w:r>
        <w:t>, 2006, 224 s. Pedagogika (</w:t>
      </w:r>
      <w:proofErr w:type="spellStart"/>
      <w:r>
        <w:t>Grada</w:t>
      </w:r>
      <w:proofErr w:type="spellEnd"/>
      <w:r>
        <w:t>). ISBN 978-802-4711-102.</w:t>
      </w:r>
    </w:p>
    <w:p w:rsidR="00D4769E" w:rsidRDefault="00D4769E" w:rsidP="00D85C4B">
      <w:pPr>
        <w:spacing w:line="360" w:lineRule="auto"/>
        <w:jc w:val="both"/>
      </w:pPr>
    </w:p>
    <w:p w:rsidR="00D4769E" w:rsidRDefault="00D4769E" w:rsidP="00D85C4B">
      <w:pPr>
        <w:spacing w:line="360" w:lineRule="auto"/>
        <w:jc w:val="both"/>
      </w:pPr>
      <w:r w:rsidRPr="00D4769E">
        <w:t xml:space="preserve">KUTÁLKOVÁ, Dana. </w:t>
      </w:r>
      <w:r w:rsidRPr="00D4769E">
        <w:rPr>
          <w:i/>
          <w:iCs/>
        </w:rPr>
        <w:t>Logopedická prevence: průvodce vývojem dětské řeči</w:t>
      </w:r>
      <w:r w:rsidRPr="00D4769E">
        <w:t>. Vyd. 1. Praha: Portál, 1996, 213 s. Speciální pedagogika (Portál). ISBN 80-717-8115-0.</w:t>
      </w:r>
    </w:p>
    <w:p w:rsidR="00D4769E" w:rsidRDefault="00D4769E" w:rsidP="00D85C4B">
      <w:pPr>
        <w:spacing w:line="360" w:lineRule="auto"/>
        <w:jc w:val="both"/>
      </w:pPr>
    </w:p>
    <w:p w:rsidR="00D4769E" w:rsidRDefault="00D4769E" w:rsidP="00D4769E">
      <w:pPr>
        <w:spacing w:line="360" w:lineRule="auto"/>
        <w:jc w:val="both"/>
      </w:pPr>
      <w:r>
        <w:t xml:space="preserve">LECHTA, Viktor a Barbara KRÁLIKOVÁ. </w:t>
      </w:r>
      <w:r>
        <w:rPr>
          <w:i/>
          <w:iCs/>
        </w:rPr>
        <w:t>Když naše dítě nemluví plynule: koktavost a jiné neplynulosti řeči</w:t>
      </w:r>
      <w:r>
        <w:t xml:space="preserve">. Vyd. 1. Překlad Magda </w:t>
      </w:r>
      <w:proofErr w:type="spellStart"/>
      <w:r>
        <w:t>Wdowyczynová</w:t>
      </w:r>
      <w:proofErr w:type="spellEnd"/>
      <w:r>
        <w:t>. Praha: Portál, 2011, 124 s. ISBN 978-807-3678-494.</w:t>
      </w:r>
    </w:p>
    <w:p w:rsidR="00D4769E" w:rsidRDefault="00D4769E" w:rsidP="00D4769E">
      <w:pPr>
        <w:spacing w:line="360" w:lineRule="auto"/>
        <w:jc w:val="both"/>
      </w:pPr>
    </w:p>
    <w:p w:rsidR="003E4F2D" w:rsidRDefault="003E4F2D" w:rsidP="00D4769E">
      <w:pPr>
        <w:spacing w:line="360" w:lineRule="auto"/>
        <w:jc w:val="both"/>
      </w:pPr>
      <w:r>
        <w:t xml:space="preserve">LECHTA, Viktor. </w:t>
      </w:r>
      <w:r>
        <w:rPr>
          <w:i/>
          <w:iCs/>
        </w:rPr>
        <w:t xml:space="preserve">Logopedické </w:t>
      </w:r>
      <w:proofErr w:type="spellStart"/>
      <w:r>
        <w:rPr>
          <w:i/>
          <w:iCs/>
        </w:rPr>
        <w:t>repetitórium</w:t>
      </w:r>
      <w:proofErr w:type="spellEnd"/>
      <w:r>
        <w:rPr>
          <w:i/>
          <w:iCs/>
        </w:rPr>
        <w:t xml:space="preserve">: teoretické </w:t>
      </w:r>
      <w:proofErr w:type="spellStart"/>
      <w:r>
        <w:rPr>
          <w:i/>
          <w:iCs/>
        </w:rPr>
        <w:t>východiská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súčasnej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logopédie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moderné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prístupy</w:t>
      </w:r>
      <w:proofErr w:type="spellEnd"/>
      <w:r>
        <w:rPr>
          <w:i/>
          <w:iCs/>
        </w:rPr>
        <w:t xml:space="preserve"> k </w:t>
      </w:r>
      <w:proofErr w:type="spellStart"/>
      <w:r>
        <w:rPr>
          <w:i/>
          <w:iCs/>
        </w:rPr>
        <w:t>logopedickej</w:t>
      </w:r>
      <w:proofErr w:type="spellEnd"/>
      <w:r>
        <w:rPr>
          <w:i/>
          <w:iCs/>
        </w:rPr>
        <w:t xml:space="preserve"> starostlivosti o osoby s narušenou </w:t>
      </w:r>
      <w:proofErr w:type="spellStart"/>
      <w:r>
        <w:rPr>
          <w:i/>
          <w:iCs/>
        </w:rPr>
        <w:t>komunikačnou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schopnosťou</w:t>
      </w:r>
      <w:proofErr w:type="spellEnd"/>
      <w:r>
        <w:t xml:space="preserve">. 1. vyd. Bratislava: Slov. </w:t>
      </w:r>
      <w:proofErr w:type="gramStart"/>
      <w:r>
        <w:t>pedagog</w:t>
      </w:r>
      <w:proofErr w:type="gramEnd"/>
      <w:r>
        <w:t xml:space="preserve">. </w:t>
      </w:r>
      <w:proofErr w:type="spellStart"/>
      <w:r>
        <w:t>nakl</w:t>
      </w:r>
      <w:proofErr w:type="spellEnd"/>
      <w:r>
        <w:t>, 1990, 278 s. ISBN 80-080-0447-9.</w:t>
      </w:r>
    </w:p>
    <w:p w:rsidR="003E4F2D" w:rsidRPr="001F3947" w:rsidRDefault="003E4F2D" w:rsidP="00D4769E">
      <w:pPr>
        <w:spacing w:line="360" w:lineRule="auto"/>
        <w:jc w:val="both"/>
      </w:pPr>
    </w:p>
    <w:p w:rsidR="00D4769E" w:rsidRDefault="00D4769E" w:rsidP="00D4769E">
      <w:pPr>
        <w:spacing w:line="360" w:lineRule="auto"/>
        <w:jc w:val="both"/>
      </w:pPr>
      <w:r>
        <w:t xml:space="preserve">PIPEKOVÁ, Jarmila. </w:t>
      </w:r>
      <w:r>
        <w:rPr>
          <w:i/>
          <w:iCs/>
        </w:rPr>
        <w:t>Kapitoly ze speciální pedagogiky</w:t>
      </w:r>
      <w:r>
        <w:t xml:space="preserve">. Brno: </w:t>
      </w:r>
      <w:proofErr w:type="spellStart"/>
      <w:r>
        <w:t>Paido</w:t>
      </w:r>
      <w:proofErr w:type="spellEnd"/>
      <w:r>
        <w:t xml:space="preserve"> - edice pedagogické literatury, 1998, 234 s. ISBN 80-859-3165-6.</w:t>
      </w:r>
    </w:p>
    <w:p w:rsidR="00D4769E" w:rsidRDefault="00D4769E" w:rsidP="00D85C4B">
      <w:pPr>
        <w:spacing w:line="360" w:lineRule="auto"/>
        <w:jc w:val="both"/>
      </w:pPr>
    </w:p>
    <w:p w:rsidR="00D4769E" w:rsidRDefault="00D4769E" w:rsidP="00D85C4B">
      <w:pPr>
        <w:spacing w:line="360" w:lineRule="auto"/>
        <w:jc w:val="both"/>
      </w:pPr>
      <w:r>
        <w:t xml:space="preserve">SLOWÍK, Josef. </w:t>
      </w:r>
      <w:r>
        <w:rPr>
          <w:i/>
          <w:iCs/>
        </w:rPr>
        <w:t>Speciální pedagogika: prevence a diagnostika, terapie a poradenství, vzdělávání osob s různým postižením, člověk s handicapem a společnost</w:t>
      </w:r>
      <w:r>
        <w:t xml:space="preserve">. Vyd. 1. Praha: </w:t>
      </w:r>
      <w:proofErr w:type="spellStart"/>
      <w:r>
        <w:t>Grada</w:t>
      </w:r>
      <w:proofErr w:type="spellEnd"/>
      <w:r>
        <w:t>, 2007, 160 s. Pedagogika (</w:t>
      </w:r>
      <w:proofErr w:type="spellStart"/>
      <w:r>
        <w:t>Grada</w:t>
      </w:r>
      <w:proofErr w:type="spellEnd"/>
      <w:r>
        <w:t>). ISBN 978-802-4717-333.</w:t>
      </w:r>
    </w:p>
    <w:tbl>
      <w:tblPr>
        <w:tblW w:w="0" w:type="auto"/>
        <w:tblCellSpacing w:w="0" w:type="dxa"/>
        <w:tblInd w:w="-30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D4769E" w:rsidRPr="00D4769E" w:rsidTr="00D4769E">
        <w:trPr>
          <w:tblCellSpacing w:w="0" w:type="dxa"/>
        </w:trPr>
        <w:tc>
          <w:tcPr>
            <w:tcW w:w="0" w:type="auto"/>
            <w:vAlign w:val="center"/>
            <w:hideMark/>
          </w:tcPr>
          <w:p w:rsidR="00D4769E" w:rsidRPr="00D4769E" w:rsidRDefault="00D4769E" w:rsidP="00D4769E"/>
        </w:tc>
      </w:tr>
      <w:tr w:rsidR="00D4769E" w:rsidRPr="00D4769E" w:rsidTr="00D4769E">
        <w:trPr>
          <w:tblCellSpacing w:w="0" w:type="dxa"/>
        </w:trPr>
        <w:tc>
          <w:tcPr>
            <w:tcW w:w="0" w:type="auto"/>
            <w:vAlign w:val="center"/>
            <w:hideMark/>
          </w:tcPr>
          <w:p w:rsidR="00D4769E" w:rsidRPr="00D4769E" w:rsidRDefault="00D4769E" w:rsidP="00D4769E"/>
        </w:tc>
      </w:tr>
    </w:tbl>
    <w:p w:rsidR="00D4769E" w:rsidRPr="001F3947" w:rsidRDefault="00D4769E" w:rsidP="00D85C4B">
      <w:pPr>
        <w:spacing w:line="360" w:lineRule="auto"/>
        <w:jc w:val="both"/>
      </w:pPr>
    </w:p>
    <w:sectPr w:rsidR="00D4769E" w:rsidRPr="001F3947" w:rsidSect="00AC6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Jarče" w:date="2015-01-03T10:57:00Z" w:initials="J">
    <w:p w:rsidR="00E0491F" w:rsidRDefault="00E0491F">
      <w:pPr>
        <w:pStyle w:val="Textkomente"/>
      </w:pPr>
      <w:r>
        <w:rPr>
          <w:rStyle w:val="Odkaznakoment"/>
        </w:rPr>
        <w:annotationRef/>
      </w:r>
      <w:r>
        <w:t>Super!</w:t>
      </w:r>
    </w:p>
    <w:p w:rsidR="00E0491F" w:rsidRDefault="00E0491F">
      <w:pPr>
        <w:pStyle w:val="Textkomente"/>
      </w:pPr>
    </w:p>
  </w:comment>
  <w:comment w:id="2" w:author="Jarče" w:date="2015-01-03T10:58:00Z" w:initials="J">
    <w:p w:rsidR="00E0491F" w:rsidRDefault="00E0491F">
      <w:pPr>
        <w:pStyle w:val="Textkomente"/>
      </w:pPr>
      <w:r>
        <w:rPr>
          <w:rStyle w:val="Odkaznakoment"/>
        </w:rPr>
        <w:annotationRef/>
      </w:r>
      <w:r>
        <w:t xml:space="preserve">Reprezentativní vzorek vzniká jen výběrem náhodným, nikoli účelovým.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73E" w:rsidRDefault="0035573E" w:rsidP="0038333D">
      <w:r>
        <w:separator/>
      </w:r>
    </w:p>
  </w:endnote>
  <w:endnote w:type="continuationSeparator" w:id="0">
    <w:p w:rsidR="0035573E" w:rsidRDefault="0035573E" w:rsidP="00383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73E" w:rsidRDefault="0035573E" w:rsidP="0038333D">
      <w:r>
        <w:separator/>
      </w:r>
    </w:p>
  </w:footnote>
  <w:footnote w:type="continuationSeparator" w:id="0">
    <w:p w:rsidR="0035573E" w:rsidRDefault="0035573E" w:rsidP="00383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6065"/>
    <w:multiLevelType w:val="hybridMultilevel"/>
    <w:tmpl w:val="A6FE05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339F3"/>
    <w:multiLevelType w:val="hybridMultilevel"/>
    <w:tmpl w:val="A17EFB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B5B57"/>
    <w:multiLevelType w:val="hybridMultilevel"/>
    <w:tmpl w:val="57C211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95723"/>
    <w:multiLevelType w:val="hybridMultilevel"/>
    <w:tmpl w:val="710661AC"/>
    <w:lvl w:ilvl="0" w:tplc="0405000F">
      <w:start w:val="1"/>
      <w:numFmt w:val="decimal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1C724B"/>
    <w:multiLevelType w:val="hybridMultilevel"/>
    <w:tmpl w:val="D114A978"/>
    <w:lvl w:ilvl="0" w:tplc="0405000F">
      <w:start w:val="1"/>
      <w:numFmt w:val="decimal"/>
      <w:lvlText w:val="%1."/>
      <w:lvlJc w:val="left"/>
      <w:pPr>
        <w:ind w:left="1837" w:hanging="360"/>
      </w:pPr>
    </w:lvl>
    <w:lvl w:ilvl="1" w:tplc="04050019" w:tentative="1">
      <w:start w:val="1"/>
      <w:numFmt w:val="lowerLetter"/>
      <w:lvlText w:val="%2."/>
      <w:lvlJc w:val="left"/>
      <w:pPr>
        <w:ind w:left="2557" w:hanging="360"/>
      </w:pPr>
    </w:lvl>
    <w:lvl w:ilvl="2" w:tplc="0405001B" w:tentative="1">
      <w:start w:val="1"/>
      <w:numFmt w:val="lowerRoman"/>
      <w:lvlText w:val="%3."/>
      <w:lvlJc w:val="right"/>
      <w:pPr>
        <w:ind w:left="3277" w:hanging="180"/>
      </w:pPr>
    </w:lvl>
    <w:lvl w:ilvl="3" w:tplc="0405000F" w:tentative="1">
      <w:start w:val="1"/>
      <w:numFmt w:val="decimal"/>
      <w:lvlText w:val="%4."/>
      <w:lvlJc w:val="left"/>
      <w:pPr>
        <w:ind w:left="3997" w:hanging="360"/>
      </w:pPr>
    </w:lvl>
    <w:lvl w:ilvl="4" w:tplc="04050019" w:tentative="1">
      <w:start w:val="1"/>
      <w:numFmt w:val="lowerLetter"/>
      <w:lvlText w:val="%5."/>
      <w:lvlJc w:val="left"/>
      <w:pPr>
        <w:ind w:left="4717" w:hanging="360"/>
      </w:pPr>
    </w:lvl>
    <w:lvl w:ilvl="5" w:tplc="0405001B" w:tentative="1">
      <w:start w:val="1"/>
      <w:numFmt w:val="lowerRoman"/>
      <w:lvlText w:val="%6."/>
      <w:lvlJc w:val="right"/>
      <w:pPr>
        <w:ind w:left="5437" w:hanging="180"/>
      </w:pPr>
    </w:lvl>
    <w:lvl w:ilvl="6" w:tplc="0405000F" w:tentative="1">
      <w:start w:val="1"/>
      <w:numFmt w:val="decimal"/>
      <w:lvlText w:val="%7."/>
      <w:lvlJc w:val="left"/>
      <w:pPr>
        <w:ind w:left="6157" w:hanging="360"/>
      </w:pPr>
    </w:lvl>
    <w:lvl w:ilvl="7" w:tplc="04050019" w:tentative="1">
      <w:start w:val="1"/>
      <w:numFmt w:val="lowerLetter"/>
      <w:lvlText w:val="%8."/>
      <w:lvlJc w:val="left"/>
      <w:pPr>
        <w:ind w:left="6877" w:hanging="360"/>
      </w:pPr>
    </w:lvl>
    <w:lvl w:ilvl="8" w:tplc="040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6">
    <w:nsid w:val="61AF3A49"/>
    <w:multiLevelType w:val="hybridMultilevel"/>
    <w:tmpl w:val="88D49B1C"/>
    <w:lvl w:ilvl="0" w:tplc="0405000F">
      <w:start w:val="1"/>
      <w:numFmt w:val="decimal"/>
      <w:lvlText w:val="%1."/>
      <w:lvlJc w:val="left"/>
      <w:pPr>
        <w:ind w:left="1837" w:hanging="360"/>
      </w:pPr>
    </w:lvl>
    <w:lvl w:ilvl="1" w:tplc="04050019" w:tentative="1">
      <w:start w:val="1"/>
      <w:numFmt w:val="lowerLetter"/>
      <w:lvlText w:val="%2."/>
      <w:lvlJc w:val="left"/>
      <w:pPr>
        <w:ind w:left="2557" w:hanging="360"/>
      </w:pPr>
    </w:lvl>
    <w:lvl w:ilvl="2" w:tplc="0405001B" w:tentative="1">
      <w:start w:val="1"/>
      <w:numFmt w:val="lowerRoman"/>
      <w:lvlText w:val="%3."/>
      <w:lvlJc w:val="right"/>
      <w:pPr>
        <w:ind w:left="3277" w:hanging="180"/>
      </w:pPr>
    </w:lvl>
    <w:lvl w:ilvl="3" w:tplc="0405000F" w:tentative="1">
      <w:start w:val="1"/>
      <w:numFmt w:val="decimal"/>
      <w:lvlText w:val="%4."/>
      <w:lvlJc w:val="left"/>
      <w:pPr>
        <w:ind w:left="3997" w:hanging="360"/>
      </w:pPr>
    </w:lvl>
    <w:lvl w:ilvl="4" w:tplc="04050019" w:tentative="1">
      <w:start w:val="1"/>
      <w:numFmt w:val="lowerLetter"/>
      <w:lvlText w:val="%5."/>
      <w:lvlJc w:val="left"/>
      <w:pPr>
        <w:ind w:left="4717" w:hanging="360"/>
      </w:pPr>
    </w:lvl>
    <w:lvl w:ilvl="5" w:tplc="0405001B" w:tentative="1">
      <w:start w:val="1"/>
      <w:numFmt w:val="lowerRoman"/>
      <w:lvlText w:val="%6."/>
      <w:lvlJc w:val="right"/>
      <w:pPr>
        <w:ind w:left="5437" w:hanging="180"/>
      </w:pPr>
    </w:lvl>
    <w:lvl w:ilvl="6" w:tplc="0405000F" w:tentative="1">
      <w:start w:val="1"/>
      <w:numFmt w:val="decimal"/>
      <w:lvlText w:val="%7."/>
      <w:lvlJc w:val="left"/>
      <w:pPr>
        <w:ind w:left="6157" w:hanging="360"/>
      </w:pPr>
    </w:lvl>
    <w:lvl w:ilvl="7" w:tplc="04050019" w:tentative="1">
      <w:start w:val="1"/>
      <w:numFmt w:val="lowerLetter"/>
      <w:lvlText w:val="%8."/>
      <w:lvlJc w:val="left"/>
      <w:pPr>
        <w:ind w:left="6877" w:hanging="360"/>
      </w:pPr>
    </w:lvl>
    <w:lvl w:ilvl="8" w:tplc="040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7">
    <w:nsid w:val="631A2C6F"/>
    <w:multiLevelType w:val="hybridMultilevel"/>
    <w:tmpl w:val="95EE47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74C9C"/>
    <w:multiLevelType w:val="hybridMultilevel"/>
    <w:tmpl w:val="47F2A24A"/>
    <w:lvl w:ilvl="0" w:tplc="0405000F">
      <w:start w:val="1"/>
      <w:numFmt w:val="decimal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33D"/>
    <w:rsid w:val="000467C7"/>
    <w:rsid w:val="00050D53"/>
    <w:rsid w:val="0017714A"/>
    <w:rsid w:val="001D1BFF"/>
    <w:rsid w:val="001F3947"/>
    <w:rsid w:val="0023124F"/>
    <w:rsid w:val="00295E4D"/>
    <w:rsid w:val="002D36AA"/>
    <w:rsid w:val="00302BDD"/>
    <w:rsid w:val="0031074B"/>
    <w:rsid w:val="00334C54"/>
    <w:rsid w:val="0035086A"/>
    <w:rsid w:val="0035573E"/>
    <w:rsid w:val="0038333D"/>
    <w:rsid w:val="003E4F2D"/>
    <w:rsid w:val="00402FD3"/>
    <w:rsid w:val="00421187"/>
    <w:rsid w:val="004B4356"/>
    <w:rsid w:val="004E35D7"/>
    <w:rsid w:val="00582DD3"/>
    <w:rsid w:val="005A2600"/>
    <w:rsid w:val="005D30A5"/>
    <w:rsid w:val="005E2178"/>
    <w:rsid w:val="00612ECF"/>
    <w:rsid w:val="00680635"/>
    <w:rsid w:val="006A69AC"/>
    <w:rsid w:val="00700A0D"/>
    <w:rsid w:val="007045C5"/>
    <w:rsid w:val="007466B9"/>
    <w:rsid w:val="0076007D"/>
    <w:rsid w:val="007D427B"/>
    <w:rsid w:val="007F59DA"/>
    <w:rsid w:val="007F6CBD"/>
    <w:rsid w:val="00897864"/>
    <w:rsid w:val="008C4797"/>
    <w:rsid w:val="008C53E6"/>
    <w:rsid w:val="008D5798"/>
    <w:rsid w:val="00912E3D"/>
    <w:rsid w:val="009E6FA0"/>
    <w:rsid w:val="009F34B5"/>
    <w:rsid w:val="00A14B3E"/>
    <w:rsid w:val="00A214A1"/>
    <w:rsid w:val="00A43885"/>
    <w:rsid w:val="00AC68F8"/>
    <w:rsid w:val="00B01EB2"/>
    <w:rsid w:val="00B11BE3"/>
    <w:rsid w:val="00BE0F3E"/>
    <w:rsid w:val="00C541F0"/>
    <w:rsid w:val="00CD3396"/>
    <w:rsid w:val="00CE5360"/>
    <w:rsid w:val="00CE6A72"/>
    <w:rsid w:val="00D4769E"/>
    <w:rsid w:val="00D66852"/>
    <w:rsid w:val="00D74DC6"/>
    <w:rsid w:val="00D85C4B"/>
    <w:rsid w:val="00DD31A5"/>
    <w:rsid w:val="00DE2288"/>
    <w:rsid w:val="00E0447E"/>
    <w:rsid w:val="00E0491F"/>
    <w:rsid w:val="00E221F6"/>
    <w:rsid w:val="00E26024"/>
    <w:rsid w:val="00E678EA"/>
    <w:rsid w:val="00E86121"/>
    <w:rsid w:val="00EA02E3"/>
    <w:rsid w:val="00EB2AE6"/>
    <w:rsid w:val="00ED1164"/>
    <w:rsid w:val="00EF2B1D"/>
    <w:rsid w:val="00F0730F"/>
    <w:rsid w:val="00F146ED"/>
    <w:rsid w:val="00F45116"/>
    <w:rsid w:val="00F64711"/>
    <w:rsid w:val="00F7681D"/>
    <w:rsid w:val="00FA3FA5"/>
    <w:rsid w:val="00FD1E25"/>
    <w:rsid w:val="00FE628C"/>
    <w:rsid w:val="00FE66A6"/>
    <w:rsid w:val="00FF298B"/>
    <w:rsid w:val="00FF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3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38333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8333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unhideWhenUsed/>
    <w:rsid w:val="0038333D"/>
    <w:pPr>
      <w:ind w:left="283" w:hanging="283"/>
    </w:pPr>
  </w:style>
  <w:style w:type="character" w:styleId="Znakapoznpodarou">
    <w:name w:val="footnote reference"/>
    <w:semiHidden/>
    <w:unhideWhenUsed/>
    <w:rsid w:val="0038333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7714A"/>
    <w:pPr>
      <w:ind w:left="720"/>
      <w:contextualSpacing/>
    </w:pPr>
  </w:style>
  <w:style w:type="paragraph" w:styleId="Bezmezer">
    <w:name w:val="No Spacing"/>
    <w:uiPriority w:val="1"/>
    <w:qFormat/>
    <w:rsid w:val="00B0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049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9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9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49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49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9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91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3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38333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8333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unhideWhenUsed/>
    <w:rsid w:val="0038333D"/>
    <w:pPr>
      <w:ind w:left="283" w:hanging="283"/>
    </w:pPr>
  </w:style>
  <w:style w:type="character" w:styleId="Znakapoznpodarou">
    <w:name w:val="footnote reference"/>
    <w:semiHidden/>
    <w:unhideWhenUsed/>
    <w:rsid w:val="0038333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7714A"/>
    <w:pPr>
      <w:ind w:left="720"/>
      <w:contextualSpacing/>
    </w:pPr>
  </w:style>
  <w:style w:type="paragraph" w:styleId="Bezmezer">
    <w:name w:val="No Spacing"/>
    <w:uiPriority w:val="1"/>
    <w:qFormat/>
    <w:rsid w:val="00B0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3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3C06-CCEB-42C1-8977-ED8ED492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1625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Jekylek</dc:creator>
  <cp:lastModifiedBy>Jarče</cp:lastModifiedBy>
  <cp:revision>2</cp:revision>
  <dcterms:created xsi:type="dcterms:W3CDTF">2015-01-03T10:07:00Z</dcterms:created>
  <dcterms:modified xsi:type="dcterms:W3CDTF">2015-01-03T10:07:00Z</dcterms:modified>
</cp:coreProperties>
</file>