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75" w:after="75" w:line="240"/>
        <w:ind w:right="0" w:left="0" w:firstLine="0"/>
        <w:jc w:val="left"/>
        <w:rPr>
          <w:rFonts w:ascii="Tahoma" w:hAnsi="Tahoma" w:cs="Tahoma" w:eastAsia="Tahoma"/>
          <w:b/>
          <w:caps w:val="true"/>
          <w:color w:val="154367"/>
          <w:spacing w:val="0"/>
          <w:position w:val="0"/>
          <w:sz w:val="26"/>
          <w:shd w:fill="auto" w:val="clear"/>
        </w:rPr>
      </w:pPr>
      <w:r>
        <w:rPr>
          <w:rFonts w:ascii="Tahoma" w:hAnsi="Tahoma" w:cs="Tahoma" w:eastAsia="Tahoma"/>
          <w:b/>
          <w:caps w:val="true"/>
          <w:color w:val="154367"/>
          <w:spacing w:val="0"/>
          <w:position w:val="0"/>
          <w:sz w:val="26"/>
          <w:shd w:fill="auto" w:val="clear"/>
        </w:rPr>
        <w:t xml:space="preserve">PUBLIC RELATIONS</w:t>
      </w:r>
    </w:p>
    <w:p>
      <w:pPr>
        <w:spacing w:before="10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Public relations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pochází z angli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čtiny a volně lze přeložit jako "vztahy s veřejnost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í". Jedná se o techniky a nástroje, prost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řednictv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kterých firma buduje a udr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žuje vztahy se sv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ým okolím a s ve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řejnost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Public relations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zkrácen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PR je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ěrn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á, plánovaná a dlouhodobá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činnost, kter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podporuje vzájemné pochopení a soulad mezi organizacemi a jejich ve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řejnost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s cílem dosa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svého úsp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ěchu. Jedn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z hlavních úkol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public relations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je vytv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 dotv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svého obrazu,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ípadn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ímání image jako konkrétní zna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čky.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1"/>
          <w:shd w:fill="auto" w:val="clear"/>
        </w:rPr>
        <w:t xml:space="preserve">Hlavní cíle public relations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ŘESVĚDČIT 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PRODAT 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ÁVAT 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ŘIT URČIT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JEDNÁNÍ,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ČINNOST 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STIMULOVAT UR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 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VZBUDIT UV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ĚDOMĚN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A VYVOLAT ZÁJEM 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ZÍSKAT PODPORU A SCHVÁLENÍ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STRANY 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PROSADIT POV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ĚDOM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Í, ZÁJEM, OCHOTU A AKCI 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BUDOVÁNÍ IMAGE FIRMY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1"/>
          <w:shd w:fill="auto" w:val="clear"/>
        </w:rPr>
        <w:t xml:space="preserve">2 druhy public relations</w:t>
      </w:r>
    </w:p>
    <w:p>
      <w:pPr>
        <w:numPr>
          <w:ilvl w:val="0"/>
          <w:numId w:val="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INTERNÍ PUBLIC RELATIONS (pro úsp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ěšn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PR je naprostou nutností zásadní pozitivní soulad v organizaci) </w:t>
      </w:r>
    </w:p>
    <w:p>
      <w:pPr>
        <w:numPr>
          <w:ilvl w:val="0"/>
          <w:numId w:val="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EXTERNÍ PUBLIC RELATIONS (vztahy s 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ějš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ve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řejnost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jsou daleko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četnějš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a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ětšinou složitějš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í)</w:t>
      </w:r>
    </w:p>
    <w:p>
      <w:pPr>
        <w:spacing w:before="225" w:after="75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2E6282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E6282"/>
          <w:spacing w:val="0"/>
          <w:position w:val="0"/>
          <w:sz w:val="24"/>
          <w:shd w:fill="auto" w:val="clear"/>
        </w:rPr>
        <w:t xml:space="preserve">Image firmy</w:t>
      </w:r>
    </w:p>
    <w:p>
      <w:pPr>
        <w:spacing w:before="10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ůsobiv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image firmy je jedním z nejlep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ích nástroj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 zajištěn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dlouhodobého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ílivu zisku. Podnikové zisky, které nejsou spojeny se silnou zna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čkou, mohou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ýt relativn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snadno ohroženy konkurenc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í, cenovou válkou nebo inovacemi. Osobní zna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čka je něco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íce 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 naše jm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éno, identita a image. Je to souhrn toho, co musíme ud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ělat, abychom se odlišili, a 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ůžeme prorazit a udržet se na trhu - je to prezentace sebe sama, naše marketingov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strategie - 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 největš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aktivum. Mít silnou zna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čku znamen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mít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ětš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vliv na sv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ůj osud - znamen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to,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můžeme ud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ávat sm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ěr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ývoje samotného firmy i celého trhu.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1"/>
          <w:shd w:fill="auto" w:val="clear"/>
        </w:rPr>
        <w:t xml:space="preserve">Corporate identity</w:t>
      </w:r>
    </w:p>
    <w:p>
      <w:pPr>
        <w:spacing w:before="10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Image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ředstavuje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íl sna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public relations ur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subjektu - organizace. Public relations není 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šem jedin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činitelem, kter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ým se vytvá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image  organizace. Dal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východiskem pro public relations je corporate identity. V podstat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jde o koncipov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 vlastní dlouhodob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ějš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filozofie organizace - formou dlouhodob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ějš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vize s trvalej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jistotou v daných prom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ěnliv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podmínkách.  Corporate identity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ředstavuje hlavn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strategii podniku. Je také sociální technikou pro zalo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a rozvoj organizace. Corporate identity disponuje sou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čtem vlastnost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a zp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ůsobu prezentace, kter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ur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čitou organizaci spojuj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a sou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časně ji od jin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odli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1"/>
          <w:shd w:fill="auto" w:val="clear"/>
        </w:rPr>
        <w:t xml:space="preserve">Struktura corporate identity</w:t>
      </w:r>
    </w:p>
    <w:p>
      <w:pPr>
        <w:spacing w:before="10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Systém corporate identity spo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ívá na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řech komponentech:</w:t>
      </w:r>
    </w:p>
    <w:p>
      <w:pPr>
        <w:numPr>
          <w:ilvl w:val="0"/>
          <w:numId w:val="1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ZÁKLAD (za základ se pova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žuje materi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ál, z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ěhož se buduje identita: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ázvy, normy, ideje a systémy organizace) </w:t>
      </w:r>
    </w:p>
    <w:p>
      <w:pPr>
        <w:numPr>
          <w:ilvl w:val="0"/>
          <w:numId w:val="1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VÝRAZ (výraz je zp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ůsobem zveřejněn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identity: ztvárn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í, kultura, komunikace) </w:t>
      </w:r>
    </w:p>
    <w:p>
      <w:pPr>
        <w:numPr>
          <w:ilvl w:val="0"/>
          <w:numId w:val="1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OHLAS (ohlas je vlastní 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činnost corporate identity organizace na vnitřn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a 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ějš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okolí (tzn. image)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1"/>
          <w:shd w:fill="auto" w:val="clear"/>
        </w:rPr>
        <w:t xml:space="preserve">Reputation management</w:t>
      </w:r>
    </w:p>
    <w:p>
      <w:pPr>
        <w:spacing w:before="10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Reputation management neboli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ízení pov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ěsti organizace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4 atributy:</w:t>
      </w:r>
    </w:p>
    <w:p>
      <w:pPr>
        <w:numPr>
          <w:ilvl w:val="0"/>
          <w:numId w:val="1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ĚROHODNOST </w:t>
      </w:r>
    </w:p>
    <w:p>
      <w:pPr>
        <w:numPr>
          <w:ilvl w:val="0"/>
          <w:numId w:val="1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SPOLEHLIVOST </w:t>
      </w:r>
    </w:p>
    <w:p>
      <w:pPr>
        <w:numPr>
          <w:ilvl w:val="0"/>
          <w:numId w:val="1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ŮVĚRYHODNOST </w:t>
      </w:r>
    </w:p>
    <w:p>
      <w:pPr>
        <w:numPr>
          <w:ilvl w:val="0"/>
          <w:numId w:val="1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ĚDOM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ODPOV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ĚDNOSTI</w:t>
      </w:r>
    </w:p>
    <w:p>
      <w:pPr>
        <w:spacing w:before="225" w:after="75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2E6282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E6282"/>
          <w:spacing w:val="0"/>
          <w:position w:val="0"/>
          <w:sz w:val="24"/>
          <w:shd w:fill="auto" w:val="clear"/>
        </w:rPr>
        <w:t xml:space="preserve">Vytvá</w:t>
      </w:r>
      <w:r>
        <w:rPr>
          <w:rFonts w:ascii="Times New Roman" w:hAnsi="Times New Roman" w:cs="Times New Roman" w:eastAsia="Times New Roman"/>
          <w:b/>
          <w:color w:val="2E6282"/>
          <w:spacing w:val="0"/>
          <w:position w:val="0"/>
          <w:sz w:val="24"/>
          <w:shd w:fill="auto" w:val="clear"/>
        </w:rPr>
        <w:t xml:space="preserve">řen</w:t>
      </w:r>
      <w:r>
        <w:rPr>
          <w:rFonts w:ascii="Times New Roman" w:hAnsi="Times New Roman" w:cs="Times New Roman" w:eastAsia="Times New Roman"/>
          <w:b/>
          <w:color w:val="2E6282"/>
          <w:spacing w:val="0"/>
          <w:position w:val="0"/>
          <w:sz w:val="24"/>
          <w:shd w:fill="auto" w:val="clear"/>
        </w:rPr>
        <w:t xml:space="preserve">í reputace</w:t>
      </w:r>
    </w:p>
    <w:p>
      <w:pPr>
        <w:spacing w:before="10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Reputace organizace se skládá ze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forem:</w:t>
      </w:r>
    </w:p>
    <w:p>
      <w:pPr>
        <w:numPr>
          <w:ilvl w:val="0"/>
          <w:numId w:val="2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PRIMÁRNÍ REPUTACE (spo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ívá v kontaktech, které máme s organizací osobn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ě, tzv. tv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v tvá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ř. Takov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vnímání je bezprost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a osobní) </w:t>
      </w:r>
    </w:p>
    <w:p>
      <w:pPr>
        <w:numPr>
          <w:ilvl w:val="0"/>
          <w:numId w:val="2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SEKUNDÁRNÍ REPUTACE (nazývá se té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 nepř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ímou cestou a spo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ívá na komunikaci s médii,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ůdci veřejn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mín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í, známými a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áteli, ale vytvá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se té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 sebeprezentac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organizace. Zde je kontakt neosobní, zprost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ředkovan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a mají na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ěj vliv různ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stereotypy a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ředsudky, kter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obvykle souvisejí s chováním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ůzn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skupin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 jednotlivců) </w:t>
      </w:r>
    </w:p>
    <w:p>
      <w:pPr>
        <w:numPr>
          <w:ilvl w:val="0"/>
          <w:numId w:val="2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CYKLICKÁ REPUTACE (je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cestou. K ní se chovají lidé nebo organizace podle toho, jak jsou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ůči nim nastaveny soci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ální postoje. Jsou-li postoje negativní, pokusí se prost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řednictv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vhodných nástroj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 změnit sv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chování, produkty a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žby. Takto se s určit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ým posunem vytvá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nové zm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postoje, které pozitivn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působ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na chování osob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 organizac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í)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1"/>
          <w:shd w:fill="auto" w:val="clear"/>
        </w:rPr>
        <w:t xml:space="preserve">6 kritérií reputace</w:t>
      </w:r>
    </w:p>
    <w:p>
      <w:pPr>
        <w:numPr>
          <w:ilvl w:val="0"/>
          <w:numId w:val="2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EMOCIÁLNÍ APEL (Je podnik oblíben,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ívá vá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žnosti na veřejnosti? Je obdivov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 a respektován?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ůvěřuj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mu lidé?) </w:t>
      </w:r>
    </w:p>
    <w:p>
      <w:pPr>
        <w:numPr>
          <w:ilvl w:val="0"/>
          <w:numId w:val="2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VÝROBKY A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ŽBY (Jakou kvalitou se vyznačuj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výrobky a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žby podniku? Je podnik inovačně aktivn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a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ěrohodn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ý?) </w:t>
      </w:r>
    </w:p>
    <w:p>
      <w:pPr>
        <w:numPr>
          <w:ilvl w:val="0"/>
          <w:numId w:val="2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FINAN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PREZENTACE (Jak lze ohodnotit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žnosti růstu a rizik podniku? Stoj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na solidní finan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bázi?) </w:t>
      </w:r>
    </w:p>
    <w:p>
      <w:pPr>
        <w:numPr>
          <w:ilvl w:val="0"/>
          <w:numId w:val="2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VIZE A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ŮDCOVSTV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(Je v podniku silné vedení? Jaké vize toto vedení vyznává? Je schopno rozpoznat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žitosti a nebezpeč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trhu?) </w:t>
      </w:r>
    </w:p>
    <w:p>
      <w:pPr>
        <w:numPr>
          <w:ilvl w:val="0"/>
          <w:numId w:val="2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PRACOVNÍ PROST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(Jak úsp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ěšně je podnik veden a jak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je kvalita spolupracovník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ů? Je dostatečně atraktivn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pro vrcholové uchaze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če?) </w:t>
      </w:r>
    </w:p>
    <w:p>
      <w:pPr>
        <w:numPr>
          <w:ilvl w:val="0"/>
          <w:numId w:val="2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SOCIÁLNÍ ODPOV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ĚDNOST (Jak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ýrazná je sociální anga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žovanost podniku a jak odpovědně se chov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ůči sv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ému okolí?)</w:t>
      </w:r>
    </w:p>
    <w:p>
      <w:pPr>
        <w:spacing w:before="225" w:after="75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2E6282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E6282"/>
          <w:spacing w:val="0"/>
          <w:position w:val="0"/>
          <w:sz w:val="24"/>
          <w:shd w:fill="auto" w:val="clear"/>
        </w:rPr>
        <w:t xml:space="preserve">Budování zna</w:t>
      </w:r>
      <w:r>
        <w:rPr>
          <w:rFonts w:ascii="Times New Roman" w:hAnsi="Times New Roman" w:cs="Times New Roman" w:eastAsia="Times New Roman"/>
          <w:b/>
          <w:color w:val="2E6282"/>
          <w:spacing w:val="0"/>
          <w:position w:val="0"/>
          <w:sz w:val="24"/>
          <w:shd w:fill="auto" w:val="clear"/>
        </w:rPr>
        <w:t xml:space="preserve">čky</w:t>
      </w:r>
    </w:p>
    <w:p>
      <w:pPr>
        <w:spacing w:before="10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Proces budování zna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čky je zobrazen posloupnost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čtyř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ákladních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ítek:</w:t>
      </w:r>
    </w:p>
    <w:p>
      <w:pPr>
        <w:numPr>
          <w:ilvl w:val="0"/>
          <w:numId w:val="2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DIFERENCIACE (významná odli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šnost značky) </w:t>
      </w:r>
    </w:p>
    <w:p>
      <w:pPr>
        <w:numPr>
          <w:ilvl w:val="0"/>
          <w:numId w:val="2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RELEVANCE (vhodnost zna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čky pro spotřebitele) </w:t>
      </w:r>
    </w:p>
    <w:p>
      <w:pPr>
        <w:numPr>
          <w:ilvl w:val="0"/>
          <w:numId w:val="2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ÚCTA (úcta ke zna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čce) </w:t>
      </w:r>
    </w:p>
    <w:p>
      <w:pPr>
        <w:numPr>
          <w:ilvl w:val="0"/>
          <w:numId w:val="2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ZNALOST (porozum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výrobku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 službě)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1"/>
          <w:shd w:fill="auto" w:val="clear"/>
        </w:rPr>
        <w:t xml:space="preserve">Pravidla pro budování zna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1"/>
          <w:shd w:fill="auto" w:val="clear"/>
        </w:rPr>
        <w:t xml:space="preserve">čky</w:t>
      </w:r>
    </w:p>
    <w:p>
      <w:pPr>
        <w:numPr>
          <w:ilvl w:val="0"/>
          <w:numId w:val="2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CHOPTE SE VLÁDY NAD SVOU VLASTNÍ ZNA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ČKOU! </w:t>
      </w:r>
    </w:p>
    <w:p>
      <w:pPr>
        <w:numPr>
          <w:ilvl w:val="0"/>
          <w:numId w:val="2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ŇTE SE ZNAČKOU, KTER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SE BUDE ODLI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ŠOVAT! </w:t>
      </w:r>
    </w:p>
    <w:p>
      <w:pPr>
        <w:numPr>
          <w:ilvl w:val="0"/>
          <w:numId w:val="2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NAJD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ĚTE SI SVOU PARKETU, NA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 SE PROTNOU VAŠE PŘEDNOSTI A TRŽN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ŽITOSTI! </w:t>
      </w:r>
    </w:p>
    <w:p>
      <w:pPr>
        <w:numPr>
          <w:ilvl w:val="0"/>
          <w:numId w:val="2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ZVOLTE TAKOVOU STRATEGII, KTERÁ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ŘINESE SKVĚL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VÝSLEDKY! </w:t>
      </w:r>
    </w:p>
    <w:p>
      <w:pPr>
        <w:numPr>
          <w:ilvl w:val="0"/>
          <w:numId w:val="2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ŽIJTE OSVĚDČEN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PRINCIPY VIZUÁLNÍ IDENTITY A VYTVO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ŘTE PŮSOBIV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IMAGE SVÉ OSOBNÍ ZNA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ČKY! </w:t>
      </w:r>
    </w:p>
    <w:p>
      <w:pPr>
        <w:numPr>
          <w:ilvl w:val="0"/>
          <w:numId w:val="2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VYU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ŽIJTE MOC A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ÍLU SYMBOL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 LOG A DESIGNU, ABYSTE ZANECHALI OTISK IDENTITY SV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ZNA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ČKY! </w:t>
      </w:r>
    </w:p>
    <w:p>
      <w:pPr>
        <w:numPr>
          <w:ilvl w:val="0"/>
          <w:numId w:val="2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VYU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ŽIJTE MOC POJMENOV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ÁNÍ, KLÍ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SLOV A FRÁZÍ, ABYSTE DODALI SVÉMU SD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ĚLEN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SEV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TVAR! </w:t>
      </w:r>
    </w:p>
    <w:p>
      <w:pPr>
        <w:numPr>
          <w:ilvl w:val="0"/>
          <w:numId w:val="2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ČTE SE PROMLOUVAT S OHLEDEM 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ČINEK, NIKOLIV JEN NA FAKTA! </w:t>
      </w:r>
    </w:p>
    <w:p>
      <w:pPr>
        <w:numPr>
          <w:ilvl w:val="0"/>
          <w:numId w:val="2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VYBUDUJTE SI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ŠIROKOU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KONTAKTŮ A SPOJENCŮ! </w:t>
      </w:r>
    </w:p>
    <w:p>
      <w:pPr>
        <w:numPr>
          <w:ilvl w:val="0"/>
          <w:numId w:val="2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ŠLEJTE O TOM, JAK SE EMOCI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PROPOJIT SE SV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ÝMI CÍLOVÝMI TRHY! </w:t>
      </w:r>
    </w:p>
    <w:p>
      <w:pPr>
        <w:numPr>
          <w:ilvl w:val="0"/>
          <w:numId w:val="2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ŇTE SE SLAVN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ÝMI! </w:t>
      </w:r>
    </w:p>
    <w:p>
      <w:pPr>
        <w:numPr>
          <w:ilvl w:val="0"/>
          <w:numId w:val="2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VYPRACUJTE SI AK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PLÁN, KTERÝ VÁS DOSTANE Z MÍSTA A DO MÍSTA B!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5">
    <w:abstractNumId w:val="42"/>
  </w:num>
  <w:num w:numId="7">
    <w:abstractNumId w:val="36"/>
  </w:num>
  <w:num w:numId="14">
    <w:abstractNumId w:val="30"/>
  </w:num>
  <w:num w:numId="17">
    <w:abstractNumId w:val="24"/>
  </w:num>
  <w:num w:numId="20">
    <w:abstractNumId w:val="18"/>
  </w:num>
  <w:num w:numId="22">
    <w:abstractNumId w:val="12"/>
  </w:num>
  <w:num w:numId="25">
    <w:abstractNumId w:val="6"/>
  </w:num>
  <w:num w:numId="2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