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A7" w:rsidRDefault="00B839A7" w:rsidP="00B839A7">
      <w:pPr>
        <w:pStyle w:val="Nadpis1"/>
        <w:spacing w:before="0" w:beforeAutospacing="0" w:after="150" w:afterAutospacing="0" w:line="322" w:lineRule="atLeast"/>
        <w:textAlignment w:val="baseline"/>
        <w:rPr>
          <w:rFonts w:ascii="Tahoma" w:hAnsi="Tahoma" w:cs="Tahoma"/>
          <w:caps/>
          <w:color w:val="000099"/>
          <w:sz w:val="26"/>
          <w:szCs w:val="26"/>
        </w:rPr>
      </w:pPr>
      <w:r>
        <w:rPr>
          <w:rFonts w:ascii="Tahoma" w:hAnsi="Tahoma" w:cs="Tahoma"/>
          <w:caps/>
          <w:color w:val="000099"/>
          <w:sz w:val="26"/>
          <w:szCs w:val="26"/>
        </w:rPr>
        <w:t>PROGRAMOVÉ OBDOBÍ 2014-2020</w:t>
      </w:r>
    </w:p>
    <w:p w:rsidR="00B839A7" w:rsidRPr="001D4E06" w:rsidRDefault="00B839A7" w:rsidP="001D4E06">
      <w:pPr>
        <w:spacing w:line="215" w:lineRule="atLeast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1D4E06">
        <w:rPr>
          <w:rFonts w:ascii="Arial" w:hAnsi="Arial" w:cs="Arial"/>
          <w:b/>
          <w:bCs/>
          <w:color w:val="231F20"/>
          <w:sz w:val="20"/>
          <w:szCs w:val="20"/>
        </w:rPr>
        <w:t>Programového období 2014–2020 je v souladu s rozpočtovým rámcem Evropské unie pro toto sedmileté období. Pro Českou republiku byly vyčleněny prostředky ve výši téměř 24 miliard eur.</w:t>
      </w:r>
    </w:p>
    <w:p w:rsidR="00B839A7" w:rsidRPr="001D4E06" w:rsidRDefault="00B839A7" w:rsidP="001D4E06">
      <w:pPr>
        <w:pStyle w:val="Normlnweb"/>
        <w:spacing w:before="226" w:beforeAutospacing="0" w:after="0" w:afterAutospacing="0" w:line="215" w:lineRule="atLeast"/>
        <w:jc w:val="both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Evropská komise zveřejnila dne 6. října 2011 balíček šesti nových nařízení. Jejich finální verze byla schválena 17. prosince 2013. V programovém období 2014–2020 tvoří legislativní základ pro podporu z Evropských strukturálních a investičních fondů. Soubor těchto nařízení má zajistit jednotná pravidla v rámci celé Evropské unie i zlepšení koordinace mezi jednotlivými fondy, potažmo i programy na národní úrovni.</w:t>
      </w:r>
    </w:p>
    <w:p w:rsidR="00B839A7" w:rsidRDefault="00B839A7" w:rsidP="001D4E06">
      <w:pPr>
        <w:pStyle w:val="Normlnweb"/>
        <w:spacing w:before="0" w:beforeAutospacing="0" w:after="0" w:afterAutospacing="0" w:line="215" w:lineRule="atLeast"/>
        <w:jc w:val="both"/>
        <w:textAlignment w:val="baseline"/>
        <w:rPr>
          <w:rFonts w:ascii="inherit" w:hAnsi="inherit" w:cs="Arial"/>
          <w:color w:val="231F20"/>
          <w:sz w:val="13"/>
          <w:szCs w:val="13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Záměrem Evropské unie je, aby tyto fondy maximálním možným způsobem přispěly k naplňování strategie EU 2020 – Strategie pro inteligentní a udržitelný růst podporující začlenění, což je dlouhodobá vize rozvoje Evropské unie. Pro lepší využití těchto fondů ve prospěch strategie EU 2020 zpracoval každý stát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5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Dohodu o partnerství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>, kterou posoudila a schválila Evropská komise. K jejímu naplňování přispějí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6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jednotlivé programy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>. V těchto dokumentech je určeno i rozdělení přidělených finančních prostředků mezi podporované oblasti.</w:t>
      </w:r>
      <w:r>
        <w:rPr>
          <w:rFonts w:ascii="inherit" w:hAnsi="inherit" w:cs="Arial"/>
          <w:color w:val="231F20"/>
          <w:sz w:val="13"/>
          <w:szCs w:val="13"/>
        </w:rPr>
        <w:br/>
        <w:t> </w:t>
      </w:r>
    </w:p>
    <w:p w:rsidR="00B839A7" w:rsidRDefault="00B839A7" w:rsidP="00B839A7">
      <w:pPr>
        <w:pStyle w:val="Nadpis2"/>
        <w:spacing w:before="107" w:beforeAutospacing="0" w:after="107" w:afterAutospacing="0" w:line="269" w:lineRule="atLeast"/>
        <w:textAlignment w:val="baseline"/>
        <w:rPr>
          <w:rFonts w:ascii="Arial" w:hAnsi="Arial" w:cs="Arial"/>
          <w:color w:val="000099"/>
          <w:sz w:val="22"/>
          <w:szCs w:val="22"/>
        </w:rPr>
      </w:pPr>
      <w:r>
        <w:rPr>
          <w:rFonts w:ascii="Arial" w:hAnsi="Arial" w:cs="Arial"/>
          <w:color w:val="000099"/>
          <w:sz w:val="22"/>
          <w:szCs w:val="22"/>
        </w:rPr>
        <w:t>Co je nového v programovém období 2014-2020?</w:t>
      </w:r>
    </w:p>
    <w:p w:rsidR="00B839A7" w:rsidRPr="001D4E06" w:rsidRDefault="00B839A7" w:rsidP="00B839A7">
      <w:pPr>
        <w:pStyle w:val="Normlnweb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Oproti programovému období 2007–2013 došlo v systému čerpání z evropských fondů k zavedení některých novinek. A to na evropské i české úrovni. Mezi nejdůležitější z nich patří: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rozšíření počtu zapojených fondů (nově i </w:t>
      </w:r>
      <w:hyperlink r:id="rId7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EAFRD</w:t>
        </w:r>
      </w:hyperlink>
      <w:hyperlink r:id="rId8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 a EMFF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>, tedy fondy politiky rozvoje venkova a Společné námořní a rybářské politiky)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nastavení systému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9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předběžných podmínek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>;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důraz na posílení strategického řízení a plánování při přípravě a realizaci programového období, Dohody o partnerství či jednotlivých programů a obecně na kvalitu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10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strategické práce v ČR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>. 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vyšší měřitelnost přínosu podpořených operací (důraz na plnění stanovených indikátorů);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finanční závislost na rychlosti a kvalitě čerpání (výkonnostní rámec);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vyšší míra uplatnění územně specifického přístupu a využití integrovaných nástrojů;</w:t>
      </w:r>
    </w:p>
    <w:p w:rsidR="00B839A7" w:rsidRPr="001D4E06" w:rsidRDefault="00B839A7" w:rsidP="00B839A7">
      <w:pPr>
        <w:numPr>
          <w:ilvl w:val="0"/>
          <w:numId w:val="6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vyšší míra uplatnění finančních nástrojů na úkor dotací.</w:t>
      </w:r>
    </w:p>
    <w:p w:rsidR="00B839A7" w:rsidRDefault="00B839A7" w:rsidP="00B839A7">
      <w:pPr>
        <w:spacing w:line="215" w:lineRule="atLeast"/>
        <w:textAlignment w:val="baseline"/>
        <w:rPr>
          <w:rFonts w:ascii="Arial" w:hAnsi="Arial" w:cs="Arial"/>
          <w:color w:val="231F20"/>
          <w:sz w:val="13"/>
          <w:szCs w:val="13"/>
        </w:rPr>
      </w:pPr>
      <w:r>
        <w:rPr>
          <w:rFonts w:ascii="Arial" w:hAnsi="Arial" w:cs="Arial"/>
          <w:color w:val="231F20"/>
          <w:sz w:val="13"/>
          <w:szCs w:val="13"/>
        </w:rPr>
        <w:t> </w:t>
      </w:r>
    </w:p>
    <w:p w:rsidR="00B839A7" w:rsidRPr="001D4E06" w:rsidRDefault="00B839A7" w:rsidP="00B839A7">
      <w:pPr>
        <w:pStyle w:val="Normlnweb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Style w:val="Siln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V českých podmínkách mezi hlavní novinky patří především:</w:t>
      </w:r>
    </w:p>
    <w:p w:rsidR="00B839A7" w:rsidRPr="001D4E06" w:rsidRDefault="00B839A7" w:rsidP="00B839A7">
      <w:pPr>
        <w:numPr>
          <w:ilvl w:val="0"/>
          <w:numId w:val="7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snížení počtu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11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programů</w:t>
        </w:r>
        <w:r w:rsidRPr="001D4E06">
          <w:rPr>
            <w:rStyle w:val="apple-converted-space"/>
            <w:rFonts w:ascii="inherit" w:hAnsi="inherit" w:cs="Arial"/>
            <w:b/>
            <w:bCs/>
            <w:color w:val="000099"/>
            <w:sz w:val="20"/>
            <w:szCs w:val="20"/>
            <w:u w:val="single"/>
            <w:bdr w:val="none" w:sz="0" w:space="0" w:color="auto" w:frame="1"/>
          </w:rPr>
          <w:t> </w:t>
        </w:r>
      </w:hyperlink>
      <w:r w:rsidRPr="001D4E06">
        <w:rPr>
          <w:rFonts w:ascii="inherit" w:hAnsi="inherit" w:cs="Arial"/>
          <w:color w:val="231F20"/>
          <w:sz w:val="20"/>
          <w:szCs w:val="20"/>
        </w:rPr>
        <w:t xml:space="preserve">(snížení počtu tematických OP a ustavení jednoho Integrovaného regionálního operačního programu na místo původních sedmi </w:t>
      </w:r>
      <w:proofErr w:type="spellStart"/>
      <w:r w:rsidRPr="001D4E06">
        <w:rPr>
          <w:rFonts w:ascii="inherit" w:hAnsi="inherit" w:cs="Arial"/>
          <w:color w:val="231F20"/>
          <w:sz w:val="20"/>
          <w:szCs w:val="20"/>
        </w:rPr>
        <w:t>ROPů</w:t>
      </w:r>
      <w:proofErr w:type="spellEnd"/>
      <w:r w:rsidRPr="001D4E06">
        <w:rPr>
          <w:rFonts w:ascii="inherit" w:hAnsi="inherit" w:cs="Arial"/>
          <w:color w:val="231F20"/>
          <w:sz w:val="20"/>
          <w:szCs w:val="20"/>
        </w:rPr>
        <w:t>);</w:t>
      </w:r>
    </w:p>
    <w:p w:rsidR="00B839A7" w:rsidRPr="001D4E06" w:rsidRDefault="00B839A7" w:rsidP="00B839A7">
      <w:pPr>
        <w:numPr>
          <w:ilvl w:val="0"/>
          <w:numId w:val="7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koncepce Jednotného metodického prostředí (má zajistit stejná pravidla skrze celý systém);</w:t>
      </w:r>
    </w:p>
    <w:p w:rsidR="00B839A7" w:rsidRPr="001D4E06" w:rsidRDefault="00B839A7" w:rsidP="00B839A7">
      <w:pPr>
        <w:numPr>
          <w:ilvl w:val="0"/>
          <w:numId w:val="7"/>
        </w:numPr>
        <w:spacing w:after="0" w:line="193" w:lineRule="atLeast"/>
        <w:ind w:left="0"/>
        <w:textAlignment w:val="baseline"/>
        <w:rPr>
          <w:rFonts w:ascii="inherit" w:hAnsi="inherit" w:cs="Arial"/>
          <w:color w:val="231F20"/>
          <w:sz w:val="20"/>
          <w:szCs w:val="20"/>
        </w:rPr>
      </w:pPr>
      <w:r w:rsidRPr="001D4E06">
        <w:rPr>
          <w:rFonts w:ascii="inherit" w:hAnsi="inherit" w:cs="Arial"/>
          <w:color w:val="231F20"/>
          <w:sz w:val="20"/>
          <w:szCs w:val="20"/>
        </w:rPr>
        <w:t>rozšířené fungování</w:t>
      </w:r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hyperlink r:id="rId12" w:history="1">
        <w:r w:rsidRPr="001D4E06">
          <w:rPr>
            <w:rStyle w:val="Hypertextovodkaz"/>
            <w:rFonts w:ascii="inherit" w:hAnsi="inherit" w:cs="Arial"/>
            <w:b/>
            <w:bCs/>
            <w:color w:val="000099"/>
            <w:sz w:val="20"/>
            <w:szCs w:val="20"/>
            <w:bdr w:val="none" w:sz="0" w:space="0" w:color="auto" w:frame="1"/>
          </w:rPr>
          <w:t>monitorovacího systému</w:t>
        </w:r>
      </w:hyperlink>
      <w:r w:rsidRPr="001D4E06">
        <w:rPr>
          <w:rStyle w:val="apple-converted-space"/>
          <w:rFonts w:ascii="inherit" w:hAnsi="inherit" w:cs="Arial"/>
          <w:color w:val="231F20"/>
          <w:sz w:val="20"/>
          <w:szCs w:val="20"/>
        </w:rPr>
        <w:t> </w:t>
      </w:r>
      <w:r w:rsidRPr="001D4E06">
        <w:rPr>
          <w:rFonts w:ascii="inherit" w:hAnsi="inherit" w:cs="Arial"/>
          <w:color w:val="231F20"/>
          <w:sz w:val="20"/>
          <w:szCs w:val="20"/>
        </w:rPr>
        <w:t>(zjednodušení administrativy, žadatel již nebude muset tisknout žádné papíry).</w:t>
      </w:r>
    </w:p>
    <w:p w:rsidR="00B839A7" w:rsidRDefault="00B839A7" w:rsidP="00B839A7">
      <w:pPr>
        <w:spacing w:after="150" w:line="322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00099"/>
          <w:kern w:val="36"/>
          <w:sz w:val="26"/>
          <w:szCs w:val="26"/>
          <w:lang w:eastAsia="cs-CZ"/>
        </w:rPr>
      </w:pPr>
    </w:p>
    <w:p w:rsidR="00B839A7" w:rsidRPr="00B839A7" w:rsidRDefault="00B839A7" w:rsidP="00B839A7">
      <w:pPr>
        <w:spacing w:after="150" w:line="322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00099"/>
          <w:kern w:val="36"/>
          <w:sz w:val="26"/>
          <w:szCs w:val="26"/>
          <w:lang w:eastAsia="cs-CZ"/>
        </w:rPr>
      </w:pPr>
      <w:r w:rsidRPr="00B839A7">
        <w:rPr>
          <w:rFonts w:ascii="Tahoma" w:eastAsia="Times New Roman" w:hAnsi="Tahoma" w:cs="Tahoma"/>
          <w:b/>
          <w:bCs/>
          <w:caps/>
          <w:color w:val="000099"/>
          <w:kern w:val="36"/>
          <w:sz w:val="26"/>
          <w:szCs w:val="26"/>
          <w:lang w:eastAsia="cs-CZ"/>
        </w:rPr>
        <w:t>PROGRAMY PRO PROGRAMOVÉ OBDOBÍ 2014-2020</w:t>
      </w:r>
    </w:p>
    <w:p w:rsidR="00B839A7" w:rsidRPr="00B839A7" w:rsidRDefault="00B839A7" w:rsidP="00B839A7">
      <w:pPr>
        <w:spacing w:after="0" w:line="215" w:lineRule="atLeast"/>
        <w:textAlignment w:val="baseline"/>
        <w:rPr>
          <w:rFonts w:ascii="Arial" w:eastAsia="Times New Roman" w:hAnsi="Arial" w:cs="Arial"/>
          <w:b/>
          <w:bCs/>
          <w:color w:val="231F20"/>
          <w:sz w:val="20"/>
          <w:szCs w:val="20"/>
          <w:lang w:eastAsia="cs-CZ"/>
        </w:rPr>
      </w:pPr>
      <w:r w:rsidRPr="00B839A7">
        <w:rPr>
          <w:rFonts w:ascii="Arial" w:eastAsia="Times New Roman" w:hAnsi="Arial" w:cs="Arial"/>
          <w:b/>
          <w:bCs/>
          <w:color w:val="231F20"/>
          <w:sz w:val="20"/>
          <w:szCs w:val="20"/>
          <w:lang w:eastAsia="cs-CZ"/>
        </w:rPr>
        <w:t>Pro nadcházející programové období 2014-2020 jsou připravovány nové programy, které budou spolufinancovány z Evropských strukturálních a investičních fondů (ESIF). Proces přípravy programů probíhá souběžně na úrovni EU a na národní úrovni.</w:t>
      </w:r>
    </w:p>
    <w:p w:rsidR="00B839A7" w:rsidRPr="00B839A7" w:rsidRDefault="00B839A7" w:rsidP="00B839A7">
      <w:pPr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231F20"/>
          <w:sz w:val="13"/>
          <w:szCs w:val="13"/>
          <w:lang w:eastAsia="cs-CZ"/>
        </w:rPr>
      </w:pPr>
      <w:r>
        <w:rPr>
          <w:rFonts w:ascii="inherit" w:eastAsia="Times New Roman" w:hAnsi="inherit" w:cs="Arial"/>
          <w:noProof/>
          <w:color w:val="231F20"/>
          <w:sz w:val="13"/>
          <w:szCs w:val="13"/>
          <w:lang w:eastAsia="cs-CZ"/>
        </w:rPr>
        <w:lastRenderedPageBreak/>
        <w:drawing>
          <wp:inline distT="0" distB="0" distL="0" distR="0">
            <wp:extent cx="4961555" cy="3030280"/>
            <wp:effectExtent l="19050" t="0" r="0" b="0"/>
            <wp:docPr id="1" name="obrázek 1" descr="http://strukturalni-fondy.cz/getmedia/9a52879c-cdfb-4db2-93b2-a877243d94e5/alokace-programy.png?width=650&amp;height=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ukturalni-fondy.cz/getmedia/9a52879c-cdfb-4db2-93b2-a877243d94e5/alokace-programy.png?width=650&amp;height=3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265" cy="303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06" w:rsidRPr="00B839A7" w:rsidRDefault="001D4E06" w:rsidP="001D4E06">
      <w:pPr>
        <w:spacing w:before="100" w:beforeAutospacing="1" w:after="107" w:line="21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99"/>
          <w:sz w:val="15"/>
          <w:szCs w:val="15"/>
          <w:lang w:eastAsia="cs-CZ"/>
        </w:rPr>
      </w:pPr>
      <w:r w:rsidRPr="00B839A7">
        <w:rPr>
          <w:rFonts w:ascii="Arial" w:eastAsia="Times New Roman" w:hAnsi="Arial" w:cs="Arial"/>
          <w:b/>
          <w:bCs/>
          <w:color w:val="000099"/>
          <w:sz w:val="15"/>
          <w:szCs w:val="15"/>
          <w:lang w:eastAsia="cs-CZ"/>
        </w:rPr>
        <w:t>Alokace ESI fondů mezi programy v období 2014-2020</w:t>
      </w:r>
    </w:p>
    <w:p w:rsidR="00B839A7" w:rsidRPr="00B839A7" w:rsidRDefault="00B839A7" w:rsidP="00B839A7">
      <w:pPr>
        <w:spacing w:after="0" w:line="215" w:lineRule="atLeast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cs-CZ"/>
        </w:rPr>
      </w:pPr>
      <w:r w:rsidRPr="00B839A7">
        <w:rPr>
          <w:rFonts w:ascii="Arial" w:eastAsia="Times New Roman" w:hAnsi="Arial" w:cs="Arial"/>
          <w:color w:val="231F20"/>
          <w:sz w:val="20"/>
          <w:szCs w:val="20"/>
          <w:lang w:eastAsia="cs-CZ"/>
        </w:rPr>
        <w:br/>
        <w:t>Programy pro programové období 2014 – 2020 byly vymezeny usnesením vlády ČR č. 867 ze dne 28. listopadu 2012. Jedná se o následující programy:</w:t>
      </w:r>
      <w:r w:rsidRPr="00B839A7">
        <w:rPr>
          <w:rFonts w:ascii="Arial" w:eastAsia="Times New Roman" w:hAnsi="Arial" w:cs="Arial"/>
          <w:color w:val="231F20"/>
          <w:sz w:val="20"/>
          <w:szCs w:val="20"/>
          <w:lang w:eastAsia="cs-CZ"/>
        </w:rPr>
        <w:br/>
        <w:t> </w:t>
      </w:r>
    </w:p>
    <w:p w:rsidR="00B839A7" w:rsidRPr="00B839A7" w:rsidRDefault="00B839A7" w:rsidP="00B839A7">
      <w:pPr>
        <w:spacing w:before="107" w:after="107" w:line="26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99"/>
          <w:lang w:eastAsia="cs-CZ"/>
        </w:rPr>
      </w:pPr>
      <w:r w:rsidRPr="00B839A7">
        <w:rPr>
          <w:rFonts w:ascii="Arial" w:eastAsia="Times New Roman" w:hAnsi="Arial" w:cs="Arial"/>
          <w:b/>
          <w:bCs/>
          <w:color w:val="000099"/>
          <w:lang w:eastAsia="cs-CZ"/>
        </w:rPr>
        <w:t>Národní operační programy 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4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Podnikání a inovace pro konkurenceschopnost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průmyslu a obchodu;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5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Výzkum, vývoj a vzdělávání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školství, mládeže a tělovýchovy;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6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Zaměstnanost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práce a sociálních věcí;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7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Doprava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dopravy;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8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Životní prostředí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životního prostředí;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19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Integrovaný regionální operační program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pro místní rozvoj;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0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Praha - pól růstu ČR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Magistrátem hlavního města Prahy;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1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Technická pomoc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pro místní rozvoj;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2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Operační program Rybářství 2014-2020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zemědělství;</w:t>
      </w:r>
    </w:p>
    <w:p w:rsidR="00B839A7" w:rsidRPr="00B839A7" w:rsidRDefault="00B839A7" w:rsidP="00B839A7">
      <w:pPr>
        <w:numPr>
          <w:ilvl w:val="0"/>
          <w:numId w:val="2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3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Program rozvoje venkova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zemědělství;</w:t>
      </w:r>
    </w:p>
    <w:p w:rsidR="00B839A7" w:rsidRPr="00B839A7" w:rsidRDefault="00B839A7" w:rsidP="00B839A7">
      <w:pPr>
        <w:spacing w:after="0" w:line="215" w:lineRule="atLeast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cs-CZ"/>
        </w:rPr>
      </w:pPr>
      <w:r w:rsidRPr="00B839A7">
        <w:rPr>
          <w:rFonts w:ascii="Arial" w:eastAsia="Times New Roman" w:hAnsi="Arial" w:cs="Arial"/>
          <w:color w:val="231F20"/>
          <w:sz w:val="20"/>
          <w:szCs w:val="20"/>
          <w:lang w:eastAsia="cs-CZ"/>
        </w:rPr>
        <w:t> </w:t>
      </w:r>
    </w:p>
    <w:p w:rsidR="00B839A7" w:rsidRPr="00B839A7" w:rsidRDefault="00B839A7" w:rsidP="00B839A7">
      <w:pPr>
        <w:spacing w:before="107" w:after="107" w:line="26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99"/>
          <w:lang w:eastAsia="cs-CZ"/>
        </w:rPr>
      </w:pPr>
      <w:r w:rsidRPr="00B839A7">
        <w:rPr>
          <w:rFonts w:ascii="Arial" w:eastAsia="Times New Roman" w:hAnsi="Arial" w:cs="Arial"/>
          <w:b/>
          <w:bCs/>
          <w:color w:val="000099"/>
          <w:lang w:eastAsia="cs-CZ"/>
        </w:rPr>
        <w:t xml:space="preserve">Programy </w:t>
      </w:r>
      <w:proofErr w:type="spellStart"/>
      <w:r w:rsidRPr="00B839A7">
        <w:rPr>
          <w:rFonts w:ascii="Arial" w:eastAsia="Times New Roman" w:hAnsi="Arial" w:cs="Arial"/>
          <w:b/>
          <w:bCs/>
          <w:color w:val="000099"/>
          <w:lang w:eastAsia="cs-CZ"/>
        </w:rPr>
        <w:t>přeshraniční</w:t>
      </w:r>
      <w:proofErr w:type="spellEnd"/>
      <w:r w:rsidRPr="00B839A7">
        <w:rPr>
          <w:rFonts w:ascii="Arial" w:eastAsia="Times New Roman" w:hAnsi="Arial" w:cs="Arial"/>
          <w:b/>
          <w:bCs/>
          <w:color w:val="000099"/>
          <w:lang w:eastAsia="cs-CZ"/>
        </w:rPr>
        <w:t xml:space="preserve"> spolupráce</w:t>
      </w:r>
    </w:p>
    <w:p w:rsidR="00B839A7" w:rsidRPr="00B839A7" w:rsidRDefault="00B839A7" w:rsidP="00B839A7">
      <w:pPr>
        <w:numPr>
          <w:ilvl w:val="0"/>
          <w:numId w:val="3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4" w:history="1">
        <w:proofErr w:type="spellStart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Interreg</w:t>
        </w:r>
        <w:proofErr w:type="spellEnd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 V-A </w:t>
        </w:r>
      </w:hyperlink>
      <w:hyperlink r:id="rId25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Česká republika - Polsko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řízený Ministerstvem pro místní rozvoj;</w:t>
      </w:r>
    </w:p>
    <w:p w:rsidR="00B839A7" w:rsidRPr="00B839A7" w:rsidRDefault="00B839A7" w:rsidP="00B839A7">
      <w:pPr>
        <w:numPr>
          <w:ilvl w:val="0"/>
          <w:numId w:val="3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6" w:history="1">
        <w:proofErr w:type="spellStart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Interreg</w:t>
        </w:r>
        <w:proofErr w:type="spellEnd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 xml:space="preserve"> V-A Slovenská republika - Česká republika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koordinovaný na území České republiky Ministerstvem pro místní rozvoj;</w:t>
      </w:r>
    </w:p>
    <w:p w:rsidR="00B839A7" w:rsidRPr="00B839A7" w:rsidRDefault="00B839A7" w:rsidP="00B839A7">
      <w:pPr>
        <w:numPr>
          <w:ilvl w:val="0"/>
          <w:numId w:val="3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7" w:history="1">
        <w:proofErr w:type="spellStart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Interreg</w:t>
        </w:r>
        <w:proofErr w:type="spellEnd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 xml:space="preserve"> V-A Rakousko - Česká republika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koordinovaný na území České republiky Ministerstvem pro místní rozvoj;</w:t>
      </w:r>
    </w:p>
    <w:p w:rsidR="00B839A7" w:rsidRPr="00B839A7" w:rsidRDefault="00B839A7" w:rsidP="00B839A7">
      <w:pPr>
        <w:numPr>
          <w:ilvl w:val="0"/>
          <w:numId w:val="3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8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 xml:space="preserve">Program </w:t>
        </w:r>
        <w:proofErr w:type="spellStart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přeshraniční</w:t>
        </w:r>
        <w:proofErr w:type="spellEnd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 xml:space="preserve"> spolupráce Česká republika - Svobodný stát Bavorsko Cíl EÚS 2014-2020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koordinovaný na území České republiky Ministerstvem pro místní rozvoj;</w:t>
      </w:r>
    </w:p>
    <w:p w:rsidR="00B839A7" w:rsidRPr="00B839A7" w:rsidRDefault="00B839A7" w:rsidP="00B839A7">
      <w:pPr>
        <w:numPr>
          <w:ilvl w:val="0"/>
          <w:numId w:val="3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hyperlink r:id="rId29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Program spolupráce Svobodný stát Sasko - Česká republika 2014-2020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koordinovaný na území České republiky Ministerstvem pro místní rozvoj;</w:t>
      </w:r>
    </w:p>
    <w:p w:rsidR="00B839A7" w:rsidRPr="00B839A7" w:rsidRDefault="00B839A7" w:rsidP="00B839A7">
      <w:pPr>
        <w:spacing w:after="0" w:line="215" w:lineRule="atLeast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cs-CZ"/>
        </w:rPr>
      </w:pPr>
      <w:r w:rsidRPr="00B839A7">
        <w:rPr>
          <w:rFonts w:ascii="Arial" w:eastAsia="Times New Roman" w:hAnsi="Arial" w:cs="Arial"/>
          <w:color w:val="231F20"/>
          <w:sz w:val="20"/>
          <w:szCs w:val="20"/>
          <w:lang w:eastAsia="cs-CZ"/>
        </w:rPr>
        <w:t> </w:t>
      </w:r>
    </w:p>
    <w:p w:rsidR="00B839A7" w:rsidRPr="00B839A7" w:rsidRDefault="00B839A7" w:rsidP="00B839A7">
      <w:pPr>
        <w:spacing w:before="107" w:after="107" w:line="269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99"/>
          <w:lang w:eastAsia="cs-CZ"/>
        </w:rPr>
      </w:pPr>
      <w:r w:rsidRPr="00B839A7">
        <w:rPr>
          <w:rFonts w:ascii="Arial" w:eastAsia="Times New Roman" w:hAnsi="Arial" w:cs="Arial"/>
          <w:b/>
          <w:bCs/>
          <w:color w:val="000099"/>
          <w:lang w:eastAsia="cs-CZ"/>
        </w:rPr>
        <w:t>Programy nadnárodní a meziregionální spolupráce</w:t>
      </w:r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 xml:space="preserve">Program </w:t>
      </w:r>
      <w:proofErr w:type="spellStart"/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nadárodní</w:t>
      </w:r>
      <w:proofErr w:type="spellEnd"/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 xml:space="preserve"> spolupráce </w:t>
      </w:r>
      <w:proofErr w:type="spellStart"/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fldChar w:fldCharType="begin"/>
      </w: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instrText xml:space="preserve"> HYPERLINK "http://strukturalni-fondy.cz/cs/Fondy-EU/Kohezni-politika-EU/Operacni-programy/OP-nadnarodni-spoluprace" </w:instrText>
      </w: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fldChar w:fldCharType="separate"/>
      </w:r>
      <w:r w:rsidRPr="001D4E06">
        <w:rPr>
          <w:rFonts w:ascii="inherit" w:eastAsia="Times New Roman" w:hAnsi="inherit" w:cs="Arial"/>
          <w:b/>
          <w:bCs/>
          <w:color w:val="000099"/>
          <w:sz w:val="20"/>
          <w:szCs w:val="20"/>
          <w:u w:val="single"/>
          <w:lang w:eastAsia="cs-CZ"/>
        </w:rPr>
        <w:t>Interreg</w:t>
      </w:r>
      <w:proofErr w:type="spellEnd"/>
      <w:r w:rsidRPr="001D4E06">
        <w:rPr>
          <w:rFonts w:ascii="inherit" w:eastAsia="Times New Roman" w:hAnsi="inherit" w:cs="Arial"/>
          <w:b/>
          <w:bCs/>
          <w:color w:val="000099"/>
          <w:sz w:val="20"/>
          <w:szCs w:val="20"/>
          <w:u w:val="single"/>
          <w:lang w:eastAsia="cs-CZ"/>
        </w:rPr>
        <w:t xml:space="preserve"> CENTRAL EUROPE</w:t>
      </w: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fldChar w:fldCharType="end"/>
      </w: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koordinovaný na území České republiky Ministerstvem pro místní rozvoj;</w:t>
      </w:r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Program nadnárodní spolupráce </w:t>
      </w:r>
      <w:hyperlink r:id="rId30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DANUBE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 </w:t>
      </w:r>
      <w:r w:rsidRPr="00B839A7">
        <w:rPr>
          <w:rFonts w:ascii="inherit" w:eastAsia="Times New Roman" w:hAnsi="inherit" w:cs="Arial"/>
          <w:color w:val="231F20"/>
          <w:sz w:val="20"/>
          <w:szCs w:val="20"/>
          <w:bdr w:val="none" w:sz="0" w:space="0" w:color="auto" w:frame="1"/>
          <w:lang w:eastAsia="cs-CZ"/>
        </w:rPr>
        <w:t>koordinovaný na území České republiky Ministerstvem pro místní rozvoj (schválen dodatečně usnesením vlády ČR č. 447 ze dne 12. června 2013);</w:t>
      </w:r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lastRenderedPageBreak/>
        <w:t>Program meziregionální spolupráce </w:t>
      </w:r>
      <w:hyperlink r:id="rId31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INTERREG EUROPE</w:t>
        </w:r>
      </w:hyperlink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, koordinované na území České republiky Ministerstvem pro místní rozvoj.</w:t>
      </w:r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Program meziregionální spolupráce </w:t>
      </w:r>
      <w:hyperlink r:id="rId32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ESPON 2020</w:t>
        </w:r>
      </w:hyperlink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Program meziregionální spolupráce </w:t>
      </w:r>
      <w:hyperlink r:id="rId33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INTERACT III</w:t>
        </w:r>
      </w:hyperlink>
    </w:p>
    <w:p w:rsidR="00B839A7" w:rsidRPr="00B839A7" w:rsidRDefault="00B839A7" w:rsidP="00B839A7">
      <w:pPr>
        <w:numPr>
          <w:ilvl w:val="0"/>
          <w:numId w:val="4"/>
        </w:numPr>
        <w:spacing w:after="0" w:line="193" w:lineRule="atLeast"/>
        <w:ind w:left="322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Program</w:t>
      </w:r>
      <w:r w:rsidRPr="001D4E06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 </w:t>
      </w:r>
      <w:hyperlink r:id="rId34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URBACT III</w:t>
        </w:r>
      </w:hyperlink>
    </w:p>
    <w:p w:rsidR="00B839A7" w:rsidRPr="00B839A7" w:rsidRDefault="00B839A7" w:rsidP="00B839A7">
      <w:pPr>
        <w:spacing w:after="0" w:line="215" w:lineRule="atLeast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Programy byly vymezeny v návaznosti na 8 tematických okruhů stanovených na národní úrovni, které představují „převodník“ mezi úrovní národních rozvojových priorit a cílů a prioritních os jednotlivých programů. Tyto okruhy se opírají o řádně zdůvodněné problémové analýzy zpracované resorty, kraji a zástupci měst a obcí a byly podrobeny dlouhé, důkladné a detailní debatě a systematickému ověřování potřeb ze strany partnerů.</w:t>
      </w:r>
    </w:p>
    <w:p w:rsidR="00B839A7" w:rsidRPr="00B839A7" w:rsidRDefault="00B839A7" w:rsidP="00B839A7">
      <w:pPr>
        <w:spacing w:after="0" w:line="215" w:lineRule="atLeast"/>
        <w:textAlignment w:val="baseline"/>
        <w:rPr>
          <w:rFonts w:ascii="inherit" w:eastAsia="Times New Roman" w:hAnsi="inherit" w:cs="Arial"/>
          <w:color w:val="231F20"/>
          <w:sz w:val="20"/>
          <w:szCs w:val="20"/>
          <w:lang w:eastAsia="cs-CZ"/>
        </w:rPr>
      </w:pP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 xml:space="preserve">Programy jsou připravovány v gesci příslušných resortů a projednávány s relevantními partnery regionálními, lokálními, hospodářskými i sociálními a také se zástupci neziskového sektoru. Koordinací přípravy programových dokumentů jak na úrovni ČR, tak i EU </w:t>
      </w:r>
      <w:proofErr w:type="spellStart"/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bylo</w:t>
      </w:r>
      <w:hyperlink r:id="rId35" w:tgtFrame="_blank" w:tooltip="Odkaz bude otevřen v novém okně." w:history="1"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>usnesením</w:t>
        </w:r>
        <w:proofErr w:type="spellEnd"/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u w:val="single"/>
            <w:lang w:eastAsia="cs-CZ"/>
          </w:rPr>
          <w:t xml:space="preserve"> vlády č. 650 ze dne 31. srpna 2011</w:t>
        </w:r>
        <w:r w:rsidRPr="001D4E06">
          <w:rPr>
            <w:rFonts w:ascii="inherit" w:eastAsia="Times New Roman" w:hAnsi="inherit" w:cs="Arial"/>
            <w:b/>
            <w:bCs/>
            <w:color w:val="000099"/>
            <w:sz w:val="20"/>
            <w:szCs w:val="20"/>
            <w:lang w:eastAsia="cs-CZ"/>
          </w:rPr>
          <w:t>    </w:t>
        </w:r>
      </w:hyperlink>
      <w:r w:rsidRPr="001D4E06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 </w:t>
      </w:r>
      <w:r w:rsidRPr="00B839A7">
        <w:rPr>
          <w:rFonts w:ascii="inherit" w:eastAsia="Times New Roman" w:hAnsi="inherit" w:cs="Arial"/>
          <w:color w:val="231F20"/>
          <w:sz w:val="20"/>
          <w:szCs w:val="20"/>
          <w:lang w:eastAsia="cs-CZ"/>
        </w:rPr>
        <w:t>pověřeno Ministerstvo pro místní rozvoj ČR.</w:t>
      </w:r>
    </w:p>
    <w:p w:rsidR="00CA65DE" w:rsidRDefault="00CA65DE">
      <w:pPr>
        <w:rPr>
          <w:sz w:val="20"/>
          <w:szCs w:val="20"/>
        </w:rPr>
      </w:pPr>
    </w:p>
    <w:p w:rsidR="001D4E06" w:rsidRPr="001D4E06" w:rsidRDefault="001D4E06">
      <w:pPr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hyperlink r:id="rId36" w:history="1">
        <w:r w:rsidRPr="00BD69A3">
          <w:rPr>
            <w:rStyle w:val="Hypertextovodkaz"/>
            <w:sz w:val="20"/>
            <w:szCs w:val="20"/>
          </w:rPr>
          <w:t>www.stukturalni-fondy.cz</w:t>
        </w:r>
      </w:hyperlink>
      <w:r>
        <w:rPr>
          <w:sz w:val="20"/>
          <w:szCs w:val="20"/>
        </w:rPr>
        <w:t xml:space="preserve"> </w:t>
      </w:r>
    </w:p>
    <w:sectPr w:rsidR="001D4E06" w:rsidRPr="001D4E06" w:rsidSect="00CA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98C"/>
    <w:multiLevelType w:val="multilevel"/>
    <w:tmpl w:val="19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20C29"/>
    <w:multiLevelType w:val="multilevel"/>
    <w:tmpl w:val="4DE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97296"/>
    <w:multiLevelType w:val="multilevel"/>
    <w:tmpl w:val="88B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9013E"/>
    <w:multiLevelType w:val="multilevel"/>
    <w:tmpl w:val="D05A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E673B"/>
    <w:multiLevelType w:val="multilevel"/>
    <w:tmpl w:val="3864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C3222"/>
    <w:multiLevelType w:val="multilevel"/>
    <w:tmpl w:val="EB32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B5E75"/>
    <w:multiLevelType w:val="multilevel"/>
    <w:tmpl w:val="91DE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937E4"/>
    <w:multiLevelType w:val="multilevel"/>
    <w:tmpl w:val="AA56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39A7"/>
    <w:rsid w:val="001D4E06"/>
    <w:rsid w:val="00B839A7"/>
    <w:rsid w:val="00CA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5DE"/>
  </w:style>
  <w:style w:type="paragraph" w:styleId="Nadpis1">
    <w:name w:val="heading 1"/>
    <w:basedOn w:val="Normln"/>
    <w:link w:val="Nadpis1Char"/>
    <w:uiPriority w:val="9"/>
    <w:qFormat/>
    <w:rsid w:val="00B83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3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3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9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39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39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39A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839A7"/>
  </w:style>
  <w:style w:type="paragraph" w:styleId="Normlnweb">
    <w:name w:val="Normal (Web)"/>
    <w:basedOn w:val="Normln"/>
    <w:uiPriority w:val="99"/>
    <w:semiHidden/>
    <w:unhideWhenUsed/>
    <w:rsid w:val="00B8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xternallink">
    <w:name w:val="externallink"/>
    <w:basedOn w:val="Standardnpsmoodstavce"/>
    <w:rsid w:val="00B839A7"/>
  </w:style>
  <w:style w:type="paragraph" w:styleId="Textbubliny">
    <w:name w:val="Balloon Text"/>
    <w:basedOn w:val="Normln"/>
    <w:link w:val="TextbublinyChar"/>
    <w:uiPriority w:val="99"/>
    <w:semiHidden/>
    <w:unhideWhenUsed/>
    <w:rsid w:val="00B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9A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3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839A7"/>
    <w:rPr>
      <w:b/>
      <w:bCs/>
    </w:rPr>
  </w:style>
  <w:style w:type="character" w:customStyle="1" w:styleId="externalwindows">
    <w:name w:val="externalwindows"/>
    <w:basedOn w:val="Standardnpsmoodstavce"/>
    <w:rsid w:val="00B83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68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7626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04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62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08">
          <w:marLeft w:val="0"/>
          <w:marRight w:val="0"/>
          <w:marTop w:val="107"/>
          <w:marBottom w:val="215"/>
          <w:divBdr>
            <w:top w:val="single" w:sz="4" w:space="5" w:color="EDEDED"/>
            <w:left w:val="single" w:sz="4" w:space="0" w:color="EDEDED"/>
            <w:bottom w:val="single" w:sz="4" w:space="5" w:color="EDEDED"/>
            <w:right w:val="single" w:sz="4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ukturalni-fondy.cz/cs/Fondy-EU/Informace-o-fondech-EU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strukturalni-fondy.cz/cs/Fondy-EU/2014-2020/Operacni-programy/OP-Zivotni-prostredi" TargetMode="External"/><Relationship Id="rId26" Type="http://schemas.openxmlformats.org/officeDocument/2006/relationships/hyperlink" Target="http://strukturalni-fondy.cz/cs/Fondy-EU/2014-2020/Operacni-programy/OP-Slovensko-%E2%80%93-C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rukturalni-fondy.cz/cs/Fondy-EU/2014-2020/Operacni-programy/OP-Technicka-pomoc" TargetMode="External"/><Relationship Id="rId34" Type="http://schemas.openxmlformats.org/officeDocument/2006/relationships/hyperlink" Target="http://strukturalni-fondy.cz/cs/Fondy-EU/2014-2020/Operacni-programy/Program-URBACT-III-(1)" TargetMode="External"/><Relationship Id="rId7" Type="http://schemas.openxmlformats.org/officeDocument/2006/relationships/hyperlink" Target="http://strukturalni-fondy.cz/cs/Fondy-EU/Informace-o-fondech-EU" TargetMode="External"/><Relationship Id="rId12" Type="http://schemas.openxmlformats.org/officeDocument/2006/relationships/hyperlink" Target="http://strukturalni-fondy.cz/cs/Jak-na-projekt/Elektronicka-zadost" TargetMode="External"/><Relationship Id="rId17" Type="http://schemas.openxmlformats.org/officeDocument/2006/relationships/hyperlink" Target="http://strukturalni-fondy.cz/cs/Fondy-EU/Kohezni-politika-EU/Operacni-programy/OP-Doprava" TargetMode="External"/><Relationship Id="rId25" Type="http://schemas.openxmlformats.org/officeDocument/2006/relationships/hyperlink" Target="http://strukturalni-fondy.cz/cs/Fondy-EU/Kohezni-politika-EU/Operacni-programy/OP-CR-%E2%80%93-Polsko-(1)" TargetMode="External"/><Relationship Id="rId33" Type="http://schemas.openxmlformats.org/officeDocument/2006/relationships/hyperlink" Target="http://strukturalni-fondy.cz/cs/Fondy-EU/Kohezni-politika-EU/Operacni-programy/OP-INTERACT-II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rukturalni-fondy.cz/cs/Fondy-EU/Kohezni-politika-EU/Operacni-programy/OP-Zamestnanost" TargetMode="External"/><Relationship Id="rId20" Type="http://schemas.openxmlformats.org/officeDocument/2006/relationships/hyperlink" Target="http://strukturalni-fondy.cz/cs/Fondy-EU/Kohezni-politika-EU/Operacni-programy/OP-Praha" TargetMode="External"/><Relationship Id="rId29" Type="http://schemas.openxmlformats.org/officeDocument/2006/relationships/hyperlink" Target="http://strukturalni-fondy.cz/cs/Fondy-EU/2014-2020/Operacni-programy/OP-Sasko-%E2%80%93-C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rukturalni-fondy.cz/cs/Fondy-EU/2014-2020/Operacni-programy" TargetMode="External"/><Relationship Id="rId11" Type="http://schemas.openxmlformats.org/officeDocument/2006/relationships/hyperlink" Target="http://strukturalni-fondy.cz/cs/Fondy-EU/2014-2020/Operacni-programy" TargetMode="External"/><Relationship Id="rId24" Type="http://schemas.openxmlformats.org/officeDocument/2006/relationships/hyperlink" Target="http://strukturalni-fondy.cz/cs/Fondy-EU/2014-2020/Operacni-programy/OP-CR-%E2%80%93-Polsko" TargetMode="External"/><Relationship Id="rId32" Type="http://schemas.openxmlformats.org/officeDocument/2006/relationships/hyperlink" Target="http://strukturalni-fondy.cz/cs/Fondy-EU/Kohezni-politika-EU/Operacni-programy/ESPON-20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trukturalni-fondy.cz/cs/Fondy-EU/2014-2020/Dohoda-o-partnerstvi" TargetMode="External"/><Relationship Id="rId15" Type="http://schemas.openxmlformats.org/officeDocument/2006/relationships/hyperlink" Target="http://strukturalni-fondy.cz/cs/Fondy-EU/Kohezni-politika-EU/Operacni-programy/OP-Vyzkum,-vyvoj-a-vzdelavani-(1)" TargetMode="External"/><Relationship Id="rId23" Type="http://schemas.openxmlformats.org/officeDocument/2006/relationships/hyperlink" Target="http://strukturalni-fondy.cz/cs/Fondy-EU/Kohezni-politika-EU/Operacni-programy/Program-rozvoje-venkova" TargetMode="External"/><Relationship Id="rId28" Type="http://schemas.openxmlformats.org/officeDocument/2006/relationships/hyperlink" Target="http://www.strukturalni-fondy.cz/cs/Fondy-EU/2014-2020/Operacni-programy/Program-preshranicni-spoluprace-Ceska-republik" TargetMode="External"/><Relationship Id="rId36" Type="http://schemas.openxmlformats.org/officeDocument/2006/relationships/hyperlink" Target="http://www.stukturalni-fondy.cz" TargetMode="External"/><Relationship Id="rId10" Type="http://schemas.openxmlformats.org/officeDocument/2006/relationships/hyperlink" Target="http://www.mmr.cz/cs/Microsites/PORTAL-STRATEGICKE-PRACE-V-CESKE-REPUBLICE/Uvodni-strana" TargetMode="External"/><Relationship Id="rId19" Type="http://schemas.openxmlformats.org/officeDocument/2006/relationships/hyperlink" Target="http://strukturalni-fondy.cz/cs/Fondy-EU/Kohezni-politika-EU/Operacni-programy/Integrovany-regionalni-operacni-program" TargetMode="External"/><Relationship Id="rId31" Type="http://schemas.openxmlformats.org/officeDocument/2006/relationships/hyperlink" Target="http://strukturalni-fondy.cz/cs/Fondy-EU/2014-2020/Operacni-programy/OP-INTERREG-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ukturalni-fondy.cz/cs/Fondy-EU/Narodni-organ-pro-koordinaci/Predbezne-podminky" TargetMode="External"/><Relationship Id="rId14" Type="http://schemas.openxmlformats.org/officeDocument/2006/relationships/hyperlink" Target="http://strukturalni-fondy.cz/cs/Fondy-EU/Kohezni-politika-EU/Operacni-programy/OP-Podnikani-a-inovace-pro-konkurenceschopnost" TargetMode="External"/><Relationship Id="rId22" Type="http://schemas.openxmlformats.org/officeDocument/2006/relationships/hyperlink" Target="http://strukturalni-fondy.cz/cs/Fondy-EU/Kohezni-politika-EU/Operacni-programy/OP-Rybarstvi-2014%E2%80%932020" TargetMode="External"/><Relationship Id="rId27" Type="http://schemas.openxmlformats.org/officeDocument/2006/relationships/hyperlink" Target="http://strukturalni-fondy.cz/cs/Fondy-EU/2014-2020/Operacni-programy/OP-Rakousko-%E2%80%93-CR" TargetMode="External"/><Relationship Id="rId30" Type="http://schemas.openxmlformats.org/officeDocument/2006/relationships/hyperlink" Target="http://strukturalni-fondy.cz/cs/Fondy-EU/Kohezni-politika-EU/Operacni-programy/OP-nadnarodni-spoluprace-Danube" TargetMode="External"/><Relationship Id="rId35" Type="http://schemas.openxmlformats.org/officeDocument/2006/relationships/hyperlink" Target="https://racek.vlada.cz/usneseni/usneseni_webtest.nsf/0/A9396B86098ACA1FC1257ACD003EC9A4/$FILE/867%20uv121128.0867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1346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1</cp:revision>
  <cp:lastPrinted>2015-11-04T06:59:00Z</cp:lastPrinted>
  <dcterms:created xsi:type="dcterms:W3CDTF">2015-11-04T06:59:00Z</dcterms:created>
  <dcterms:modified xsi:type="dcterms:W3CDTF">2015-11-04T09:12:00Z</dcterms:modified>
</cp:coreProperties>
</file>