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E03DA" w:rsidRPr="006E03DA" w:rsidRDefault="006E03DA" w:rsidP="006E03DA">
      <w:pPr>
        <w:pBdr>
          <w:bottom w:val="single" w:sz="4" w:space="1" w:color="auto"/>
        </w:pBdr>
        <w:spacing w:after="120"/>
        <w:jc w:val="right"/>
        <w:rPr>
          <w:b/>
        </w:rPr>
      </w:pPr>
      <w:bookmarkStart w:id="0" w:name="_GoBack"/>
      <w:bookmarkEnd w:id="0"/>
      <w:r>
        <w:rPr>
          <w:b/>
        </w:rPr>
        <w:t>P</w:t>
      </w:r>
      <w:r w:rsidRPr="006E03DA">
        <w:rPr>
          <w:b/>
        </w:rPr>
        <w:t>říležitost</w:t>
      </w:r>
      <w:r>
        <w:rPr>
          <w:b/>
        </w:rPr>
        <w:t>i</w:t>
      </w:r>
      <w:r w:rsidRPr="006E03DA">
        <w:rPr>
          <w:b/>
        </w:rPr>
        <w:t xml:space="preserve"> k rozvíjení kompetence k řešení problémů </w:t>
      </w:r>
    </w:p>
    <w:p w:rsidR="006E03DA" w:rsidRDefault="006E03DA" w:rsidP="006E03DA">
      <w:pPr>
        <w:pBdr>
          <w:bottom w:val="single" w:sz="4" w:space="1" w:color="auto"/>
        </w:pBdr>
        <w:spacing w:after="120"/>
        <w:jc w:val="right"/>
        <w:rPr>
          <w:b/>
        </w:rPr>
      </w:pPr>
      <w:r w:rsidRPr="006E03DA">
        <w:rPr>
          <w:b/>
        </w:rPr>
        <w:t xml:space="preserve">v učebnicích a ve výuce zeměpisu </w:t>
      </w:r>
    </w:p>
    <w:p w:rsidR="00665195" w:rsidRPr="006E03DA" w:rsidRDefault="00D622E5" w:rsidP="006E03DA">
      <w:pPr>
        <w:pBdr>
          <w:bottom w:val="single" w:sz="4" w:space="1" w:color="auto"/>
        </w:pBdr>
        <w:spacing w:after="120"/>
        <w:jc w:val="right"/>
        <w:rPr>
          <w:b/>
        </w:rPr>
      </w:pPr>
      <w:r>
        <w:t>Petr Knecht</w:t>
      </w:r>
    </w:p>
    <w:p w:rsidR="00665195" w:rsidRDefault="00665195" w:rsidP="008B26CE">
      <w:pPr>
        <w:jc w:val="right"/>
        <w:rPr>
          <w:b/>
          <w:sz w:val="36"/>
          <w:szCs w:val="36"/>
        </w:rPr>
      </w:pPr>
    </w:p>
    <w:p w:rsidR="003756A8" w:rsidRDefault="00D708DB" w:rsidP="008B26CE">
      <w:pPr>
        <w:jc w:val="right"/>
        <w:rPr>
          <w:b/>
          <w:sz w:val="36"/>
          <w:szCs w:val="36"/>
        </w:rPr>
      </w:pPr>
      <w:r>
        <w:rPr>
          <w:b/>
          <w:sz w:val="36"/>
          <w:szCs w:val="36"/>
        </w:rPr>
        <w:br w:type="page"/>
      </w:r>
      <w:r>
        <w:rPr>
          <w:b/>
          <w:sz w:val="36"/>
          <w:szCs w:val="36"/>
        </w:rPr>
        <w:lastRenderedPageBreak/>
        <w:br w:type="page"/>
      </w:r>
    </w:p>
    <w:p w:rsidR="00825D9D" w:rsidRPr="00BA0FF5" w:rsidRDefault="00825D9D" w:rsidP="008B26CE">
      <w:pPr>
        <w:jc w:val="right"/>
        <w:rPr>
          <w:b/>
          <w:sz w:val="36"/>
          <w:szCs w:val="36"/>
        </w:rPr>
      </w:pPr>
      <w:r w:rsidRPr="00BA0FF5">
        <w:rPr>
          <w:b/>
          <w:sz w:val="36"/>
          <w:szCs w:val="36"/>
        </w:rPr>
        <w:lastRenderedPageBreak/>
        <w:t>Masarykova univerzita</w:t>
      </w:r>
    </w:p>
    <w:p w:rsidR="00825D9D" w:rsidRDefault="00825D9D" w:rsidP="008B26CE">
      <w:pPr>
        <w:jc w:val="center"/>
        <w:rPr>
          <w:sz w:val="32"/>
          <w:szCs w:val="32"/>
        </w:rPr>
      </w:pPr>
    </w:p>
    <w:p w:rsidR="00825D9D" w:rsidRDefault="00825D9D" w:rsidP="008B26CE">
      <w:pPr>
        <w:jc w:val="center"/>
        <w:rPr>
          <w:sz w:val="32"/>
          <w:szCs w:val="32"/>
        </w:rPr>
      </w:pPr>
    </w:p>
    <w:p w:rsidR="00825D9D" w:rsidRDefault="00825D9D" w:rsidP="008B26CE">
      <w:pPr>
        <w:jc w:val="center"/>
        <w:rPr>
          <w:sz w:val="32"/>
          <w:szCs w:val="32"/>
        </w:rPr>
      </w:pPr>
    </w:p>
    <w:p w:rsidR="00825D9D" w:rsidRDefault="00825D9D" w:rsidP="008B26CE">
      <w:pPr>
        <w:jc w:val="center"/>
        <w:rPr>
          <w:sz w:val="32"/>
          <w:szCs w:val="32"/>
        </w:rPr>
      </w:pPr>
    </w:p>
    <w:p w:rsidR="00825D9D" w:rsidRDefault="00825D9D" w:rsidP="008B26CE">
      <w:pPr>
        <w:jc w:val="center"/>
        <w:rPr>
          <w:sz w:val="32"/>
          <w:szCs w:val="32"/>
        </w:rPr>
      </w:pPr>
    </w:p>
    <w:p w:rsidR="00825D9D" w:rsidRDefault="00825D9D" w:rsidP="008B26CE">
      <w:pPr>
        <w:jc w:val="center"/>
        <w:rPr>
          <w:sz w:val="32"/>
          <w:szCs w:val="32"/>
        </w:rPr>
      </w:pPr>
    </w:p>
    <w:p w:rsidR="00825D9D" w:rsidRDefault="00825D9D" w:rsidP="008B26CE">
      <w:pPr>
        <w:jc w:val="center"/>
        <w:rPr>
          <w:sz w:val="32"/>
          <w:szCs w:val="32"/>
        </w:rPr>
      </w:pPr>
    </w:p>
    <w:p w:rsidR="00915EE0" w:rsidRDefault="00915EE0" w:rsidP="008B26CE">
      <w:pPr>
        <w:jc w:val="center"/>
        <w:rPr>
          <w:rFonts w:ascii="Calibri" w:hAnsi="Calibri"/>
          <w:sz w:val="32"/>
          <w:szCs w:val="32"/>
        </w:rPr>
      </w:pPr>
    </w:p>
    <w:p w:rsidR="00E477A1" w:rsidRPr="00793812" w:rsidRDefault="00E477A1" w:rsidP="008B26CE">
      <w:pPr>
        <w:jc w:val="center"/>
        <w:rPr>
          <w:rFonts w:ascii="Calibri" w:hAnsi="Calibri"/>
          <w:sz w:val="32"/>
          <w:szCs w:val="32"/>
        </w:rPr>
      </w:pPr>
    </w:p>
    <w:p w:rsidR="00E17A0A" w:rsidRPr="006E03DA" w:rsidRDefault="006E03DA" w:rsidP="00BF37DF">
      <w:pPr>
        <w:spacing w:after="120"/>
        <w:jc w:val="right"/>
        <w:rPr>
          <w:sz w:val="28"/>
          <w:szCs w:val="32"/>
        </w:rPr>
      </w:pPr>
      <w:r w:rsidRPr="006E03DA">
        <w:rPr>
          <w:b/>
          <w:bCs/>
          <w:sz w:val="36"/>
          <w:szCs w:val="42"/>
        </w:rPr>
        <w:t xml:space="preserve">Příležitosti k rozvíjení kompetence k řešení problémů </w:t>
      </w:r>
      <w:r w:rsidR="00BF37DF">
        <w:rPr>
          <w:b/>
          <w:bCs/>
          <w:sz w:val="36"/>
          <w:szCs w:val="42"/>
        </w:rPr>
        <w:br/>
      </w:r>
      <w:r w:rsidRPr="006E03DA">
        <w:rPr>
          <w:b/>
          <w:bCs/>
          <w:sz w:val="36"/>
          <w:szCs w:val="42"/>
        </w:rPr>
        <w:t>v učebnicích a ve výuce zeměpisu</w:t>
      </w:r>
    </w:p>
    <w:p w:rsidR="00825D9D" w:rsidRPr="00E17A0A" w:rsidRDefault="00D622E5" w:rsidP="008B26CE">
      <w:pPr>
        <w:jc w:val="right"/>
        <w:rPr>
          <w:sz w:val="40"/>
          <w:szCs w:val="40"/>
        </w:rPr>
      </w:pPr>
      <w:r>
        <w:rPr>
          <w:sz w:val="40"/>
          <w:szCs w:val="40"/>
        </w:rPr>
        <w:t>Petr Knecht</w:t>
      </w:r>
    </w:p>
    <w:p w:rsidR="001848B8" w:rsidRDefault="001848B8" w:rsidP="008B26CE">
      <w:pPr>
        <w:jc w:val="center"/>
        <w:rPr>
          <w:sz w:val="32"/>
          <w:szCs w:val="32"/>
        </w:rPr>
      </w:pPr>
    </w:p>
    <w:p w:rsidR="001848B8" w:rsidRDefault="001848B8" w:rsidP="008B26CE">
      <w:pPr>
        <w:jc w:val="center"/>
        <w:rPr>
          <w:sz w:val="32"/>
          <w:szCs w:val="32"/>
        </w:rPr>
      </w:pPr>
    </w:p>
    <w:p w:rsidR="006E03DA" w:rsidRDefault="006E03DA" w:rsidP="008B26CE">
      <w:pPr>
        <w:jc w:val="center"/>
        <w:rPr>
          <w:sz w:val="32"/>
          <w:szCs w:val="32"/>
        </w:rPr>
      </w:pPr>
    </w:p>
    <w:p w:rsidR="001848B8" w:rsidRDefault="001848B8" w:rsidP="008B26CE">
      <w:pPr>
        <w:jc w:val="center"/>
        <w:rPr>
          <w:sz w:val="32"/>
          <w:szCs w:val="32"/>
        </w:rPr>
      </w:pPr>
    </w:p>
    <w:p w:rsidR="001848B8" w:rsidRDefault="001848B8" w:rsidP="008B26CE">
      <w:pPr>
        <w:jc w:val="center"/>
        <w:rPr>
          <w:sz w:val="32"/>
          <w:szCs w:val="32"/>
        </w:rPr>
      </w:pPr>
    </w:p>
    <w:p w:rsidR="001848B8" w:rsidRDefault="001848B8" w:rsidP="008B26CE">
      <w:pPr>
        <w:jc w:val="center"/>
        <w:rPr>
          <w:sz w:val="32"/>
          <w:szCs w:val="32"/>
        </w:rPr>
      </w:pPr>
    </w:p>
    <w:p w:rsidR="001848B8" w:rsidRDefault="001848B8" w:rsidP="008B26CE">
      <w:pPr>
        <w:jc w:val="center"/>
        <w:rPr>
          <w:sz w:val="32"/>
          <w:szCs w:val="32"/>
        </w:rPr>
      </w:pPr>
    </w:p>
    <w:p w:rsidR="001848B8" w:rsidRDefault="001848B8" w:rsidP="008B26CE">
      <w:pPr>
        <w:jc w:val="center"/>
        <w:rPr>
          <w:sz w:val="32"/>
          <w:szCs w:val="32"/>
        </w:rPr>
      </w:pPr>
    </w:p>
    <w:p w:rsidR="00EB7F7F" w:rsidRDefault="00EB7F7F" w:rsidP="008B26CE">
      <w:pPr>
        <w:jc w:val="center"/>
        <w:rPr>
          <w:sz w:val="32"/>
          <w:szCs w:val="32"/>
        </w:rPr>
      </w:pPr>
    </w:p>
    <w:p w:rsidR="00EB7F7F" w:rsidRDefault="00EB7F7F" w:rsidP="008B26CE">
      <w:pPr>
        <w:jc w:val="center"/>
        <w:rPr>
          <w:sz w:val="32"/>
          <w:szCs w:val="32"/>
        </w:rPr>
      </w:pPr>
    </w:p>
    <w:p w:rsidR="00EB7F7F" w:rsidRDefault="00EB7F7F" w:rsidP="008B26CE">
      <w:pPr>
        <w:jc w:val="center"/>
        <w:rPr>
          <w:sz w:val="32"/>
          <w:szCs w:val="32"/>
        </w:rPr>
      </w:pPr>
    </w:p>
    <w:p w:rsidR="00EB7F7F" w:rsidRDefault="00EB7F7F" w:rsidP="008B26CE">
      <w:pPr>
        <w:jc w:val="center"/>
        <w:rPr>
          <w:sz w:val="32"/>
          <w:szCs w:val="32"/>
        </w:rPr>
      </w:pPr>
    </w:p>
    <w:p w:rsidR="00EB7F7F" w:rsidRDefault="00EB7F7F" w:rsidP="008B26CE">
      <w:pPr>
        <w:jc w:val="center"/>
        <w:rPr>
          <w:sz w:val="32"/>
          <w:szCs w:val="32"/>
        </w:rPr>
      </w:pPr>
    </w:p>
    <w:p w:rsidR="00FA6269" w:rsidRDefault="00FA6269" w:rsidP="008B26CE">
      <w:pPr>
        <w:jc w:val="center"/>
        <w:rPr>
          <w:sz w:val="32"/>
          <w:szCs w:val="32"/>
        </w:rPr>
      </w:pPr>
    </w:p>
    <w:p w:rsidR="00FA6269" w:rsidRDefault="00FA6269" w:rsidP="008B26CE">
      <w:pPr>
        <w:jc w:val="right"/>
        <w:rPr>
          <w:sz w:val="32"/>
          <w:szCs w:val="32"/>
        </w:rPr>
      </w:pPr>
    </w:p>
    <w:p w:rsidR="000261A2" w:rsidRDefault="000261A2" w:rsidP="008B26CE">
      <w:pPr>
        <w:rPr>
          <w:smallCaps/>
          <w:sz w:val="32"/>
          <w:szCs w:val="32"/>
        </w:rPr>
      </w:pPr>
    </w:p>
    <w:p w:rsidR="00E17A0A" w:rsidRDefault="00E17A0A" w:rsidP="008B26CE">
      <w:pPr>
        <w:rPr>
          <w:smallCaps/>
          <w:sz w:val="32"/>
          <w:szCs w:val="32"/>
        </w:rPr>
      </w:pPr>
    </w:p>
    <w:p w:rsidR="000261A2" w:rsidRDefault="000261A2" w:rsidP="008B26CE">
      <w:pPr>
        <w:rPr>
          <w:smallCaps/>
          <w:sz w:val="32"/>
          <w:szCs w:val="32"/>
        </w:rPr>
      </w:pPr>
    </w:p>
    <w:p w:rsidR="000261A2" w:rsidRDefault="000261A2" w:rsidP="008B26CE">
      <w:pPr>
        <w:rPr>
          <w:smallCaps/>
          <w:sz w:val="32"/>
          <w:szCs w:val="32"/>
        </w:rPr>
      </w:pPr>
    </w:p>
    <w:p w:rsidR="000261A2" w:rsidRDefault="000261A2" w:rsidP="008B26CE">
      <w:pPr>
        <w:rPr>
          <w:smallCaps/>
          <w:sz w:val="32"/>
          <w:szCs w:val="32"/>
        </w:rPr>
      </w:pPr>
    </w:p>
    <w:p w:rsidR="0026066C" w:rsidRDefault="00E17A0A" w:rsidP="008B26CE">
      <w:pPr>
        <w:jc w:val="right"/>
        <w:rPr>
          <w:b/>
          <w:smallCaps/>
          <w:sz w:val="36"/>
          <w:szCs w:val="36"/>
        </w:rPr>
      </w:pPr>
      <w:r w:rsidRPr="00BA0FF5">
        <w:rPr>
          <w:b/>
          <w:sz w:val="36"/>
          <w:szCs w:val="36"/>
        </w:rPr>
        <w:t>Brno</w:t>
      </w:r>
      <w:r w:rsidRPr="00BA0FF5">
        <w:rPr>
          <w:b/>
          <w:smallCaps/>
          <w:sz w:val="36"/>
          <w:szCs w:val="36"/>
        </w:rPr>
        <w:t xml:space="preserve"> 201</w:t>
      </w:r>
      <w:r w:rsidR="00D622E5">
        <w:rPr>
          <w:b/>
          <w:smallCaps/>
          <w:sz w:val="36"/>
          <w:szCs w:val="36"/>
        </w:rPr>
        <w:t>4</w:t>
      </w:r>
    </w:p>
    <w:p w:rsidR="0026066C" w:rsidRDefault="0026066C">
      <w:pPr>
        <w:rPr>
          <w:b/>
          <w:smallCaps/>
          <w:sz w:val="36"/>
          <w:szCs w:val="36"/>
        </w:rPr>
      </w:pPr>
      <w:r>
        <w:rPr>
          <w:b/>
          <w:smallCaps/>
          <w:sz w:val="36"/>
          <w:szCs w:val="36"/>
        </w:rPr>
        <w:br w:type="page"/>
      </w:r>
    </w:p>
    <w:p w:rsidR="00D65EF2" w:rsidRPr="00676A98" w:rsidRDefault="00D65EF2" w:rsidP="008B26CE">
      <w:pPr>
        <w:spacing w:line="360" w:lineRule="auto"/>
        <w:rPr>
          <w:bCs/>
        </w:rPr>
      </w:pPr>
      <w:r w:rsidRPr="00676A98">
        <w:rPr>
          <w:bCs/>
        </w:rPr>
        <w:lastRenderedPageBreak/>
        <w:t>KATALOGIZACE V KNIZE – NÁRODNÍ KNIHOVNA ČR</w:t>
      </w:r>
    </w:p>
    <w:p w:rsidR="00D65EF2" w:rsidRDefault="00D65EF2" w:rsidP="008B26CE">
      <w:pPr>
        <w:spacing w:line="360" w:lineRule="auto"/>
        <w:rPr>
          <w:bCs/>
        </w:rPr>
      </w:pPr>
    </w:p>
    <w:p w:rsidR="00536384" w:rsidRPr="00676A98" w:rsidRDefault="00536384" w:rsidP="008B26CE">
      <w:pPr>
        <w:spacing w:line="360" w:lineRule="auto"/>
        <w:rPr>
          <w:bCs/>
        </w:rPr>
      </w:pPr>
    </w:p>
    <w:p w:rsidR="00D65EF2" w:rsidRPr="00676A98" w:rsidRDefault="00D622E5" w:rsidP="008B26CE">
      <w:pPr>
        <w:spacing w:line="360" w:lineRule="auto"/>
        <w:rPr>
          <w:bCs/>
        </w:rPr>
      </w:pPr>
      <w:r>
        <w:rPr>
          <w:bCs/>
        </w:rPr>
        <w:t>Knecht</w:t>
      </w:r>
      <w:r w:rsidR="00D65EF2" w:rsidRPr="00676A98">
        <w:rPr>
          <w:bCs/>
        </w:rPr>
        <w:t xml:space="preserve">, </w:t>
      </w:r>
      <w:r>
        <w:rPr>
          <w:bCs/>
        </w:rPr>
        <w:t>Petr</w:t>
      </w:r>
    </w:p>
    <w:p w:rsidR="001063CA" w:rsidRPr="00536384" w:rsidRDefault="006E03DA" w:rsidP="008B26CE">
      <w:pPr>
        <w:spacing w:line="360" w:lineRule="auto"/>
      </w:pPr>
      <w:r>
        <w:rPr>
          <w:bCs/>
        </w:rPr>
        <w:t>P</w:t>
      </w:r>
      <w:r w:rsidR="00933192">
        <w:rPr>
          <w:bCs/>
        </w:rPr>
        <w:t>říležitost</w:t>
      </w:r>
      <w:r>
        <w:rPr>
          <w:bCs/>
        </w:rPr>
        <w:t>i</w:t>
      </w:r>
      <w:r w:rsidR="00BF37DF">
        <w:rPr>
          <w:bCs/>
        </w:rPr>
        <w:t xml:space="preserve"> k</w:t>
      </w:r>
      <w:r w:rsidR="00933192">
        <w:rPr>
          <w:bCs/>
        </w:rPr>
        <w:t xml:space="preserve"> rozvíjení </w:t>
      </w:r>
      <w:r w:rsidR="00D622E5" w:rsidRPr="00D622E5">
        <w:rPr>
          <w:bCs/>
        </w:rPr>
        <w:t>kompetence k řešení problém</w:t>
      </w:r>
      <w:r w:rsidR="00B52B78">
        <w:rPr>
          <w:bCs/>
        </w:rPr>
        <w:t>ů</w:t>
      </w:r>
      <w:r w:rsidR="00D622E5" w:rsidRPr="00D622E5">
        <w:rPr>
          <w:bCs/>
        </w:rPr>
        <w:t xml:space="preserve"> v učebnicích a ve výuce zeměpisu</w:t>
      </w:r>
    </w:p>
    <w:p w:rsidR="00D65EF2" w:rsidRDefault="00D65EF2" w:rsidP="008B26CE">
      <w:pPr>
        <w:spacing w:line="360" w:lineRule="auto"/>
      </w:pPr>
    </w:p>
    <w:p w:rsidR="000A4DA6" w:rsidRDefault="000A4DA6" w:rsidP="008B26CE">
      <w:pPr>
        <w:spacing w:line="360" w:lineRule="auto"/>
        <w:jc w:val="center"/>
        <w:rPr>
          <w:bCs/>
          <w:szCs w:val="32"/>
        </w:rPr>
      </w:pPr>
    </w:p>
    <w:p w:rsidR="001063CA" w:rsidRPr="001063CA" w:rsidRDefault="001063CA" w:rsidP="008B26CE">
      <w:pPr>
        <w:spacing w:line="360" w:lineRule="auto"/>
        <w:rPr>
          <w:bCs/>
          <w:szCs w:val="32"/>
        </w:rPr>
      </w:pPr>
      <w:r w:rsidRPr="001063CA">
        <w:rPr>
          <w:bCs/>
          <w:szCs w:val="32"/>
        </w:rPr>
        <w:t>Edice: Pedagogický výzkum v teorii a praxi</w:t>
      </w:r>
    </w:p>
    <w:p w:rsidR="001063CA" w:rsidRPr="001063CA" w:rsidRDefault="001063CA" w:rsidP="008B26CE">
      <w:pPr>
        <w:spacing w:line="360" w:lineRule="auto"/>
        <w:rPr>
          <w:bCs/>
          <w:szCs w:val="32"/>
        </w:rPr>
      </w:pPr>
      <w:r w:rsidRPr="0073423F">
        <w:rPr>
          <w:bCs/>
          <w:szCs w:val="32"/>
        </w:rPr>
        <w:t xml:space="preserve">Svazek </w:t>
      </w:r>
      <w:r w:rsidR="007E6A7E" w:rsidRPr="0073423F">
        <w:rPr>
          <w:bCs/>
          <w:szCs w:val="32"/>
        </w:rPr>
        <w:t>3</w:t>
      </w:r>
      <w:r w:rsidR="00D865A9">
        <w:rPr>
          <w:bCs/>
          <w:szCs w:val="32"/>
        </w:rPr>
        <w:t>7</w:t>
      </w:r>
    </w:p>
    <w:p w:rsidR="001063CA" w:rsidRDefault="001063CA" w:rsidP="008B26CE">
      <w:pPr>
        <w:spacing w:line="360" w:lineRule="auto"/>
        <w:rPr>
          <w:b/>
          <w:bCs/>
          <w:szCs w:val="32"/>
        </w:rPr>
      </w:pPr>
    </w:p>
    <w:p w:rsidR="00536384" w:rsidRDefault="00536384" w:rsidP="008B26CE">
      <w:pPr>
        <w:spacing w:line="360" w:lineRule="auto"/>
        <w:rPr>
          <w:b/>
          <w:bCs/>
          <w:szCs w:val="32"/>
        </w:rPr>
      </w:pPr>
    </w:p>
    <w:p w:rsidR="00676A98" w:rsidRPr="00D622E5" w:rsidRDefault="001063CA" w:rsidP="008B26CE">
      <w:pPr>
        <w:spacing w:line="360" w:lineRule="auto"/>
        <w:jc w:val="both"/>
        <w:rPr>
          <w:bCs/>
          <w:szCs w:val="32"/>
        </w:rPr>
      </w:pPr>
      <w:r w:rsidRPr="00D65EF2">
        <w:rPr>
          <w:bCs/>
          <w:szCs w:val="32"/>
        </w:rPr>
        <w:t xml:space="preserve">Výzkum byl realizován a publikace vychází s podporou projektu </w:t>
      </w:r>
      <w:r w:rsidR="00D622E5">
        <w:rPr>
          <w:bCs/>
          <w:szCs w:val="32"/>
        </w:rPr>
        <w:t xml:space="preserve">GAČR GPP407/12/P059 </w:t>
      </w:r>
      <w:r w:rsidR="00D622E5" w:rsidRPr="00D622E5">
        <w:rPr>
          <w:bCs/>
          <w:i/>
          <w:szCs w:val="32"/>
        </w:rPr>
        <w:t>Příležitosti k rozvíjení kompetence k řešení problémů v učebnicích a ve výuce</w:t>
      </w:r>
      <w:r w:rsidR="00D622E5">
        <w:rPr>
          <w:bCs/>
          <w:szCs w:val="32"/>
        </w:rPr>
        <w:t xml:space="preserve"> (PROKOMP).</w:t>
      </w:r>
    </w:p>
    <w:p w:rsidR="00D622E5" w:rsidRDefault="00D622E5" w:rsidP="008B26CE">
      <w:pPr>
        <w:spacing w:line="360" w:lineRule="auto"/>
        <w:jc w:val="both"/>
        <w:rPr>
          <w:bCs/>
          <w:szCs w:val="32"/>
        </w:rPr>
      </w:pPr>
    </w:p>
    <w:p w:rsidR="00933192" w:rsidRDefault="00933192" w:rsidP="008B26CE">
      <w:pPr>
        <w:spacing w:line="360" w:lineRule="auto"/>
        <w:jc w:val="both"/>
        <w:rPr>
          <w:bCs/>
          <w:szCs w:val="32"/>
        </w:rPr>
      </w:pPr>
    </w:p>
    <w:p w:rsidR="00D622E5" w:rsidRDefault="00F33511" w:rsidP="00933192">
      <w:pPr>
        <w:spacing w:line="360" w:lineRule="auto"/>
        <w:rPr>
          <w:bCs/>
          <w:szCs w:val="32"/>
        </w:rPr>
      </w:pPr>
      <w:r>
        <w:rPr>
          <w:bCs/>
          <w:noProof/>
        </w:rPr>
        <w:drawing>
          <wp:inline distT="0" distB="0" distL="0" distR="0">
            <wp:extent cx="1924050" cy="466725"/>
            <wp:effectExtent l="19050" t="0" r="0" b="0"/>
            <wp:docPr id="2" name="obrázek 2" descr="logo_proko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prokomp"/>
                    <pic:cNvPicPr>
                      <a:picLocks noChangeAspect="1" noChangeArrowheads="1"/>
                    </pic:cNvPicPr>
                  </pic:nvPicPr>
                  <pic:blipFill>
                    <a:blip r:embed="rId8" cstate="print"/>
                    <a:srcRect/>
                    <a:stretch>
                      <a:fillRect/>
                    </a:stretch>
                  </pic:blipFill>
                  <pic:spPr bwMode="auto">
                    <a:xfrm>
                      <a:off x="0" y="0"/>
                      <a:ext cx="1924050" cy="466725"/>
                    </a:xfrm>
                    <a:prstGeom prst="rect">
                      <a:avLst/>
                    </a:prstGeom>
                    <a:noFill/>
                    <a:ln w="9525">
                      <a:noFill/>
                      <a:miter lim="800000"/>
                      <a:headEnd/>
                      <a:tailEnd/>
                    </a:ln>
                  </pic:spPr>
                </pic:pic>
              </a:graphicData>
            </a:graphic>
          </wp:inline>
        </w:drawing>
      </w:r>
    </w:p>
    <w:p w:rsidR="00D622E5" w:rsidRDefault="00D622E5" w:rsidP="008B26CE">
      <w:pPr>
        <w:spacing w:line="360" w:lineRule="auto"/>
        <w:jc w:val="both"/>
        <w:rPr>
          <w:bCs/>
        </w:rPr>
      </w:pPr>
    </w:p>
    <w:p w:rsidR="00536384" w:rsidRDefault="00536384" w:rsidP="008B26CE">
      <w:pPr>
        <w:spacing w:line="360" w:lineRule="auto"/>
        <w:rPr>
          <w:bCs/>
        </w:rPr>
      </w:pPr>
    </w:p>
    <w:p w:rsidR="00676A98" w:rsidRDefault="009D1E6F" w:rsidP="008B26CE">
      <w:pPr>
        <w:spacing w:line="360" w:lineRule="auto"/>
      </w:pPr>
      <w:r>
        <w:rPr>
          <w:bCs/>
        </w:rPr>
        <w:t>Odborně posoudil</w:t>
      </w:r>
      <w:r w:rsidR="00246816">
        <w:rPr>
          <w:bCs/>
        </w:rPr>
        <w:t>i</w:t>
      </w:r>
      <w:r w:rsidR="00676A98" w:rsidRPr="00933192">
        <w:rPr>
          <w:bCs/>
        </w:rPr>
        <w:t>:</w:t>
      </w:r>
      <w:r w:rsidR="00676A98">
        <w:rPr>
          <w:bCs/>
        </w:rPr>
        <w:t xml:space="preserve"> </w:t>
      </w:r>
      <w:r w:rsidR="00676A98">
        <w:rPr>
          <w:bCs/>
        </w:rPr>
        <w:tab/>
      </w:r>
      <w:r w:rsidR="00676A98">
        <w:rPr>
          <w:bCs/>
        </w:rPr>
        <w:tab/>
      </w:r>
      <w:r w:rsidR="00676A98" w:rsidRPr="007A6EBA">
        <w:tab/>
      </w:r>
    </w:p>
    <w:p w:rsidR="00933192" w:rsidRDefault="00933192" w:rsidP="008B26CE">
      <w:pPr>
        <w:spacing w:line="360" w:lineRule="auto"/>
      </w:pPr>
      <w:r w:rsidRPr="00933192">
        <w:t>doc. PhDr. Hana Kasíková, CSc.</w:t>
      </w:r>
    </w:p>
    <w:p w:rsidR="00933192" w:rsidRDefault="00933192" w:rsidP="008B26CE">
      <w:pPr>
        <w:spacing w:line="360" w:lineRule="auto"/>
      </w:pPr>
      <w:r>
        <w:t xml:space="preserve">doc. </w:t>
      </w:r>
      <w:r w:rsidRPr="00933192">
        <w:t>Mgr. Klára Šeďová, Ph.D.</w:t>
      </w:r>
    </w:p>
    <w:p w:rsidR="00246816" w:rsidRDefault="00246816" w:rsidP="008B26CE">
      <w:pPr>
        <w:spacing w:line="360" w:lineRule="auto"/>
      </w:pPr>
      <w:r>
        <w:t>doc. PaedDr. Eduard Hofmann, CSc.</w:t>
      </w:r>
    </w:p>
    <w:p w:rsidR="00D622E5" w:rsidRDefault="00D622E5" w:rsidP="008B26CE">
      <w:pPr>
        <w:spacing w:line="360" w:lineRule="auto"/>
      </w:pPr>
    </w:p>
    <w:p w:rsidR="00676A98" w:rsidRDefault="00676A98" w:rsidP="008B26CE">
      <w:pPr>
        <w:spacing w:line="360" w:lineRule="auto"/>
        <w:rPr>
          <w:bCs/>
        </w:rPr>
      </w:pPr>
    </w:p>
    <w:p w:rsidR="00D622E5" w:rsidRDefault="00D622E5" w:rsidP="008B26CE">
      <w:pPr>
        <w:spacing w:line="360" w:lineRule="auto"/>
        <w:rPr>
          <w:bCs/>
        </w:rPr>
      </w:pPr>
    </w:p>
    <w:p w:rsidR="00D622E5" w:rsidRDefault="00D622E5" w:rsidP="008B26CE">
      <w:pPr>
        <w:spacing w:line="360" w:lineRule="auto"/>
        <w:rPr>
          <w:bCs/>
        </w:rPr>
      </w:pPr>
    </w:p>
    <w:p w:rsidR="00676A98" w:rsidRDefault="00676A98" w:rsidP="008B26CE">
      <w:pPr>
        <w:spacing w:line="360" w:lineRule="auto"/>
        <w:rPr>
          <w:bCs/>
        </w:rPr>
      </w:pPr>
      <w:r>
        <w:rPr>
          <w:bCs/>
        </w:rPr>
        <w:t>© 201</w:t>
      </w:r>
      <w:r w:rsidR="004B1C40">
        <w:rPr>
          <w:bCs/>
        </w:rPr>
        <w:t>4</w:t>
      </w:r>
      <w:r>
        <w:rPr>
          <w:bCs/>
        </w:rPr>
        <w:t xml:space="preserve"> </w:t>
      </w:r>
      <w:r w:rsidR="004B1C40">
        <w:rPr>
          <w:bCs/>
        </w:rPr>
        <w:t>Petr Knecht</w:t>
      </w:r>
    </w:p>
    <w:p w:rsidR="00D622E5" w:rsidRDefault="000A4DA6" w:rsidP="008B26CE">
      <w:pPr>
        <w:spacing w:line="360" w:lineRule="auto"/>
        <w:rPr>
          <w:b/>
          <w:bCs/>
        </w:rPr>
      </w:pPr>
      <w:r>
        <w:rPr>
          <w:bCs/>
        </w:rPr>
        <w:t>© 201</w:t>
      </w:r>
      <w:r w:rsidR="004B1C40">
        <w:rPr>
          <w:bCs/>
        </w:rPr>
        <w:t>4</w:t>
      </w:r>
      <w:r>
        <w:rPr>
          <w:bCs/>
        </w:rPr>
        <w:t xml:space="preserve"> Masarykova univerzita</w:t>
      </w:r>
      <w:r w:rsidR="00D622E5" w:rsidRPr="00D622E5">
        <w:rPr>
          <w:b/>
          <w:bCs/>
        </w:rPr>
        <w:t xml:space="preserve"> </w:t>
      </w:r>
    </w:p>
    <w:p w:rsidR="00933192" w:rsidRDefault="00933192" w:rsidP="008B26CE">
      <w:pPr>
        <w:spacing w:line="360" w:lineRule="auto"/>
        <w:rPr>
          <w:b/>
          <w:bCs/>
        </w:rPr>
      </w:pPr>
    </w:p>
    <w:p w:rsidR="00471051" w:rsidRDefault="00D622E5" w:rsidP="008B26CE">
      <w:pPr>
        <w:spacing w:line="360" w:lineRule="auto"/>
        <w:rPr>
          <w:b/>
          <w:bCs/>
        </w:rPr>
        <w:sectPr w:rsidR="00471051" w:rsidSect="00471051">
          <w:footerReference w:type="default" r:id="rId9"/>
          <w:headerReference w:type="first" r:id="rId10"/>
          <w:footerReference w:type="first" r:id="rId11"/>
          <w:pgSz w:w="11906" w:h="16838"/>
          <w:pgMar w:top="1418" w:right="1418" w:bottom="1418" w:left="1418" w:header="709" w:footer="709" w:gutter="0"/>
          <w:cols w:space="708"/>
          <w:titlePg/>
          <w:docGrid w:linePitch="360"/>
        </w:sectPr>
      </w:pPr>
      <w:r w:rsidRPr="00676A98">
        <w:rPr>
          <w:b/>
          <w:bCs/>
        </w:rPr>
        <w:t>ISBN</w:t>
      </w:r>
    </w:p>
    <w:p w:rsidR="007F4C16" w:rsidRPr="006A513B" w:rsidRDefault="007F4C16" w:rsidP="00933192">
      <w:pPr>
        <w:spacing w:line="360" w:lineRule="auto"/>
        <w:rPr>
          <w:sz w:val="32"/>
          <w:szCs w:val="32"/>
        </w:rPr>
      </w:pPr>
      <w:r w:rsidRPr="006A513B">
        <w:rPr>
          <w:b/>
          <w:bCs/>
          <w:sz w:val="32"/>
          <w:szCs w:val="32"/>
        </w:rPr>
        <w:lastRenderedPageBreak/>
        <w:t>Obsah</w:t>
      </w:r>
    </w:p>
    <w:p w:rsidR="00B26430" w:rsidRDefault="003818A1">
      <w:pPr>
        <w:pStyle w:val="Obsah1"/>
        <w:rPr>
          <w:rFonts w:asciiTheme="minorHAnsi" w:eastAsiaTheme="minorEastAsia" w:hAnsiTheme="minorHAnsi" w:cstheme="minorBidi"/>
          <w:b w:val="0"/>
          <w:sz w:val="22"/>
          <w:szCs w:val="22"/>
        </w:rPr>
      </w:pPr>
      <w:r>
        <w:rPr>
          <w:b w:val="0"/>
        </w:rPr>
        <w:fldChar w:fldCharType="begin"/>
      </w:r>
      <w:r w:rsidR="003B5DAE">
        <w:rPr>
          <w:b w:val="0"/>
        </w:rPr>
        <w:instrText xml:space="preserve"> TOC \o "1-3" \h \z \u </w:instrText>
      </w:r>
      <w:r>
        <w:rPr>
          <w:b w:val="0"/>
        </w:rPr>
        <w:fldChar w:fldCharType="separate"/>
      </w:r>
      <w:hyperlink w:anchor="_Toc399775374" w:history="1">
        <w:r w:rsidR="00B26430" w:rsidRPr="00C14FDE">
          <w:rPr>
            <w:rStyle w:val="Hypertextovodkaz"/>
          </w:rPr>
          <w:t>Poděkování</w:t>
        </w:r>
        <w:r w:rsidR="00B26430">
          <w:rPr>
            <w:webHidden/>
          </w:rPr>
          <w:tab/>
        </w:r>
        <w:r>
          <w:rPr>
            <w:webHidden/>
          </w:rPr>
          <w:fldChar w:fldCharType="begin"/>
        </w:r>
        <w:r w:rsidR="00B26430">
          <w:rPr>
            <w:webHidden/>
          </w:rPr>
          <w:instrText xml:space="preserve"> PAGEREF _Toc399775374 \h </w:instrText>
        </w:r>
        <w:r>
          <w:rPr>
            <w:webHidden/>
          </w:rPr>
        </w:r>
        <w:r>
          <w:rPr>
            <w:webHidden/>
          </w:rPr>
          <w:fldChar w:fldCharType="separate"/>
        </w:r>
        <w:r w:rsidR="00B26430">
          <w:rPr>
            <w:webHidden/>
          </w:rPr>
          <w:t>8</w:t>
        </w:r>
        <w:r>
          <w:rPr>
            <w:webHidden/>
          </w:rPr>
          <w:fldChar w:fldCharType="end"/>
        </w:r>
      </w:hyperlink>
    </w:p>
    <w:p w:rsidR="00B26430" w:rsidRDefault="003B6F8D">
      <w:pPr>
        <w:pStyle w:val="Obsah1"/>
        <w:rPr>
          <w:rFonts w:asciiTheme="minorHAnsi" w:eastAsiaTheme="minorEastAsia" w:hAnsiTheme="minorHAnsi" w:cstheme="minorBidi"/>
          <w:b w:val="0"/>
          <w:sz w:val="22"/>
          <w:szCs w:val="22"/>
        </w:rPr>
      </w:pPr>
      <w:hyperlink w:anchor="_Toc399775375" w:history="1">
        <w:r w:rsidR="00B26430" w:rsidRPr="00C14FDE">
          <w:rPr>
            <w:rStyle w:val="Hypertextovodkaz"/>
          </w:rPr>
          <w:t>Úvod</w:t>
        </w:r>
        <w:r w:rsidR="00B26430">
          <w:rPr>
            <w:webHidden/>
          </w:rPr>
          <w:tab/>
        </w:r>
        <w:r w:rsidR="003818A1">
          <w:rPr>
            <w:webHidden/>
          </w:rPr>
          <w:fldChar w:fldCharType="begin"/>
        </w:r>
        <w:r w:rsidR="00B26430">
          <w:rPr>
            <w:webHidden/>
          </w:rPr>
          <w:instrText xml:space="preserve"> PAGEREF _Toc399775375 \h </w:instrText>
        </w:r>
        <w:r w:rsidR="003818A1">
          <w:rPr>
            <w:webHidden/>
          </w:rPr>
        </w:r>
        <w:r w:rsidR="003818A1">
          <w:rPr>
            <w:webHidden/>
          </w:rPr>
          <w:fldChar w:fldCharType="separate"/>
        </w:r>
        <w:r w:rsidR="00B26430">
          <w:rPr>
            <w:webHidden/>
          </w:rPr>
          <w:t>9</w:t>
        </w:r>
        <w:r w:rsidR="003818A1">
          <w:rPr>
            <w:webHidden/>
          </w:rPr>
          <w:fldChar w:fldCharType="end"/>
        </w:r>
      </w:hyperlink>
    </w:p>
    <w:p w:rsidR="00B26430" w:rsidRDefault="003B6F8D">
      <w:pPr>
        <w:pStyle w:val="Obsah1"/>
        <w:rPr>
          <w:rFonts w:asciiTheme="minorHAnsi" w:eastAsiaTheme="minorEastAsia" w:hAnsiTheme="minorHAnsi" w:cstheme="minorBidi"/>
          <w:b w:val="0"/>
          <w:sz w:val="22"/>
          <w:szCs w:val="22"/>
        </w:rPr>
      </w:pPr>
      <w:hyperlink w:anchor="_Toc399775376" w:history="1">
        <w:r w:rsidR="00B26430" w:rsidRPr="00C14FDE">
          <w:rPr>
            <w:rStyle w:val="Hypertextovodkaz"/>
          </w:rPr>
          <w:t>Vymezení problematiky a základních pojmů</w:t>
        </w:r>
        <w:r w:rsidR="00B26430">
          <w:rPr>
            <w:webHidden/>
          </w:rPr>
          <w:tab/>
        </w:r>
        <w:r w:rsidR="003818A1">
          <w:rPr>
            <w:webHidden/>
          </w:rPr>
          <w:fldChar w:fldCharType="begin"/>
        </w:r>
        <w:r w:rsidR="00B26430">
          <w:rPr>
            <w:webHidden/>
          </w:rPr>
          <w:instrText xml:space="preserve"> PAGEREF _Toc399775376 \h </w:instrText>
        </w:r>
        <w:r w:rsidR="003818A1">
          <w:rPr>
            <w:webHidden/>
          </w:rPr>
        </w:r>
        <w:r w:rsidR="003818A1">
          <w:rPr>
            <w:webHidden/>
          </w:rPr>
          <w:fldChar w:fldCharType="separate"/>
        </w:r>
        <w:r w:rsidR="00B26430">
          <w:rPr>
            <w:webHidden/>
          </w:rPr>
          <w:t>13</w:t>
        </w:r>
        <w:r w:rsidR="003818A1">
          <w:rPr>
            <w:webHidden/>
          </w:rPr>
          <w:fldChar w:fldCharType="end"/>
        </w:r>
      </w:hyperlink>
    </w:p>
    <w:p w:rsidR="00B26430" w:rsidRDefault="003B6F8D">
      <w:pPr>
        <w:pStyle w:val="Obsah2"/>
        <w:rPr>
          <w:rFonts w:asciiTheme="minorHAnsi" w:eastAsiaTheme="minorEastAsia" w:hAnsiTheme="minorHAnsi" w:cstheme="minorBidi"/>
          <w:noProof/>
          <w:sz w:val="22"/>
          <w:szCs w:val="22"/>
        </w:rPr>
      </w:pPr>
      <w:hyperlink w:anchor="_Toc399775377" w:history="1">
        <w:r w:rsidR="00B26430" w:rsidRPr="00C14FDE">
          <w:rPr>
            <w:rStyle w:val="Hypertextovodkaz"/>
            <w:noProof/>
          </w:rPr>
          <w:t>1.1</w:t>
        </w:r>
        <w:r w:rsidR="00B26430">
          <w:rPr>
            <w:rFonts w:asciiTheme="minorHAnsi" w:eastAsiaTheme="minorEastAsia" w:hAnsiTheme="minorHAnsi" w:cstheme="minorBidi"/>
            <w:noProof/>
            <w:sz w:val="22"/>
            <w:szCs w:val="22"/>
          </w:rPr>
          <w:tab/>
        </w:r>
        <w:r w:rsidR="00B26430" w:rsidRPr="00C14FDE">
          <w:rPr>
            <w:rStyle w:val="Hypertextovodkaz"/>
            <w:noProof/>
          </w:rPr>
          <w:t>Učební úlohy jako jeden z pilířů kvality výuky a příležitostí k učení</w:t>
        </w:r>
        <w:r w:rsidR="00B26430">
          <w:rPr>
            <w:noProof/>
            <w:webHidden/>
          </w:rPr>
          <w:tab/>
        </w:r>
        <w:r w:rsidR="003818A1">
          <w:rPr>
            <w:noProof/>
            <w:webHidden/>
          </w:rPr>
          <w:fldChar w:fldCharType="begin"/>
        </w:r>
        <w:r w:rsidR="00B26430">
          <w:rPr>
            <w:noProof/>
            <w:webHidden/>
          </w:rPr>
          <w:instrText xml:space="preserve"> PAGEREF _Toc399775377 \h </w:instrText>
        </w:r>
        <w:r w:rsidR="003818A1">
          <w:rPr>
            <w:noProof/>
            <w:webHidden/>
          </w:rPr>
        </w:r>
        <w:r w:rsidR="003818A1">
          <w:rPr>
            <w:noProof/>
            <w:webHidden/>
          </w:rPr>
          <w:fldChar w:fldCharType="separate"/>
        </w:r>
        <w:r w:rsidR="00B26430">
          <w:rPr>
            <w:noProof/>
            <w:webHidden/>
          </w:rPr>
          <w:t>13</w:t>
        </w:r>
        <w:r w:rsidR="003818A1">
          <w:rPr>
            <w:noProof/>
            <w:webHidden/>
          </w:rPr>
          <w:fldChar w:fldCharType="end"/>
        </w:r>
      </w:hyperlink>
    </w:p>
    <w:p w:rsidR="00B26430" w:rsidRDefault="003B6F8D">
      <w:pPr>
        <w:pStyle w:val="Obsah2"/>
        <w:rPr>
          <w:rFonts w:asciiTheme="minorHAnsi" w:eastAsiaTheme="minorEastAsia" w:hAnsiTheme="minorHAnsi" w:cstheme="minorBidi"/>
          <w:noProof/>
          <w:sz w:val="22"/>
          <w:szCs w:val="22"/>
        </w:rPr>
      </w:pPr>
      <w:hyperlink w:anchor="_Toc399775378" w:history="1">
        <w:r w:rsidR="00B26430" w:rsidRPr="00C14FDE">
          <w:rPr>
            <w:rStyle w:val="Hypertextovodkaz"/>
            <w:noProof/>
          </w:rPr>
          <w:t>1.2</w:t>
        </w:r>
        <w:r w:rsidR="00B26430">
          <w:rPr>
            <w:rFonts w:asciiTheme="minorHAnsi" w:eastAsiaTheme="minorEastAsia" w:hAnsiTheme="minorHAnsi" w:cstheme="minorBidi"/>
            <w:noProof/>
            <w:sz w:val="22"/>
            <w:szCs w:val="22"/>
          </w:rPr>
          <w:tab/>
        </w:r>
        <w:r w:rsidR="00B26430" w:rsidRPr="00C14FDE">
          <w:rPr>
            <w:rStyle w:val="Hypertextovodkaz"/>
            <w:noProof/>
          </w:rPr>
          <w:t>Nová kultura vyučování a učení</w:t>
        </w:r>
        <w:r w:rsidR="00B26430">
          <w:rPr>
            <w:noProof/>
            <w:webHidden/>
          </w:rPr>
          <w:tab/>
        </w:r>
        <w:r w:rsidR="003818A1">
          <w:rPr>
            <w:noProof/>
            <w:webHidden/>
          </w:rPr>
          <w:fldChar w:fldCharType="begin"/>
        </w:r>
        <w:r w:rsidR="00B26430">
          <w:rPr>
            <w:noProof/>
            <w:webHidden/>
          </w:rPr>
          <w:instrText xml:space="preserve"> PAGEREF _Toc399775378 \h </w:instrText>
        </w:r>
        <w:r w:rsidR="003818A1">
          <w:rPr>
            <w:noProof/>
            <w:webHidden/>
          </w:rPr>
        </w:r>
        <w:r w:rsidR="003818A1">
          <w:rPr>
            <w:noProof/>
            <w:webHidden/>
          </w:rPr>
          <w:fldChar w:fldCharType="separate"/>
        </w:r>
        <w:r w:rsidR="00B26430">
          <w:rPr>
            <w:noProof/>
            <w:webHidden/>
          </w:rPr>
          <w:t>16</w:t>
        </w:r>
        <w:r w:rsidR="003818A1">
          <w:rPr>
            <w:noProof/>
            <w:webHidden/>
          </w:rPr>
          <w:fldChar w:fldCharType="end"/>
        </w:r>
      </w:hyperlink>
    </w:p>
    <w:p w:rsidR="00B26430" w:rsidRDefault="003B6F8D">
      <w:pPr>
        <w:pStyle w:val="Obsah2"/>
        <w:rPr>
          <w:rFonts w:asciiTheme="minorHAnsi" w:eastAsiaTheme="minorEastAsia" w:hAnsiTheme="minorHAnsi" w:cstheme="minorBidi"/>
          <w:noProof/>
          <w:sz w:val="22"/>
          <w:szCs w:val="22"/>
        </w:rPr>
      </w:pPr>
      <w:hyperlink w:anchor="_Toc399775379" w:history="1">
        <w:r w:rsidR="00B26430" w:rsidRPr="00C14FDE">
          <w:rPr>
            <w:rStyle w:val="Hypertextovodkaz"/>
            <w:noProof/>
          </w:rPr>
          <w:t>1.3</w:t>
        </w:r>
        <w:r w:rsidR="00B26430">
          <w:rPr>
            <w:rFonts w:asciiTheme="minorHAnsi" w:eastAsiaTheme="minorEastAsia" w:hAnsiTheme="minorHAnsi" w:cstheme="minorBidi"/>
            <w:noProof/>
            <w:sz w:val="22"/>
            <w:szCs w:val="22"/>
          </w:rPr>
          <w:tab/>
        </w:r>
        <w:r w:rsidR="00B26430" w:rsidRPr="00C14FDE">
          <w:rPr>
            <w:rStyle w:val="Hypertextovodkaz"/>
            <w:noProof/>
          </w:rPr>
          <w:t>Teoretická východiska</w:t>
        </w:r>
        <w:r w:rsidR="00B26430">
          <w:rPr>
            <w:noProof/>
            <w:webHidden/>
          </w:rPr>
          <w:tab/>
        </w:r>
        <w:r w:rsidR="003818A1">
          <w:rPr>
            <w:noProof/>
            <w:webHidden/>
          </w:rPr>
          <w:fldChar w:fldCharType="begin"/>
        </w:r>
        <w:r w:rsidR="00B26430">
          <w:rPr>
            <w:noProof/>
            <w:webHidden/>
          </w:rPr>
          <w:instrText xml:space="preserve"> PAGEREF _Toc399775379 \h </w:instrText>
        </w:r>
        <w:r w:rsidR="003818A1">
          <w:rPr>
            <w:noProof/>
            <w:webHidden/>
          </w:rPr>
        </w:r>
        <w:r w:rsidR="003818A1">
          <w:rPr>
            <w:noProof/>
            <w:webHidden/>
          </w:rPr>
          <w:fldChar w:fldCharType="separate"/>
        </w:r>
        <w:r w:rsidR="00B26430">
          <w:rPr>
            <w:noProof/>
            <w:webHidden/>
          </w:rPr>
          <w:t>17</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380" w:history="1">
        <w:r w:rsidR="00B26430" w:rsidRPr="00C14FDE">
          <w:rPr>
            <w:rStyle w:val="Hypertextovodkaz"/>
            <w:noProof/>
          </w:rPr>
          <w:t>1.3.1</w:t>
        </w:r>
        <w:r w:rsidR="00B26430">
          <w:rPr>
            <w:rFonts w:asciiTheme="minorHAnsi" w:eastAsiaTheme="minorEastAsia" w:hAnsiTheme="minorHAnsi" w:cstheme="minorBidi"/>
            <w:noProof/>
            <w:sz w:val="22"/>
            <w:szCs w:val="22"/>
          </w:rPr>
          <w:tab/>
        </w:r>
        <w:r w:rsidR="00B26430" w:rsidRPr="00C14FDE">
          <w:rPr>
            <w:rStyle w:val="Hypertextovodkaz"/>
            <w:noProof/>
          </w:rPr>
          <w:t>Teorie zakotveného učení</w:t>
        </w:r>
        <w:r w:rsidR="00B26430">
          <w:rPr>
            <w:noProof/>
            <w:webHidden/>
          </w:rPr>
          <w:tab/>
        </w:r>
        <w:r w:rsidR="003818A1">
          <w:rPr>
            <w:noProof/>
            <w:webHidden/>
          </w:rPr>
          <w:fldChar w:fldCharType="begin"/>
        </w:r>
        <w:r w:rsidR="00B26430">
          <w:rPr>
            <w:noProof/>
            <w:webHidden/>
          </w:rPr>
          <w:instrText xml:space="preserve"> PAGEREF _Toc399775380 \h </w:instrText>
        </w:r>
        <w:r w:rsidR="003818A1">
          <w:rPr>
            <w:noProof/>
            <w:webHidden/>
          </w:rPr>
        </w:r>
        <w:r w:rsidR="003818A1">
          <w:rPr>
            <w:noProof/>
            <w:webHidden/>
          </w:rPr>
          <w:fldChar w:fldCharType="separate"/>
        </w:r>
        <w:r w:rsidR="00B26430">
          <w:rPr>
            <w:noProof/>
            <w:webHidden/>
          </w:rPr>
          <w:t>18</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381" w:history="1">
        <w:r w:rsidR="00B26430" w:rsidRPr="00C14FDE">
          <w:rPr>
            <w:rStyle w:val="Hypertextovodkaz"/>
            <w:noProof/>
          </w:rPr>
          <w:t>1.3.2</w:t>
        </w:r>
        <w:r w:rsidR="00B26430">
          <w:rPr>
            <w:rFonts w:asciiTheme="minorHAnsi" w:eastAsiaTheme="minorEastAsia" w:hAnsiTheme="minorHAnsi" w:cstheme="minorBidi"/>
            <w:noProof/>
            <w:sz w:val="22"/>
            <w:szCs w:val="22"/>
          </w:rPr>
          <w:tab/>
        </w:r>
        <w:r w:rsidR="00B26430" w:rsidRPr="00C14FDE">
          <w:rPr>
            <w:rStyle w:val="Hypertextovodkaz"/>
            <w:noProof/>
          </w:rPr>
          <w:t>Teorie kognitivní flexibility</w:t>
        </w:r>
        <w:r w:rsidR="00B26430">
          <w:rPr>
            <w:noProof/>
            <w:webHidden/>
          </w:rPr>
          <w:tab/>
        </w:r>
        <w:r w:rsidR="003818A1">
          <w:rPr>
            <w:noProof/>
            <w:webHidden/>
          </w:rPr>
          <w:fldChar w:fldCharType="begin"/>
        </w:r>
        <w:r w:rsidR="00B26430">
          <w:rPr>
            <w:noProof/>
            <w:webHidden/>
          </w:rPr>
          <w:instrText xml:space="preserve"> PAGEREF _Toc399775381 \h </w:instrText>
        </w:r>
        <w:r w:rsidR="003818A1">
          <w:rPr>
            <w:noProof/>
            <w:webHidden/>
          </w:rPr>
        </w:r>
        <w:r w:rsidR="003818A1">
          <w:rPr>
            <w:noProof/>
            <w:webHidden/>
          </w:rPr>
          <w:fldChar w:fldCharType="separate"/>
        </w:r>
        <w:r w:rsidR="00B26430">
          <w:rPr>
            <w:noProof/>
            <w:webHidden/>
          </w:rPr>
          <w:t>18</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382" w:history="1">
        <w:r w:rsidR="00B26430" w:rsidRPr="00C14FDE">
          <w:rPr>
            <w:rStyle w:val="Hypertextovodkaz"/>
            <w:noProof/>
          </w:rPr>
          <w:t>1.3.3</w:t>
        </w:r>
        <w:r w:rsidR="00B26430">
          <w:rPr>
            <w:rFonts w:asciiTheme="minorHAnsi" w:eastAsiaTheme="minorEastAsia" w:hAnsiTheme="minorHAnsi" w:cstheme="minorBidi"/>
            <w:noProof/>
            <w:sz w:val="22"/>
            <w:szCs w:val="22"/>
          </w:rPr>
          <w:tab/>
        </w:r>
        <w:r w:rsidR="00B26430" w:rsidRPr="00C14FDE">
          <w:rPr>
            <w:rStyle w:val="Hypertextovodkaz"/>
            <w:noProof/>
          </w:rPr>
          <w:t>Teorie kognitivního učňovství</w:t>
        </w:r>
        <w:r w:rsidR="00B26430">
          <w:rPr>
            <w:noProof/>
            <w:webHidden/>
          </w:rPr>
          <w:tab/>
        </w:r>
        <w:r w:rsidR="003818A1">
          <w:rPr>
            <w:noProof/>
            <w:webHidden/>
          </w:rPr>
          <w:fldChar w:fldCharType="begin"/>
        </w:r>
        <w:r w:rsidR="00B26430">
          <w:rPr>
            <w:noProof/>
            <w:webHidden/>
          </w:rPr>
          <w:instrText xml:space="preserve"> PAGEREF _Toc399775382 \h </w:instrText>
        </w:r>
        <w:r w:rsidR="003818A1">
          <w:rPr>
            <w:noProof/>
            <w:webHidden/>
          </w:rPr>
        </w:r>
        <w:r w:rsidR="003818A1">
          <w:rPr>
            <w:noProof/>
            <w:webHidden/>
          </w:rPr>
          <w:fldChar w:fldCharType="separate"/>
        </w:r>
        <w:r w:rsidR="00B26430">
          <w:rPr>
            <w:noProof/>
            <w:webHidden/>
          </w:rPr>
          <w:t>19</w:t>
        </w:r>
        <w:r w:rsidR="003818A1">
          <w:rPr>
            <w:noProof/>
            <w:webHidden/>
          </w:rPr>
          <w:fldChar w:fldCharType="end"/>
        </w:r>
      </w:hyperlink>
    </w:p>
    <w:p w:rsidR="00B26430" w:rsidRDefault="003B6F8D">
      <w:pPr>
        <w:pStyle w:val="Obsah2"/>
        <w:rPr>
          <w:rFonts w:asciiTheme="minorHAnsi" w:eastAsiaTheme="minorEastAsia" w:hAnsiTheme="minorHAnsi" w:cstheme="minorBidi"/>
          <w:noProof/>
          <w:sz w:val="22"/>
          <w:szCs w:val="22"/>
        </w:rPr>
      </w:pPr>
      <w:hyperlink w:anchor="_Toc399775383" w:history="1">
        <w:r w:rsidR="00B26430" w:rsidRPr="00C14FDE">
          <w:rPr>
            <w:rStyle w:val="Hypertextovodkaz"/>
            <w:noProof/>
          </w:rPr>
          <w:t>1.4</w:t>
        </w:r>
        <w:r w:rsidR="00B26430">
          <w:rPr>
            <w:rFonts w:asciiTheme="minorHAnsi" w:eastAsiaTheme="minorEastAsia" w:hAnsiTheme="minorHAnsi" w:cstheme="minorBidi"/>
            <w:noProof/>
            <w:sz w:val="22"/>
            <w:szCs w:val="22"/>
          </w:rPr>
          <w:tab/>
        </w:r>
        <w:r w:rsidR="00B26430" w:rsidRPr="00C14FDE">
          <w:rPr>
            <w:rStyle w:val="Hypertextovodkaz"/>
            <w:noProof/>
          </w:rPr>
          <w:t>Kompetence</w:t>
        </w:r>
        <w:r w:rsidR="00B26430">
          <w:rPr>
            <w:noProof/>
            <w:webHidden/>
          </w:rPr>
          <w:tab/>
        </w:r>
        <w:r w:rsidR="003818A1">
          <w:rPr>
            <w:noProof/>
            <w:webHidden/>
          </w:rPr>
          <w:fldChar w:fldCharType="begin"/>
        </w:r>
        <w:r w:rsidR="00B26430">
          <w:rPr>
            <w:noProof/>
            <w:webHidden/>
          </w:rPr>
          <w:instrText xml:space="preserve"> PAGEREF _Toc399775383 \h </w:instrText>
        </w:r>
        <w:r w:rsidR="003818A1">
          <w:rPr>
            <w:noProof/>
            <w:webHidden/>
          </w:rPr>
        </w:r>
        <w:r w:rsidR="003818A1">
          <w:rPr>
            <w:noProof/>
            <w:webHidden/>
          </w:rPr>
          <w:fldChar w:fldCharType="separate"/>
        </w:r>
        <w:r w:rsidR="00B26430">
          <w:rPr>
            <w:noProof/>
            <w:webHidden/>
          </w:rPr>
          <w:t>19</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384" w:history="1">
        <w:r w:rsidR="00B26430" w:rsidRPr="00C14FDE">
          <w:rPr>
            <w:rStyle w:val="Hypertextovodkaz"/>
            <w:noProof/>
          </w:rPr>
          <w:t>1.4.1</w:t>
        </w:r>
        <w:r w:rsidR="00B26430">
          <w:rPr>
            <w:rFonts w:asciiTheme="minorHAnsi" w:eastAsiaTheme="minorEastAsia" w:hAnsiTheme="minorHAnsi" w:cstheme="minorBidi"/>
            <w:noProof/>
            <w:sz w:val="22"/>
            <w:szCs w:val="22"/>
          </w:rPr>
          <w:tab/>
        </w:r>
        <w:r w:rsidR="00B26430" w:rsidRPr="00C14FDE">
          <w:rPr>
            <w:rStyle w:val="Hypertextovodkaz"/>
            <w:noProof/>
          </w:rPr>
          <w:t>Širší souvislosti</w:t>
        </w:r>
        <w:r w:rsidR="00B26430">
          <w:rPr>
            <w:noProof/>
            <w:webHidden/>
          </w:rPr>
          <w:tab/>
        </w:r>
        <w:r w:rsidR="003818A1">
          <w:rPr>
            <w:noProof/>
            <w:webHidden/>
          </w:rPr>
          <w:fldChar w:fldCharType="begin"/>
        </w:r>
        <w:r w:rsidR="00B26430">
          <w:rPr>
            <w:noProof/>
            <w:webHidden/>
          </w:rPr>
          <w:instrText xml:space="preserve"> PAGEREF _Toc399775384 \h </w:instrText>
        </w:r>
        <w:r w:rsidR="003818A1">
          <w:rPr>
            <w:noProof/>
            <w:webHidden/>
          </w:rPr>
        </w:r>
        <w:r w:rsidR="003818A1">
          <w:rPr>
            <w:noProof/>
            <w:webHidden/>
          </w:rPr>
          <w:fldChar w:fldCharType="separate"/>
        </w:r>
        <w:r w:rsidR="00B26430">
          <w:rPr>
            <w:noProof/>
            <w:webHidden/>
          </w:rPr>
          <w:t>20</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385" w:history="1">
        <w:r w:rsidR="00B26430" w:rsidRPr="00C14FDE">
          <w:rPr>
            <w:rStyle w:val="Hypertextovodkaz"/>
            <w:noProof/>
          </w:rPr>
          <w:t>1.4.2</w:t>
        </w:r>
        <w:r w:rsidR="00B26430">
          <w:rPr>
            <w:rFonts w:asciiTheme="minorHAnsi" w:eastAsiaTheme="minorEastAsia" w:hAnsiTheme="minorHAnsi" w:cstheme="minorBidi"/>
            <w:noProof/>
            <w:sz w:val="22"/>
            <w:szCs w:val="22"/>
          </w:rPr>
          <w:tab/>
        </w:r>
        <w:r w:rsidR="00B26430" w:rsidRPr="00C14FDE">
          <w:rPr>
            <w:rStyle w:val="Hypertextovodkaz"/>
            <w:noProof/>
          </w:rPr>
          <w:t>Pokusy o definování kompetencí</w:t>
        </w:r>
        <w:r w:rsidR="00B26430">
          <w:rPr>
            <w:noProof/>
            <w:webHidden/>
          </w:rPr>
          <w:tab/>
        </w:r>
        <w:r w:rsidR="003818A1">
          <w:rPr>
            <w:noProof/>
            <w:webHidden/>
          </w:rPr>
          <w:fldChar w:fldCharType="begin"/>
        </w:r>
        <w:r w:rsidR="00B26430">
          <w:rPr>
            <w:noProof/>
            <w:webHidden/>
          </w:rPr>
          <w:instrText xml:space="preserve"> PAGEREF _Toc399775385 \h </w:instrText>
        </w:r>
        <w:r w:rsidR="003818A1">
          <w:rPr>
            <w:noProof/>
            <w:webHidden/>
          </w:rPr>
        </w:r>
        <w:r w:rsidR="003818A1">
          <w:rPr>
            <w:noProof/>
            <w:webHidden/>
          </w:rPr>
          <w:fldChar w:fldCharType="separate"/>
        </w:r>
        <w:r w:rsidR="00B26430">
          <w:rPr>
            <w:noProof/>
            <w:webHidden/>
          </w:rPr>
          <w:t>21</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386" w:history="1">
        <w:r w:rsidR="00B26430" w:rsidRPr="00C14FDE">
          <w:rPr>
            <w:rStyle w:val="Hypertextovodkaz"/>
            <w:noProof/>
          </w:rPr>
          <w:t>1.4.3</w:t>
        </w:r>
        <w:r w:rsidR="00B26430">
          <w:rPr>
            <w:rFonts w:asciiTheme="minorHAnsi" w:eastAsiaTheme="minorEastAsia" w:hAnsiTheme="minorHAnsi" w:cstheme="minorBidi"/>
            <w:noProof/>
            <w:sz w:val="22"/>
            <w:szCs w:val="22"/>
          </w:rPr>
          <w:tab/>
        </w:r>
        <w:r w:rsidR="00B26430" w:rsidRPr="00C14FDE">
          <w:rPr>
            <w:rStyle w:val="Hypertextovodkaz"/>
            <w:noProof/>
          </w:rPr>
          <w:t>Klíčové (nadoborové) kompetence</w:t>
        </w:r>
        <w:r w:rsidR="00B26430">
          <w:rPr>
            <w:noProof/>
            <w:webHidden/>
          </w:rPr>
          <w:tab/>
        </w:r>
        <w:r w:rsidR="003818A1">
          <w:rPr>
            <w:noProof/>
            <w:webHidden/>
          </w:rPr>
          <w:fldChar w:fldCharType="begin"/>
        </w:r>
        <w:r w:rsidR="00B26430">
          <w:rPr>
            <w:noProof/>
            <w:webHidden/>
          </w:rPr>
          <w:instrText xml:space="preserve"> PAGEREF _Toc399775386 \h </w:instrText>
        </w:r>
        <w:r w:rsidR="003818A1">
          <w:rPr>
            <w:noProof/>
            <w:webHidden/>
          </w:rPr>
        </w:r>
        <w:r w:rsidR="003818A1">
          <w:rPr>
            <w:noProof/>
            <w:webHidden/>
          </w:rPr>
          <w:fldChar w:fldCharType="separate"/>
        </w:r>
        <w:r w:rsidR="00B26430">
          <w:rPr>
            <w:noProof/>
            <w:webHidden/>
          </w:rPr>
          <w:t>23</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387" w:history="1">
        <w:r w:rsidR="00B26430" w:rsidRPr="00C14FDE">
          <w:rPr>
            <w:rStyle w:val="Hypertextovodkaz"/>
            <w:noProof/>
          </w:rPr>
          <w:t>1.4.4</w:t>
        </w:r>
        <w:r w:rsidR="00B26430">
          <w:rPr>
            <w:rFonts w:asciiTheme="minorHAnsi" w:eastAsiaTheme="minorEastAsia" w:hAnsiTheme="minorHAnsi" w:cstheme="minorBidi"/>
            <w:noProof/>
            <w:sz w:val="22"/>
            <w:szCs w:val="22"/>
          </w:rPr>
          <w:tab/>
        </w:r>
        <w:r w:rsidR="00B26430" w:rsidRPr="00C14FDE">
          <w:rPr>
            <w:rStyle w:val="Hypertextovodkaz"/>
            <w:noProof/>
          </w:rPr>
          <w:t>Mezioborové kompetence: kompetence k řešení problémů</w:t>
        </w:r>
        <w:r w:rsidR="00B26430">
          <w:rPr>
            <w:noProof/>
            <w:webHidden/>
          </w:rPr>
          <w:tab/>
        </w:r>
        <w:r w:rsidR="003818A1">
          <w:rPr>
            <w:noProof/>
            <w:webHidden/>
          </w:rPr>
          <w:fldChar w:fldCharType="begin"/>
        </w:r>
        <w:r w:rsidR="00B26430">
          <w:rPr>
            <w:noProof/>
            <w:webHidden/>
          </w:rPr>
          <w:instrText xml:space="preserve"> PAGEREF _Toc399775387 \h </w:instrText>
        </w:r>
        <w:r w:rsidR="003818A1">
          <w:rPr>
            <w:noProof/>
            <w:webHidden/>
          </w:rPr>
        </w:r>
        <w:r w:rsidR="003818A1">
          <w:rPr>
            <w:noProof/>
            <w:webHidden/>
          </w:rPr>
          <w:fldChar w:fldCharType="separate"/>
        </w:r>
        <w:r w:rsidR="00B26430">
          <w:rPr>
            <w:noProof/>
            <w:webHidden/>
          </w:rPr>
          <w:t>27</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388" w:history="1">
        <w:r w:rsidR="00B26430" w:rsidRPr="00C14FDE">
          <w:rPr>
            <w:rStyle w:val="Hypertextovodkaz"/>
            <w:noProof/>
          </w:rPr>
          <w:t>1.4.5</w:t>
        </w:r>
        <w:r w:rsidR="00B26430">
          <w:rPr>
            <w:rFonts w:asciiTheme="minorHAnsi" w:eastAsiaTheme="minorEastAsia" w:hAnsiTheme="minorHAnsi" w:cstheme="minorBidi"/>
            <w:noProof/>
            <w:sz w:val="22"/>
            <w:szCs w:val="22"/>
          </w:rPr>
          <w:tab/>
        </w:r>
        <w:r w:rsidR="00B26430" w:rsidRPr="00C14FDE">
          <w:rPr>
            <w:rStyle w:val="Hypertextovodkaz"/>
            <w:noProof/>
          </w:rPr>
          <w:t>Oborové kompetence</w:t>
        </w:r>
        <w:r w:rsidR="00B26430">
          <w:rPr>
            <w:noProof/>
            <w:webHidden/>
          </w:rPr>
          <w:tab/>
        </w:r>
        <w:r w:rsidR="003818A1">
          <w:rPr>
            <w:noProof/>
            <w:webHidden/>
          </w:rPr>
          <w:fldChar w:fldCharType="begin"/>
        </w:r>
        <w:r w:rsidR="00B26430">
          <w:rPr>
            <w:noProof/>
            <w:webHidden/>
          </w:rPr>
          <w:instrText xml:space="preserve"> PAGEREF _Toc399775388 \h </w:instrText>
        </w:r>
        <w:r w:rsidR="003818A1">
          <w:rPr>
            <w:noProof/>
            <w:webHidden/>
          </w:rPr>
        </w:r>
        <w:r w:rsidR="003818A1">
          <w:rPr>
            <w:noProof/>
            <w:webHidden/>
          </w:rPr>
          <w:fldChar w:fldCharType="separate"/>
        </w:r>
        <w:r w:rsidR="00B26430">
          <w:rPr>
            <w:noProof/>
            <w:webHidden/>
          </w:rPr>
          <w:t>29</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389" w:history="1">
        <w:r w:rsidR="00B26430" w:rsidRPr="00C14FDE">
          <w:rPr>
            <w:rStyle w:val="Hypertextovodkaz"/>
            <w:noProof/>
          </w:rPr>
          <w:t>1.4.6</w:t>
        </w:r>
        <w:r w:rsidR="00B26430">
          <w:rPr>
            <w:rFonts w:asciiTheme="minorHAnsi" w:eastAsiaTheme="minorEastAsia" w:hAnsiTheme="minorHAnsi" w:cstheme="minorBidi"/>
            <w:noProof/>
            <w:sz w:val="22"/>
            <w:szCs w:val="22"/>
          </w:rPr>
          <w:tab/>
        </w:r>
        <w:r w:rsidR="00B26430" w:rsidRPr="00C14FDE">
          <w:rPr>
            <w:rStyle w:val="Hypertextovodkaz"/>
            <w:noProof/>
          </w:rPr>
          <w:t>Kompetenční modely</w:t>
        </w:r>
        <w:r w:rsidR="00B26430">
          <w:rPr>
            <w:noProof/>
            <w:webHidden/>
          </w:rPr>
          <w:tab/>
        </w:r>
        <w:r w:rsidR="003818A1">
          <w:rPr>
            <w:noProof/>
            <w:webHidden/>
          </w:rPr>
          <w:fldChar w:fldCharType="begin"/>
        </w:r>
        <w:r w:rsidR="00B26430">
          <w:rPr>
            <w:noProof/>
            <w:webHidden/>
          </w:rPr>
          <w:instrText xml:space="preserve"> PAGEREF _Toc399775389 \h </w:instrText>
        </w:r>
        <w:r w:rsidR="003818A1">
          <w:rPr>
            <w:noProof/>
            <w:webHidden/>
          </w:rPr>
        </w:r>
        <w:r w:rsidR="003818A1">
          <w:rPr>
            <w:noProof/>
            <w:webHidden/>
          </w:rPr>
          <w:fldChar w:fldCharType="separate"/>
        </w:r>
        <w:r w:rsidR="00B26430">
          <w:rPr>
            <w:noProof/>
            <w:webHidden/>
          </w:rPr>
          <w:t>30</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390" w:history="1">
        <w:r w:rsidR="00B26430" w:rsidRPr="00C14FDE">
          <w:rPr>
            <w:rStyle w:val="Hypertextovodkaz"/>
            <w:noProof/>
          </w:rPr>
          <w:t>1.4.7</w:t>
        </w:r>
        <w:r w:rsidR="00B26430">
          <w:rPr>
            <w:rFonts w:asciiTheme="minorHAnsi" w:eastAsiaTheme="minorEastAsia" w:hAnsiTheme="minorHAnsi" w:cstheme="minorBidi"/>
            <w:noProof/>
            <w:sz w:val="22"/>
            <w:szCs w:val="22"/>
          </w:rPr>
          <w:tab/>
        </w:r>
        <w:r w:rsidR="00B26430" w:rsidRPr="00C14FDE">
          <w:rPr>
            <w:rStyle w:val="Hypertextovodkaz"/>
            <w:noProof/>
          </w:rPr>
          <w:t>Cíle geografického vzdělávání: střet odlišných tradic a přístupů?</w:t>
        </w:r>
        <w:r w:rsidR="00B26430">
          <w:rPr>
            <w:noProof/>
            <w:webHidden/>
          </w:rPr>
          <w:tab/>
        </w:r>
        <w:r w:rsidR="003818A1">
          <w:rPr>
            <w:noProof/>
            <w:webHidden/>
          </w:rPr>
          <w:fldChar w:fldCharType="begin"/>
        </w:r>
        <w:r w:rsidR="00B26430">
          <w:rPr>
            <w:noProof/>
            <w:webHidden/>
          </w:rPr>
          <w:instrText xml:space="preserve"> PAGEREF _Toc399775390 \h </w:instrText>
        </w:r>
        <w:r w:rsidR="003818A1">
          <w:rPr>
            <w:noProof/>
            <w:webHidden/>
          </w:rPr>
        </w:r>
        <w:r w:rsidR="003818A1">
          <w:rPr>
            <w:noProof/>
            <w:webHidden/>
          </w:rPr>
          <w:fldChar w:fldCharType="separate"/>
        </w:r>
        <w:r w:rsidR="00B26430">
          <w:rPr>
            <w:noProof/>
            <w:webHidden/>
          </w:rPr>
          <w:t>32</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391" w:history="1">
        <w:r w:rsidR="00B26430" w:rsidRPr="00C14FDE">
          <w:rPr>
            <w:rStyle w:val="Hypertextovodkaz"/>
            <w:noProof/>
          </w:rPr>
          <w:t>1.4.8</w:t>
        </w:r>
        <w:r w:rsidR="00B26430">
          <w:rPr>
            <w:rFonts w:asciiTheme="minorHAnsi" w:eastAsiaTheme="minorEastAsia" w:hAnsiTheme="minorHAnsi" w:cstheme="minorBidi"/>
            <w:noProof/>
            <w:sz w:val="22"/>
            <w:szCs w:val="22"/>
          </w:rPr>
          <w:tab/>
        </w:r>
        <w:r w:rsidR="00B26430" w:rsidRPr="00C14FDE">
          <w:rPr>
            <w:rStyle w:val="Hypertextovodkaz"/>
            <w:noProof/>
          </w:rPr>
          <w:t>Shrnutí</w:t>
        </w:r>
        <w:r w:rsidR="00B26430">
          <w:rPr>
            <w:noProof/>
            <w:webHidden/>
          </w:rPr>
          <w:tab/>
        </w:r>
        <w:r w:rsidR="003818A1">
          <w:rPr>
            <w:noProof/>
            <w:webHidden/>
          </w:rPr>
          <w:fldChar w:fldCharType="begin"/>
        </w:r>
        <w:r w:rsidR="00B26430">
          <w:rPr>
            <w:noProof/>
            <w:webHidden/>
          </w:rPr>
          <w:instrText xml:space="preserve"> PAGEREF _Toc399775391 \h </w:instrText>
        </w:r>
        <w:r w:rsidR="003818A1">
          <w:rPr>
            <w:noProof/>
            <w:webHidden/>
          </w:rPr>
        </w:r>
        <w:r w:rsidR="003818A1">
          <w:rPr>
            <w:noProof/>
            <w:webHidden/>
          </w:rPr>
          <w:fldChar w:fldCharType="separate"/>
        </w:r>
        <w:r w:rsidR="00B26430">
          <w:rPr>
            <w:noProof/>
            <w:webHidden/>
          </w:rPr>
          <w:t>38</w:t>
        </w:r>
        <w:r w:rsidR="003818A1">
          <w:rPr>
            <w:noProof/>
            <w:webHidden/>
          </w:rPr>
          <w:fldChar w:fldCharType="end"/>
        </w:r>
      </w:hyperlink>
    </w:p>
    <w:p w:rsidR="00B26430" w:rsidRDefault="003B6F8D">
      <w:pPr>
        <w:pStyle w:val="Obsah2"/>
        <w:rPr>
          <w:rFonts w:asciiTheme="minorHAnsi" w:eastAsiaTheme="minorEastAsia" w:hAnsiTheme="minorHAnsi" w:cstheme="minorBidi"/>
          <w:noProof/>
          <w:sz w:val="22"/>
          <w:szCs w:val="22"/>
        </w:rPr>
      </w:pPr>
      <w:hyperlink w:anchor="_Toc399775392" w:history="1">
        <w:r w:rsidR="00B26430" w:rsidRPr="00C14FDE">
          <w:rPr>
            <w:rStyle w:val="Hypertextovodkaz"/>
            <w:noProof/>
          </w:rPr>
          <w:t>1.5</w:t>
        </w:r>
        <w:r w:rsidR="00B26430">
          <w:rPr>
            <w:rFonts w:asciiTheme="minorHAnsi" w:eastAsiaTheme="minorEastAsia" w:hAnsiTheme="minorHAnsi" w:cstheme="minorBidi"/>
            <w:noProof/>
            <w:sz w:val="22"/>
            <w:szCs w:val="22"/>
          </w:rPr>
          <w:tab/>
        </w:r>
        <w:r w:rsidR="00B26430" w:rsidRPr="00C14FDE">
          <w:rPr>
            <w:rStyle w:val="Hypertextovodkaz"/>
            <w:noProof/>
          </w:rPr>
          <w:t>Problém a jeho řešení</w:t>
        </w:r>
        <w:r w:rsidR="00B26430">
          <w:rPr>
            <w:noProof/>
            <w:webHidden/>
          </w:rPr>
          <w:tab/>
        </w:r>
        <w:r w:rsidR="003818A1">
          <w:rPr>
            <w:noProof/>
            <w:webHidden/>
          </w:rPr>
          <w:fldChar w:fldCharType="begin"/>
        </w:r>
        <w:r w:rsidR="00B26430">
          <w:rPr>
            <w:noProof/>
            <w:webHidden/>
          </w:rPr>
          <w:instrText xml:space="preserve"> PAGEREF _Toc399775392 \h </w:instrText>
        </w:r>
        <w:r w:rsidR="003818A1">
          <w:rPr>
            <w:noProof/>
            <w:webHidden/>
          </w:rPr>
        </w:r>
        <w:r w:rsidR="003818A1">
          <w:rPr>
            <w:noProof/>
            <w:webHidden/>
          </w:rPr>
          <w:fldChar w:fldCharType="separate"/>
        </w:r>
        <w:r w:rsidR="00B26430">
          <w:rPr>
            <w:noProof/>
            <w:webHidden/>
          </w:rPr>
          <w:t>39</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393" w:history="1">
        <w:r w:rsidR="00B26430" w:rsidRPr="00C14FDE">
          <w:rPr>
            <w:rStyle w:val="Hypertextovodkaz"/>
            <w:noProof/>
          </w:rPr>
          <w:t>1.5.1</w:t>
        </w:r>
        <w:r w:rsidR="00B26430">
          <w:rPr>
            <w:rFonts w:asciiTheme="minorHAnsi" w:eastAsiaTheme="minorEastAsia" w:hAnsiTheme="minorHAnsi" w:cstheme="minorBidi"/>
            <w:noProof/>
            <w:sz w:val="22"/>
            <w:szCs w:val="22"/>
          </w:rPr>
          <w:tab/>
        </w:r>
        <w:r w:rsidR="00B26430" w:rsidRPr="00C14FDE">
          <w:rPr>
            <w:rStyle w:val="Hypertextovodkaz"/>
            <w:noProof/>
          </w:rPr>
          <w:t>Historické kořeny</w:t>
        </w:r>
        <w:r w:rsidR="00B26430">
          <w:rPr>
            <w:noProof/>
            <w:webHidden/>
          </w:rPr>
          <w:tab/>
        </w:r>
        <w:r w:rsidR="003818A1">
          <w:rPr>
            <w:noProof/>
            <w:webHidden/>
          </w:rPr>
          <w:fldChar w:fldCharType="begin"/>
        </w:r>
        <w:r w:rsidR="00B26430">
          <w:rPr>
            <w:noProof/>
            <w:webHidden/>
          </w:rPr>
          <w:instrText xml:space="preserve"> PAGEREF _Toc399775393 \h </w:instrText>
        </w:r>
        <w:r w:rsidR="003818A1">
          <w:rPr>
            <w:noProof/>
            <w:webHidden/>
          </w:rPr>
        </w:r>
        <w:r w:rsidR="003818A1">
          <w:rPr>
            <w:noProof/>
            <w:webHidden/>
          </w:rPr>
          <w:fldChar w:fldCharType="separate"/>
        </w:r>
        <w:r w:rsidR="00B26430">
          <w:rPr>
            <w:noProof/>
            <w:webHidden/>
          </w:rPr>
          <w:t>39</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394" w:history="1">
        <w:r w:rsidR="00B26430" w:rsidRPr="00C14FDE">
          <w:rPr>
            <w:rStyle w:val="Hypertextovodkaz"/>
            <w:noProof/>
          </w:rPr>
          <w:t>1.5.2</w:t>
        </w:r>
        <w:r w:rsidR="00B26430">
          <w:rPr>
            <w:rFonts w:asciiTheme="minorHAnsi" w:eastAsiaTheme="minorEastAsia" w:hAnsiTheme="minorHAnsi" w:cstheme="minorBidi"/>
            <w:noProof/>
            <w:sz w:val="22"/>
            <w:szCs w:val="22"/>
          </w:rPr>
          <w:tab/>
        </w:r>
        <w:r w:rsidR="00B26430" w:rsidRPr="00C14FDE">
          <w:rPr>
            <w:rStyle w:val="Hypertextovodkaz"/>
            <w:noProof/>
          </w:rPr>
          <w:t>Definice problému</w:t>
        </w:r>
        <w:r w:rsidR="00B26430">
          <w:rPr>
            <w:noProof/>
            <w:webHidden/>
          </w:rPr>
          <w:tab/>
        </w:r>
        <w:r w:rsidR="003818A1">
          <w:rPr>
            <w:noProof/>
            <w:webHidden/>
          </w:rPr>
          <w:fldChar w:fldCharType="begin"/>
        </w:r>
        <w:r w:rsidR="00B26430">
          <w:rPr>
            <w:noProof/>
            <w:webHidden/>
          </w:rPr>
          <w:instrText xml:space="preserve"> PAGEREF _Toc399775394 \h </w:instrText>
        </w:r>
        <w:r w:rsidR="003818A1">
          <w:rPr>
            <w:noProof/>
            <w:webHidden/>
          </w:rPr>
        </w:r>
        <w:r w:rsidR="003818A1">
          <w:rPr>
            <w:noProof/>
            <w:webHidden/>
          </w:rPr>
          <w:fldChar w:fldCharType="separate"/>
        </w:r>
        <w:r w:rsidR="00B26430">
          <w:rPr>
            <w:noProof/>
            <w:webHidden/>
          </w:rPr>
          <w:t>41</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395" w:history="1">
        <w:r w:rsidR="00B26430" w:rsidRPr="00C14FDE">
          <w:rPr>
            <w:rStyle w:val="Hypertextovodkaz"/>
            <w:noProof/>
          </w:rPr>
          <w:t>1.5.3</w:t>
        </w:r>
        <w:r w:rsidR="00B26430">
          <w:rPr>
            <w:rFonts w:asciiTheme="minorHAnsi" w:eastAsiaTheme="minorEastAsia" w:hAnsiTheme="minorHAnsi" w:cstheme="minorBidi"/>
            <w:noProof/>
            <w:sz w:val="22"/>
            <w:szCs w:val="22"/>
          </w:rPr>
          <w:tab/>
        </w:r>
        <w:r w:rsidR="00B26430" w:rsidRPr="00C14FDE">
          <w:rPr>
            <w:rStyle w:val="Hypertextovodkaz"/>
            <w:noProof/>
          </w:rPr>
          <w:t>Řešení problémů</w:t>
        </w:r>
        <w:r w:rsidR="00B26430">
          <w:rPr>
            <w:noProof/>
            <w:webHidden/>
          </w:rPr>
          <w:tab/>
        </w:r>
        <w:r w:rsidR="003818A1">
          <w:rPr>
            <w:noProof/>
            <w:webHidden/>
          </w:rPr>
          <w:fldChar w:fldCharType="begin"/>
        </w:r>
        <w:r w:rsidR="00B26430">
          <w:rPr>
            <w:noProof/>
            <w:webHidden/>
          </w:rPr>
          <w:instrText xml:space="preserve"> PAGEREF _Toc399775395 \h </w:instrText>
        </w:r>
        <w:r w:rsidR="003818A1">
          <w:rPr>
            <w:noProof/>
            <w:webHidden/>
          </w:rPr>
        </w:r>
        <w:r w:rsidR="003818A1">
          <w:rPr>
            <w:noProof/>
            <w:webHidden/>
          </w:rPr>
          <w:fldChar w:fldCharType="separate"/>
        </w:r>
        <w:r w:rsidR="00B26430">
          <w:rPr>
            <w:noProof/>
            <w:webHidden/>
          </w:rPr>
          <w:t>42</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396" w:history="1">
        <w:r w:rsidR="00B26430" w:rsidRPr="00C14FDE">
          <w:rPr>
            <w:rStyle w:val="Hypertextovodkaz"/>
            <w:noProof/>
          </w:rPr>
          <w:t>1.5.4</w:t>
        </w:r>
        <w:r w:rsidR="00B26430">
          <w:rPr>
            <w:rFonts w:asciiTheme="minorHAnsi" w:eastAsiaTheme="minorEastAsia" w:hAnsiTheme="minorHAnsi" w:cstheme="minorBidi"/>
            <w:noProof/>
            <w:sz w:val="22"/>
            <w:szCs w:val="22"/>
          </w:rPr>
          <w:tab/>
        </w:r>
        <w:r w:rsidR="00B26430" w:rsidRPr="00C14FDE">
          <w:rPr>
            <w:rStyle w:val="Hypertextovodkaz"/>
            <w:noProof/>
          </w:rPr>
          <w:t>Problémová situace</w:t>
        </w:r>
        <w:r w:rsidR="00B26430">
          <w:rPr>
            <w:noProof/>
            <w:webHidden/>
          </w:rPr>
          <w:tab/>
        </w:r>
        <w:r w:rsidR="003818A1">
          <w:rPr>
            <w:noProof/>
            <w:webHidden/>
          </w:rPr>
          <w:fldChar w:fldCharType="begin"/>
        </w:r>
        <w:r w:rsidR="00B26430">
          <w:rPr>
            <w:noProof/>
            <w:webHidden/>
          </w:rPr>
          <w:instrText xml:space="preserve"> PAGEREF _Toc399775396 \h </w:instrText>
        </w:r>
        <w:r w:rsidR="003818A1">
          <w:rPr>
            <w:noProof/>
            <w:webHidden/>
          </w:rPr>
        </w:r>
        <w:r w:rsidR="003818A1">
          <w:rPr>
            <w:noProof/>
            <w:webHidden/>
          </w:rPr>
          <w:fldChar w:fldCharType="separate"/>
        </w:r>
        <w:r w:rsidR="00B26430">
          <w:rPr>
            <w:noProof/>
            <w:webHidden/>
          </w:rPr>
          <w:t>43</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397" w:history="1">
        <w:r w:rsidR="00B26430" w:rsidRPr="00C14FDE">
          <w:rPr>
            <w:rStyle w:val="Hypertextovodkaz"/>
            <w:noProof/>
          </w:rPr>
          <w:t>1.5.5</w:t>
        </w:r>
        <w:r w:rsidR="00B26430">
          <w:rPr>
            <w:rFonts w:asciiTheme="minorHAnsi" w:eastAsiaTheme="minorEastAsia" w:hAnsiTheme="minorHAnsi" w:cstheme="minorBidi"/>
            <w:noProof/>
            <w:sz w:val="22"/>
            <w:szCs w:val="22"/>
          </w:rPr>
          <w:tab/>
        </w:r>
        <w:r w:rsidR="00B26430" w:rsidRPr="00C14FDE">
          <w:rPr>
            <w:rStyle w:val="Hypertextovodkaz"/>
            <w:noProof/>
          </w:rPr>
          <w:t>Typologie problémů</w:t>
        </w:r>
        <w:r w:rsidR="00B26430">
          <w:rPr>
            <w:noProof/>
            <w:webHidden/>
          </w:rPr>
          <w:tab/>
        </w:r>
        <w:r w:rsidR="003818A1">
          <w:rPr>
            <w:noProof/>
            <w:webHidden/>
          </w:rPr>
          <w:fldChar w:fldCharType="begin"/>
        </w:r>
        <w:r w:rsidR="00B26430">
          <w:rPr>
            <w:noProof/>
            <w:webHidden/>
          </w:rPr>
          <w:instrText xml:space="preserve"> PAGEREF _Toc399775397 \h </w:instrText>
        </w:r>
        <w:r w:rsidR="003818A1">
          <w:rPr>
            <w:noProof/>
            <w:webHidden/>
          </w:rPr>
        </w:r>
        <w:r w:rsidR="003818A1">
          <w:rPr>
            <w:noProof/>
            <w:webHidden/>
          </w:rPr>
          <w:fldChar w:fldCharType="separate"/>
        </w:r>
        <w:r w:rsidR="00B26430">
          <w:rPr>
            <w:noProof/>
            <w:webHidden/>
          </w:rPr>
          <w:t>46</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398" w:history="1">
        <w:r w:rsidR="00B26430" w:rsidRPr="00C14FDE">
          <w:rPr>
            <w:rStyle w:val="Hypertextovodkaz"/>
            <w:noProof/>
          </w:rPr>
          <w:t>1.5.6</w:t>
        </w:r>
        <w:r w:rsidR="00B26430">
          <w:rPr>
            <w:rFonts w:asciiTheme="minorHAnsi" w:eastAsiaTheme="minorEastAsia" w:hAnsiTheme="minorHAnsi" w:cstheme="minorBidi"/>
            <w:noProof/>
            <w:sz w:val="22"/>
            <w:szCs w:val="22"/>
          </w:rPr>
          <w:tab/>
        </w:r>
        <w:r w:rsidR="00B26430" w:rsidRPr="00C14FDE">
          <w:rPr>
            <w:rStyle w:val="Hypertextovodkaz"/>
            <w:noProof/>
          </w:rPr>
          <w:t>Faktory ovlivňující proces řešení problémů</w:t>
        </w:r>
        <w:r w:rsidR="00B26430">
          <w:rPr>
            <w:noProof/>
            <w:webHidden/>
          </w:rPr>
          <w:tab/>
        </w:r>
        <w:r w:rsidR="003818A1">
          <w:rPr>
            <w:noProof/>
            <w:webHidden/>
          </w:rPr>
          <w:fldChar w:fldCharType="begin"/>
        </w:r>
        <w:r w:rsidR="00B26430">
          <w:rPr>
            <w:noProof/>
            <w:webHidden/>
          </w:rPr>
          <w:instrText xml:space="preserve"> PAGEREF _Toc399775398 \h </w:instrText>
        </w:r>
        <w:r w:rsidR="003818A1">
          <w:rPr>
            <w:noProof/>
            <w:webHidden/>
          </w:rPr>
        </w:r>
        <w:r w:rsidR="003818A1">
          <w:rPr>
            <w:noProof/>
            <w:webHidden/>
          </w:rPr>
          <w:fldChar w:fldCharType="separate"/>
        </w:r>
        <w:r w:rsidR="00B26430">
          <w:rPr>
            <w:noProof/>
            <w:webHidden/>
          </w:rPr>
          <w:t>52</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399" w:history="1">
        <w:r w:rsidR="00B26430" w:rsidRPr="00C14FDE">
          <w:rPr>
            <w:rStyle w:val="Hypertextovodkaz"/>
            <w:noProof/>
          </w:rPr>
          <w:t>1.5.1</w:t>
        </w:r>
        <w:r w:rsidR="00B26430">
          <w:rPr>
            <w:rFonts w:asciiTheme="minorHAnsi" w:eastAsiaTheme="minorEastAsia" w:hAnsiTheme="minorHAnsi" w:cstheme="minorBidi"/>
            <w:noProof/>
            <w:sz w:val="22"/>
            <w:szCs w:val="22"/>
          </w:rPr>
          <w:tab/>
        </w:r>
        <w:r w:rsidR="00B26430" w:rsidRPr="00C14FDE">
          <w:rPr>
            <w:rStyle w:val="Hypertextovodkaz"/>
            <w:noProof/>
          </w:rPr>
          <w:t>Shrnutí</w:t>
        </w:r>
        <w:r w:rsidR="00B26430">
          <w:rPr>
            <w:noProof/>
            <w:webHidden/>
          </w:rPr>
          <w:tab/>
        </w:r>
        <w:r w:rsidR="003818A1">
          <w:rPr>
            <w:noProof/>
            <w:webHidden/>
          </w:rPr>
          <w:fldChar w:fldCharType="begin"/>
        </w:r>
        <w:r w:rsidR="00B26430">
          <w:rPr>
            <w:noProof/>
            <w:webHidden/>
          </w:rPr>
          <w:instrText xml:space="preserve"> PAGEREF _Toc399775399 \h </w:instrText>
        </w:r>
        <w:r w:rsidR="003818A1">
          <w:rPr>
            <w:noProof/>
            <w:webHidden/>
          </w:rPr>
        </w:r>
        <w:r w:rsidR="003818A1">
          <w:rPr>
            <w:noProof/>
            <w:webHidden/>
          </w:rPr>
          <w:fldChar w:fldCharType="separate"/>
        </w:r>
        <w:r w:rsidR="00B26430">
          <w:rPr>
            <w:noProof/>
            <w:webHidden/>
          </w:rPr>
          <w:t>56</w:t>
        </w:r>
        <w:r w:rsidR="003818A1">
          <w:rPr>
            <w:noProof/>
            <w:webHidden/>
          </w:rPr>
          <w:fldChar w:fldCharType="end"/>
        </w:r>
      </w:hyperlink>
    </w:p>
    <w:p w:rsidR="00B26430" w:rsidRDefault="003B6F8D">
      <w:pPr>
        <w:pStyle w:val="Obsah2"/>
        <w:rPr>
          <w:rFonts w:asciiTheme="minorHAnsi" w:eastAsiaTheme="minorEastAsia" w:hAnsiTheme="minorHAnsi" w:cstheme="minorBidi"/>
          <w:noProof/>
          <w:sz w:val="22"/>
          <w:szCs w:val="22"/>
        </w:rPr>
      </w:pPr>
      <w:hyperlink w:anchor="_Toc399775400" w:history="1">
        <w:r w:rsidR="00B26430" w:rsidRPr="00C14FDE">
          <w:rPr>
            <w:rStyle w:val="Hypertextovodkaz"/>
            <w:noProof/>
          </w:rPr>
          <w:t>1.6</w:t>
        </w:r>
        <w:r w:rsidR="00B26430">
          <w:rPr>
            <w:rFonts w:asciiTheme="minorHAnsi" w:eastAsiaTheme="minorEastAsia" w:hAnsiTheme="minorHAnsi" w:cstheme="minorBidi"/>
            <w:noProof/>
            <w:sz w:val="22"/>
            <w:szCs w:val="22"/>
          </w:rPr>
          <w:tab/>
        </w:r>
        <w:r w:rsidR="00B26430" w:rsidRPr="00C14FDE">
          <w:rPr>
            <w:rStyle w:val="Hypertextovodkaz"/>
            <w:noProof/>
          </w:rPr>
          <w:t>Problémová výuka</w:t>
        </w:r>
        <w:r w:rsidR="00B26430">
          <w:rPr>
            <w:noProof/>
            <w:webHidden/>
          </w:rPr>
          <w:tab/>
        </w:r>
        <w:r w:rsidR="003818A1">
          <w:rPr>
            <w:noProof/>
            <w:webHidden/>
          </w:rPr>
          <w:fldChar w:fldCharType="begin"/>
        </w:r>
        <w:r w:rsidR="00B26430">
          <w:rPr>
            <w:noProof/>
            <w:webHidden/>
          </w:rPr>
          <w:instrText xml:space="preserve"> PAGEREF _Toc399775400 \h </w:instrText>
        </w:r>
        <w:r w:rsidR="003818A1">
          <w:rPr>
            <w:noProof/>
            <w:webHidden/>
          </w:rPr>
        </w:r>
        <w:r w:rsidR="003818A1">
          <w:rPr>
            <w:noProof/>
            <w:webHidden/>
          </w:rPr>
          <w:fldChar w:fldCharType="separate"/>
        </w:r>
        <w:r w:rsidR="00B26430">
          <w:rPr>
            <w:noProof/>
            <w:webHidden/>
          </w:rPr>
          <w:t>56</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01" w:history="1">
        <w:r w:rsidR="00B26430" w:rsidRPr="00C14FDE">
          <w:rPr>
            <w:rStyle w:val="Hypertextovodkaz"/>
            <w:noProof/>
          </w:rPr>
          <w:t>1.6.1</w:t>
        </w:r>
        <w:r w:rsidR="00B26430">
          <w:rPr>
            <w:rFonts w:asciiTheme="minorHAnsi" w:eastAsiaTheme="minorEastAsia" w:hAnsiTheme="minorHAnsi" w:cstheme="minorBidi"/>
            <w:noProof/>
            <w:sz w:val="22"/>
            <w:szCs w:val="22"/>
          </w:rPr>
          <w:tab/>
        </w:r>
        <w:r w:rsidR="00B26430" w:rsidRPr="00C14FDE">
          <w:rPr>
            <w:rStyle w:val="Hypertextovodkaz"/>
            <w:noProof/>
          </w:rPr>
          <w:t>Didaktické přístupy založené na řešení problémů</w:t>
        </w:r>
        <w:r w:rsidR="00B26430">
          <w:rPr>
            <w:noProof/>
            <w:webHidden/>
          </w:rPr>
          <w:tab/>
        </w:r>
        <w:r w:rsidR="003818A1">
          <w:rPr>
            <w:noProof/>
            <w:webHidden/>
          </w:rPr>
          <w:fldChar w:fldCharType="begin"/>
        </w:r>
        <w:r w:rsidR="00B26430">
          <w:rPr>
            <w:noProof/>
            <w:webHidden/>
          </w:rPr>
          <w:instrText xml:space="preserve"> PAGEREF _Toc399775401 \h </w:instrText>
        </w:r>
        <w:r w:rsidR="003818A1">
          <w:rPr>
            <w:noProof/>
            <w:webHidden/>
          </w:rPr>
        </w:r>
        <w:r w:rsidR="003818A1">
          <w:rPr>
            <w:noProof/>
            <w:webHidden/>
          </w:rPr>
          <w:fldChar w:fldCharType="separate"/>
        </w:r>
        <w:r w:rsidR="00B26430">
          <w:rPr>
            <w:noProof/>
            <w:webHidden/>
          </w:rPr>
          <w:t>57</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02" w:history="1">
        <w:r w:rsidR="00B26430" w:rsidRPr="00C14FDE">
          <w:rPr>
            <w:rStyle w:val="Hypertextovodkaz"/>
            <w:noProof/>
          </w:rPr>
          <w:t>1.6.2</w:t>
        </w:r>
        <w:r w:rsidR="00B26430">
          <w:rPr>
            <w:rFonts w:asciiTheme="minorHAnsi" w:eastAsiaTheme="minorEastAsia" w:hAnsiTheme="minorHAnsi" w:cstheme="minorBidi"/>
            <w:noProof/>
            <w:sz w:val="22"/>
            <w:szCs w:val="22"/>
          </w:rPr>
          <w:tab/>
        </w:r>
        <w:r w:rsidR="00B26430" w:rsidRPr="00C14FDE">
          <w:rPr>
            <w:rStyle w:val="Hypertextovodkaz"/>
            <w:noProof/>
          </w:rPr>
          <w:t>Nálezy výzkumu týkající se didaktického využití řešení problémů</w:t>
        </w:r>
        <w:r w:rsidR="00B26430">
          <w:rPr>
            <w:noProof/>
            <w:webHidden/>
          </w:rPr>
          <w:tab/>
        </w:r>
        <w:r w:rsidR="003818A1">
          <w:rPr>
            <w:noProof/>
            <w:webHidden/>
          </w:rPr>
          <w:fldChar w:fldCharType="begin"/>
        </w:r>
        <w:r w:rsidR="00B26430">
          <w:rPr>
            <w:noProof/>
            <w:webHidden/>
          </w:rPr>
          <w:instrText xml:space="preserve"> PAGEREF _Toc399775402 \h </w:instrText>
        </w:r>
        <w:r w:rsidR="003818A1">
          <w:rPr>
            <w:noProof/>
            <w:webHidden/>
          </w:rPr>
        </w:r>
        <w:r w:rsidR="003818A1">
          <w:rPr>
            <w:noProof/>
            <w:webHidden/>
          </w:rPr>
          <w:fldChar w:fldCharType="separate"/>
        </w:r>
        <w:r w:rsidR="00B26430">
          <w:rPr>
            <w:noProof/>
            <w:webHidden/>
          </w:rPr>
          <w:t>58</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03" w:history="1">
        <w:r w:rsidR="00B26430" w:rsidRPr="00C14FDE">
          <w:rPr>
            <w:rStyle w:val="Hypertextovodkaz"/>
            <w:noProof/>
          </w:rPr>
          <w:t>1.6.3</w:t>
        </w:r>
        <w:r w:rsidR="00B26430">
          <w:rPr>
            <w:rFonts w:asciiTheme="minorHAnsi" w:eastAsiaTheme="minorEastAsia" w:hAnsiTheme="minorHAnsi" w:cstheme="minorBidi"/>
            <w:noProof/>
            <w:sz w:val="22"/>
            <w:szCs w:val="22"/>
          </w:rPr>
          <w:tab/>
        </w:r>
        <w:r w:rsidR="00B26430" w:rsidRPr="00C14FDE">
          <w:rPr>
            <w:rStyle w:val="Hypertextovodkaz"/>
            <w:noProof/>
          </w:rPr>
          <w:t>Shrnutí</w:t>
        </w:r>
        <w:r w:rsidR="00B26430">
          <w:rPr>
            <w:noProof/>
            <w:webHidden/>
          </w:rPr>
          <w:tab/>
        </w:r>
        <w:r w:rsidR="003818A1">
          <w:rPr>
            <w:noProof/>
            <w:webHidden/>
          </w:rPr>
          <w:fldChar w:fldCharType="begin"/>
        </w:r>
        <w:r w:rsidR="00B26430">
          <w:rPr>
            <w:noProof/>
            <w:webHidden/>
          </w:rPr>
          <w:instrText xml:space="preserve"> PAGEREF _Toc399775403 \h </w:instrText>
        </w:r>
        <w:r w:rsidR="003818A1">
          <w:rPr>
            <w:noProof/>
            <w:webHidden/>
          </w:rPr>
        </w:r>
        <w:r w:rsidR="003818A1">
          <w:rPr>
            <w:noProof/>
            <w:webHidden/>
          </w:rPr>
          <w:fldChar w:fldCharType="separate"/>
        </w:r>
        <w:r w:rsidR="00B26430">
          <w:rPr>
            <w:noProof/>
            <w:webHidden/>
          </w:rPr>
          <w:t>60</w:t>
        </w:r>
        <w:r w:rsidR="003818A1">
          <w:rPr>
            <w:noProof/>
            <w:webHidden/>
          </w:rPr>
          <w:fldChar w:fldCharType="end"/>
        </w:r>
      </w:hyperlink>
    </w:p>
    <w:p w:rsidR="00B26430" w:rsidRDefault="003B6F8D">
      <w:pPr>
        <w:pStyle w:val="Obsah2"/>
        <w:rPr>
          <w:rFonts w:asciiTheme="minorHAnsi" w:eastAsiaTheme="minorEastAsia" w:hAnsiTheme="minorHAnsi" w:cstheme="minorBidi"/>
          <w:noProof/>
          <w:sz w:val="22"/>
          <w:szCs w:val="22"/>
        </w:rPr>
      </w:pPr>
      <w:hyperlink w:anchor="_Toc399775404" w:history="1">
        <w:r w:rsidR="00B26430" w:rsidRPr="00C14FDE">
          <w:rPr>
            <w:rStyle w:val="Hypertextovodkaz"/>
            <w:noProof/>
          </w:rPr>
          <w:t>1.7</w:t>
        </w:r>
        <w:r w:rsidR="00B26430">
          <w:rPr>
            <w:rFonts w:asciiTheme="minorHAnsi" w:eastAsiaTheme="minorEastAsia" w:hAnsiTheme="minorHAnsi" w:cstheme="minorBidi"/>
            <w:noProof/>
            <w:sz w:val="22"/>
            <w:szCs w:val="22"/>
          </w:rPr>
          <w:tab/>
        </w:r>
        <w:r w:rsidR="00B26430" w:rsidRPr="00C14FDE">
          <w:rPr>
            <w:rStyle w:val="Hypertextovodkaz"/>
            <w:noProof/>
          </w:rPr>
          <w:t>Učební úlohy jako katalyzátory učebních procesů</w:t>
        </w:r>
        <w:r w:rsidR="00B26430">
          <w:rPr>
            <w:noProof/>
            <w:webHidden/>
          </w:rPr>
          <w:tab/>
        </w:r>
        <w:r w:rsidR="003818A1">
          <w:rPr>
            <w:noProof/>
            <w:webHidden/>
          </w:rPr>
          <w:fldChar w:fldCharType="begin"/>
        </w:r>
        <w:r w:rsidR="00B26430">
          <w:rPr>
            <w:noProof/>
            <w:webHidden/>
          </w:rPr>
          <w:instrText xml:space="preserve"> PAGEREF _Toc399775404 \h </w:instrText>
        </w:r>
        <w:r w:rsidR="003818A1">
          <w:rPr>
            <w:noProof/>
            <w:webHidden/>
          </w:rPr>
        </w:r>
        <w:r w:rsidR="003818A1">
          <w:rPr>
            <w:noProof/>
            <w:webHidden/>
          </w:rPr>
          <w:fldChar w:fldCharType="separate"/>
        </w:r>
        <w:r w:rsidR="00B26430">
          <w:rPr>
            <w:noProof/>
            <w:webHidden/>
          </w:rPr>
          <w:t>61</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05" w:history="1">
        <w:r w:rsidR="00B26430" w:rsidRPr="00C14FDE">
          <w:rPr>
            <w:rStyle w:val="Hypertextovodkaz"/>
            <w:noProof/>
          </w:rPr>
          <w:t>1.7.1</w:t>
        </w:r>
        <w:r w:rsidR="00B26430">
          <w:rPr>
            <w:rFonts w:asciiTheme="minorHAnsi" w:eastAsiaTheme="minorEastAsia" w:hAnsiTheme="minorHAnsi" w:cstheme="minorBidi"/>
            <w:noProof/>
            <w:sz w:val="22"/>
            <w:szCs w:val="22"/>
          </w:rPr>
          <w:tab/>
        </w:r>
        <w:r w:rsidR="00B26430" w:rsidRPr="00C14FDE">
          <w:rPr>
            <w:rStyle w:val="Hypertextovodkaz"/>
            <w:noProof/>
          </w:rPr>
          <w:t>Definice učební úlohy</w:t>
        </w:r>
        <w:r w:rsidR="00B26430">
          <w:rPr>
            <w:noProof/>
            <w:webHidden/>
          </w:rPr>
          <w:tab/>
        </w:r>
        <w:r w:rsidR="003818A1">
          <w:rPr>
            <w:noProof/>
            <w:webHidden/>
          </w:rPr>
          <w:fldChar w:fldCharType="begin"/>
        </w:r>
        <w:r w:rsidR="00B26430">
          <w:rPr>
            <w:noProof/>
            <w:webHidden/>
          </w:rPr>
          <w:instrText xml:space="preserve"> PAGEREF _Toc399775405 \h </w:instrText>
        </w:r>
        <w:r w:rsidR="003818A1">
          <w:rPr>
            <w:noProof/>
            <w:webHidden/>
          </w:rPr>
        </w:r>
        <w:r w:rsidR="003818A1">
          <w:rPr>
            <w:noProof/>
            <w:webHidden/>
          </w:rPr>
          <w:fldChar w:fldCharType="separate"/>
        </w:r>
        <w:r w:rsidR="00B26430">
          <w:rPr>
            <w:noProof/>
            <w:webHidden/>
          </w:rPr>
          <w:t>62</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06" w:history="1">
        <w:r w:rsidR="00B26430" w:rsidRPr="00C14FDE">
          <w:rPr>
            <w:rStyle w:val="Hypertextovodkaz"/>
            <w:noProof/>
          </w:rPr>
          <w:t>1.7.2</w:t>
        </w:r>
        <w:r w:rsidR="00B26430">
          <w:rPr>
            <w:rFonts w:asciiTheme="minorHAnsi" w:eastAsiaTheme="minorEastAsia" w:hAnsiTheme="minorHAnsi" w:cstheme="minorBidi"/>
            <w:noProof/>
            <w:sz w:val="22"/>
            <w:szCs w:val="22"/>
          </w:rPr>
          <w:tab/>
        </w:r>
        <w:r w:rsidR="00B26430" w:rsidRPr="00C14FDE">
          <w:rPr>
            <w:rStyle w:val="Hypertextovodkaz"/>
            <w:noProof/>
          </w:rPr>
          <w:t>Učební úlohy v učebnicích a ve výuce: shrnutí dosavadního stavu poznání</w:t>
        </w:r>
        <w:r w:rsidR="00B26430">
          <w:rPr>
            <w:noProof/>
            <w:webHidden/>
          </w:rPr>
          <w:tab/>
        </w:r>
        <w:r w:rsidR="003818A1">
          <w:rPr>
            <w:noProof/>
            <w:webHidden/>
          </w:rPr>
          <w:fldChar w:fldCharType="begin"/>
        </w:r>
        <w:r w:rsidR="00B26430">
          <w:rPr>
            <w:noProof/>
            <w:webHidden/>
          </w:rPr>
          <w:instrText xml:space="preserve"> PAGEREF _Toc399775406 \h </w:instrText>
        </w:r>
        <w:r w:rsidR="003818A1">
          <w:rPr>
            <w:noProof/>
            <w:webHidden/>
          </w:rPr>
        </w:r>
        <w:r w:rsidR="003818A1">
          <w:rPr>
            <w:noProof/>
            <w:webHidden/>
          </w:rPr>
          <w:fldChar w:fldCharType="separate"/>
        </w:r>
        <w:r w:rsidR="00B26430">
          <w:rPr>
            <w:noProof/>
            <w:webHidden/>
          </w:rPr>
          <w:t>62</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07" w:history="1">
        <w:r w:rsidR="00B26430" w:rsidRPr="00C14FDE">
          <w:rPr>
            <w:rStyle w:val="Hypertextovodkaz"/>
            <w:noProof/>
          </w:rPr>
          <w:t>1.7.3</w:t>
        </w:r>
        <w:r w:rsidR="00B26430">
          <w:rPr>
            <w:rFonts w:asciiTheme="minorHAnsi" w:eastAsiaTheme="minorEastAsia" w:hAnsiTheme="minorHAnsi" w:cstheme="minorBidi"/>
            <w:noProof/>
            <w:sz w:val="22"/>
            <w:szCs w:val="22"/>
          </w:rPr>
          <w:tab/>
        </w:r>
        <w:r w:rsidR="00B26430" w:rsidRPr="00C14FDE">
          <w:rPr>
            <w:rStyle w:val="Hypertextovodkaz"/>
            <w:noProof/>
          </w:rPr>
          <w:t>Problémy (jakožto) problémové učební úlohy</w:t>
        </w:r>
        <w:r w:rsidR="00B26430">
          <w:rPr>
            <w:noProof/>
            <w:webHidden/>
          </w:rPr>
          <w:tab/>
        </w:r>
        <w:r w:rsidR="003818A1">
          <w:rPr>
            <w:noProof/>
            <w:webHidden/>
          </w:rPr>
          <w:fldChar w:fldCharType="begin"/>
        </w:r>
        <w:r w:rsidR="00B26430">
          <w:rPr>
            <w:noProof/>
            <w:webHidden/>
          </w:rPr>
          <w:instrText xml:space="preserve"> PAGEREF _Toc399775407 \h </w:instrText>
        </w:r>
        <w:r w:rsidR="003818A1">
          <w:rPr>
            <w:noProof/>
            <w:webHidden/>
          </w:rPr>
        </w:r>
        <w:r w:rsidR="003818A1">
          <w:rPr>
            <w:noProof/>
            <w:webHidden/>
          </w:rPr>
          <w:fldChar w:fldCharType="separate"/>
        </w:r>
        <w:r w:rsidR="00B26430">
          <w:rPr>
            <w:noProof/>
            <w:webHidden/>
          </w:rPr>
          <w:t>65</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08" w:history="1">
        <w:r w:rsidR="00B26430" w:rsidRPr="00C14FDE">
          <w:rPr>
            <w:rStyle w:val="Hypertextovodkaz"/>
            <w:noProof/>
          </w:rPr>
          <w:t>1.7.4</w:t>
        </w:r>
        <w:r w:rsidR="00B26430">
          <w:rPr>
            <w:rFonts w:asciiTheme="minorHAnsi" w:eastAsiaTheme="minorEastAsia" w:hAnsiTheme="minorHAnsi" w:cstheme="minorBidi"/>
            <w:noProof/>
            <w:sz w:val="22"/>
            <w:szCs w:val="22"/>
          </w:rPr>
          <w:tab/>
        </w:r>
        <w:r w:rsidR="00B26430" w:rsidRPr="00C14FDE">
          <w:rPr>
            <w:rStyle w:val="Hypertextovodkaz"/>
            <w:noProof/>
          </w:rPr>
          <w:t>Vnitřní pohled na problémovou učební úlohu</w:t>
        </w:r>
        <w:r w:rsidR="00B26430">
          <w:rPr>
            <w:noProof/>
            <w:webHidden/>
          </w:rPr>
          <w:tab/>
        </w:r>
        <w:r w:rsidR="003818A1">
          <w:rPr>
            <w:noProof/>
            <w:webHidden/>
          </w:rPr>
          <w:fldChar w:fldCharType="begin"/>
        </w:r>
        <w:r w:rsidR="00B26430">
          <w:rPr>
            <w:noProof/>
            <w:webHidden/>
          </w:rPr>
          <w:instrText xml:space="preserve"> PAGEREF _Toc399775408 \h </w:instrText>
        </w:r>
        <w:r w:rsidR="003818A1">
          <w:rPr>
            <w:noProof/>
            <w:webHidden/>
          </w:rPr>
        </w:r>
        <w:r w:rsidR="003818A1">
          <w:rPr>
            <w:noProof/>
            <w:webHidden/>
          </w:rPr>
          <w:fldChar w:fldCharType="separate"/>
        </w:r>
        <w:r w:rsidR="00B26430">
          <w:rPr>
            <w:noProof/>
            <w:webHidden/>
          </w:rPr>
          <w:t>68</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09" w:history="1">
        <w:r w:rsidR="00B26430" w:rsidRPr="00C14FDE">
          <w:rPr>
            <w:rStyle w:val="Hypertextovodkaz"/>
            <w:noProof/>
          </w:rPr>
          <w:t>1.7.5</w:t>
        </w:r>
        <w:r w:rsidR="00B26430">
          <w:rPr>
            <w:rFonts w:asciiTheme="minorHAnsi" w:eastAsiaTheme="minorEastAsia" w:hAnsiTheme="minorHAnsi" w:cstheme="minorBidi"/>
            <w:noProof/>
            <w:sz w:val="22"/>
            <w:szCs w:val="22"/>
          </w:rPr>
          <w:tab/>
        </w:r>
        <w:r w:rsidR="00B26430" w:rsidRPr="00C14FDE">
          <w:rPr>
            <w:rStyle w:val="Hypertextovodkaz"/>
            <w:noProof/>
          </w:rPr>
          <w:t>Proces řešení problémových úloh</w:t>
        </w:r>
        <w:r w:rsidR="00B26430">
          <w:rPr>
            <w:noProof/>
            <w:webHidden/>
          </w:rPr>
          <w:tab/>
        </w:r>
        <w:r w:rsidR="003818A1">
          <w:rPr>
            <w:noProof/>
            <w:webHidden/>
          </w:rPr>
          <w:fldChar w:fldCharType="begin"/>
        </w:r>
        <w:r w:rsidR="00B26430">
          <w:rPr>
            <w:noProof/>
            <w:webHidden/>
          </w:rPr>
          <w:instrText xml:space="preserve"> PAGEREF _Toc399775409 \h </w:instrText>
        </w:r>
        <w:r w:rsidR="003818A1">
          <w:rPr>
            <w:noProof/>
            <w:webHidden/>
          </w:rPr>
        </w:r>
        <w:r w:rsidR="003818A1">
          <w:rPr>
            <w:noProof/>
            <w:webHidden/>
          </w:rPr>
          <w:fldChar w:fldCharType="separate"/>
        </w:r>
        <w:r w:rsidR="00B26430">
          <w:rPr>
            <w:noProof/>
            <w:webHidden/>
          </w:rPr>
          <w:t>69</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10" w:history="1">
        <w:r w:rsidR="00B26430" w:rsidRPr="00C14FDE">
          <w:rPr>
            <w:rStyle w:val="Hypertextovodkaz"/>
            <w:noProof/>
          </w:rPr>
          <w:t>1.7.6</w:t>
        </w:r>
        <w:r w:rsidR="00B26430">
          <w:rPr>
            <w:rFonts w:asciiTheme="minorHAnsi" w:eastAsiaTheme="minorEastAsia" w:hAnsiTheme="minorHAnsi" w:cstheme="minorBidi"/>
            <w:noProof/>
            <w:sz w:val="22"/>
            <w:szCs w:val="22"/>
          </w:rPr>
          <w:tab/>
        </w:r>
        <w:r w:rsidR="00B26430" w:rsidRPr="00C14FDE">
          <w:rPr>
            <w:rStyle w:val="Hypertextovodkaz"/>
            <w:noProof/>
          </w:rPr>
          <w:t>Shrnutí</w:t>
        </w:r>
        <w:r w:rsidR="00B26430">
          <w:rPr>
            <w:noProof/>
            <w:webHidden/>
          </w:rPr>
          <w:tab/>
        </w:r>
        <w:r w:rsidR="003818A1">
          <w:rPr>
            <w:noProof/>
            <w:webHidden/>
          </w:rPr>
          <w:fldChar w:fldCharType="begin"/>
        </w:r>
        <w:r w:rsidR="00B26430">
          <w:rPr>
            <w:noProof/>
            <w:webHidden/>
          </w:rPr>
          <w:instrText xml:space="preserve"> PAGEREF _Toc399775410 \h </w:instrText>
        </w:r>
        <w:r w:rsidR="003818A1">
          <w:rPr>
            <w:noProof/>
            <w:webHidden/>
          </w:rPr>
        </w:r>
        <w:r w:rsidR="003818A1">
          <w:rPr>
            <w:noProof/>
            <w:webHidden/>
          </w:rPr>
          <w:fldChar w:fldCharType="separate"/>
        </w:r>
        <w:r w:rsidR="00B26430">
          <w:rPr>
            <w:noProof/>
            <w:webHidden/>
          </w:rPr>
          <w:t>71</w:t>
        </w:r>
        <w:r w:rsidR="003818A1">
          <w:rPr>
            <w:noProof/>
            <w:webHidden/>
          </w:rPr>
          <w:fldChar w:fldCharType="end"/>
        </w:r>
      </w:hyperlink>
    </w:p>
    <w:p w:rsidR="00B26430" w:rsidRDefault="003B6F8D">
      <w:pPr>
        <w:pStyle w:val="Obsah2"/>
        <w:rPr>
          <w:rFonts w:asciiTheme="minorHAnsi" w:eastAsiaTheme="minorEastAsia" w:hAnsiTheme="minorHAnsi" w:cstheme="minorBidi"/>
          <w:noProof/>
          <w:sz w:val="22"/>
          <w:szCs w:val="22"/>
        </w:rPr>
      </w:pPr>
      <w:hyperlink w:anchor="_Toc399775411" w:history="1">
        <w:r w:rsidR="00B26430" w:rsidRPr="00C14FDE">
          <w:rPr>
            <w:rStyle w:val="Hypertextovodkaz"/>
            <w:noProof/>
          </w:rPr>
          <w:t>1.8</w:t>
        </w:r>
        <w:r w:rsidR="00B26430">
          <w:rPr>
            <w:rFonts w:asciiTheme="minorHAnsi" w:eastAsiaTheme="minorEastAsia" w:hAnsiTheme="minorHAnsi" w:cstheme="minorBidi"/>
            <w:noProof/>
            <w:sz w:val="22"/>
            <w:szCs w:val="22"/>
          </w:rPr>
          <w:tab/>
        </w:r>
        <w:r w:rsidR="00B26430" w:rsidRPr="00C14FDE">
          <w:rPr>
            <w:rStyle w:val="Hypertextovodkaz"/>
            <w:noProof/>
          </w:rPr>
          <w:t>Znalost jako klíčová determinanta řešení problémů</w:t>
        </w:r>
        <w:r w:rsidR="00B26430">
          <w:rPr>
            <w:noProof/>
            <w:webHidden/>
          </w:rPr>
          <w:tab/>
        </w:r>
        <w:r w:rsidR="003818A1">
          <w:rPr>
            <w:noProof/>
            <w:webHidden/>
          </w:rPr>
          <w:fldChar w:fldCharType="begin"/>
        </w:r>
        <w:r w:rsidR="00B26430">
          <w:rPr>
            <w:noProof/>
            <w:webHidden/>
          </w:rPr>
          <w:instrText xml:space="preserve"> PAGEREF _Toc399775411 \h </w:instrText>
        </w:r>
        <w:r w:rsidR="003818A1">
          <w:rPr>
            <w:noProof/>
            <w:webHidden/>
          </w:rPr>
        </w:r>
        <w:r w:rsidR="003818A1">
          <w:rPr>
            <w:noProof/>
            <w:webHidden/>
          </w:rPr>
          <w:fldChar w:fldCharType="separate"/>
        </w:r>
        <w:r w:rsidR="00B26430">
          <w:rPr>
            <w:noProof/>
            <w:webHidden/>
          </w:rPr>
          <w:t>72</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12" w:history="1">
        <w:r w:rsidR="00B26430" w:rsidRPr="00C14FDE">
          <w:rPr>
            <w:rStyle w:val="Hypertextovodkaz"/>
            <w:rFonts w:eastAsia="Calibri"/>
            <w:noProof/>
          </w:rPr>
          <w:t>1.8.1</w:t>
        </w:r>
        <w:r w:rsidR="00B26430">
          <w:rPr>
            <w:rFonts w:asciiTheme="minorHAnsi" w:eastAsiaTheme="minorEastAsia" w:hAnsiTheme="minorHAnsi" w:cstheme="minorBidi"/>
            <w:noProof/>
            <w:sz w:val="22"/>
            <w:szCs w:val="22"/>
          </w:rPr>
          <w:tab/>
        </w:r>
        <w:r w:rsidR="00B26430" w:rsidRPr="00C14FDE">
          <w:rPr>
            <w:rStyle w:val="Hypertextovodkaz"/>
            <w:rFonts w:eastAsia="Calibri"/>
            <w:noProof/>
            <w:lang w:eastAsia="en-US"/>
          </w:rPr>
          <w:t>Deklarativní, procedurální a kontextuální znalosti</w:t>
        </w:r>
        <w:r w:rsidR="00B26430">
          <w:rPr>
            <w:noProof/>
            <w:webHidden/>
          </w:rPr>
          <w:tab/>
        </w:r>
        <w:r w:rsidR="003818A1">
          <w:rPr>
            <w:noProof/>
            <w:webHidden/>
          </w:rPr>
          <w:fldChar w:fldCharType="begin"/>
        </w:r>
        <w:r w:rsidR="00B26430">
          <w:rPr>
            <w:noProof/>
            <w:webHidden/>
          </w:rPr>
          <w:instrText xml:space="preserve"> PAGEREF _Toc399775412 \h </w:instrText>
        </w:r>
        <w:r w:rsidR="003818A1">
          <w:rPr>
            <w:noProof/>
            <w:webHidden/>
          </w:rPr>
        </w:r>
        <w:r w:rsidR="003818A1">
          <w:rPr>
            <w:noProof/>
            <w:webHidden/>
          </w:rPr>
          <w:fldChar w:fldCharType="separate"/>
        </w:r>
        <w:r w:rsidR="00B26430">
          <w:rPr>
            <w:noProof/>
            <w:webHidden/>
          </w:rPr>
          <w:t>72</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13" w:history="1">
        <w:r w:rsidR="00B26430" w:rsidRPr="00C14FDE">
          <w:rPr>
            <w:rStyle w:val="Hypertextovodkaz"/>
            <w:noProof/>
          </w:rPr>
          <w:t>1.8.2</w:t>
        </w:r>
        <w:r w:rsidR="00B26430">
          <w:rPr>
            <w:rFonts w:asciiTheme="minorHAnsi" w:eastAsiaTheme="minorEastAsia" w:hAnsiTheme="minorHAnsi" w:cstheme="minorBidi"/>
            <w:noProof/>
            <w:sz w:val="22"/>
            <w:szCs w:val="22"/>
          </w:rPr>
          <w:tab/>
        </w:r>
        <w:r w:rsidR="00B26430" w:rsidRPr="00C14FDE">
          <w:rPr>
            <w:rStyle w:val="Hypertextovodkaz"/>
            <w:noProof/>
          </w:rPr>
          <w:t>Epistemické a heuristické znalosti</w:t>
        </w:r>
        <w:r w:rsidR="00B26430">
          <w:rPr>
            <w:noProof/>
            <w:webHidden/>
          </w:rPr>
          <w:tab/>
        </w:r>
        <w:r w:rsidR="003818A1">
          <w:rPr>
            <w:noProof/>
            <w:webHidden/>
          </w:rPr>
          <w:fldChar w:fldCharType="begin"/>
        </w:r>
        <w:r w:rsidR="00B26430">
          <w:rPr>
            <w:noProof/>
            <w:webHidden/>
          </w:rPr>
          <w:instrText xml:space="preserve"> PAGEREF _Toc399775413 \h </w:instrText>
        </w:r>
        <w:r w:rsidR="003818A1">
          <w:rPr>
            <w:noProof/>
            <w:webHidden/>
          </w:rPr>
        </w:r>
        <w:r w:rsidR="003818A1">
          <w:rPr>
            <w:noProof/>
            <w:webHidden/>
          </w:rPr>
          <w:fldChar w:fldCharType="separate"/>
        </w:r>
        <w:r w:rsidR="00B26430">
          <w:rPr>
            <w:noProof/>
            <w:webHidden/>
          </w:rPr>
          <w:t>73</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14" w:history="1">
        <w:r w:rsidR="00B26430" w:rsidRPr="00C14FDE">
          <w:rPr>
            <w:rStyle w:val="Hypertextovodkaz"/>
            <w:noProof/>
          </w:rPr>
          <w:t>1.8.3</w:t>
        </w:r>
        <w:r w:rsidR="00B26430">
          <w:rPr>
            <w:rFonts w:asciiTheme="minorHAnsi" w:eastAsiaTheme="minorEastAsia" w:hAnsiTheme="minorHAnsi" w:cstheme="minorBidi"/>
            <w:noProof/>
            <w:sz w:val="22"/>
            <w:szCs w:val="22"/>
          </w:rPr>
          <w:tab/>
        </w:r>
        <w:r w:rsidR="00B26430" w:rsidRPr="00C14FDE">
          <w:rPr>
            <w:rStyle w:val="Hypertextovodkaz"/>
            <w:noProof/>
          </w:rPr>
          <w:t>Gagného klasifikace znalostí</w:t>
        </w:r>
        <w:r w:rsidR="00B26430">
          <w:rPr>
            <w:noProof/>
            <w:webHidden/>
          </w:rPr>
          <w:tab/>
        </w:r>
        <w:r w:rsidR="003818A1">
          <w:rPr>
            <w:noProof/>
            <w:webHidden/>
          </w:rPr>
          <w:fldChar w:fldCharType="begin"/>
        </w:r>
        <w:r w:rsidR="00B26430">
          <w:rPr>
            <w:noProof/>
            <w:webHidden/>
          </w:rPr>
          <w:instrText xml:space="preserve"> PAGEREF _Toc399775414 \h </w:instrText>
        </w:r>
        <w:r w:rsidR="003818A1">
          <w:rPr>
            <w:noProof/>
            <w:webHidden/>
          </w:rPr>
        </w:r>
        <w:r w:rsidR="003818A1">
          <w:rPr>
            <w:noProof/>
            <w:webHidden/>
          </w:rPr>
          <w:fldChar w:fldCharType="separate"/>
        </w:r>
        <w:r w:rsidR="00B26430">
          <w:rPr>
            <w:noProof/>
            <w:webHidden/>
          </w:rPr>
          <w:t>74</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15" w:history="1">
        <w:r w:rsidR="00B26430" w:rsidRPr="00C14FDE">
          <w:rPr>
            <w:rStyle w:val="Hypertextovodkaz"/>
            <w:noProof/>
          </w:rPr>
          <w:t>1.8.4</w:t>
        </w:r>
        <w:r w:rsidR="00B26430">
          <w:rPr>
            <w:rFonts w:asciiTheme="minorHAnsi" w:eastAsiaTheme="minorEastAsia" w:hAnsiTheme="minorHAnsi" w:cstheme="minorBidi"/>
            <w:noProof/>
            <w:sz w:val="22"/>
            <w:szCs w:val="22"/>
          </w:rPr>
          <w:tab/>
        </w:r>
        <w:r w:rsidR="00B26430" w:rsidRPr="00C14FDE">
          <w:rPr>
            <w:rStyle w:val="Hypertextovodkaz"/>
            <w:noProof/>
          </w:rPr>
          <w:t>Taxonomie znalostí dle Blooma</w:t>
        </w:r>
        <w:r w:rsidR="00B26430">
          <w:rPr>
            <w:noProof/>
            <w:webHidden/>
          </w:rPr>
          <w:tab/>
        </w:r>
        <w:r w:rsidR="003818A1">
          <w:rPr>
            <w:noProof/>
            <w:webHidden/>
          </w:rPr>
          <w:fldChar w:fldCharType="begin"/>
        </w:r>
        <w:r w:rsidR="00B26430">
          <w:rPr>
            <w:noProof/>
            <w:webHidden/>
          </w:rPr>
          <w:instrText xml:space="preserve"> PAGEREF _Toc399775415 \h </w:instrText>
        </w:r>
        <w:r w:rsidR="003818A1">
          <w:rPr>
            <w:noProof/>
            <w:webHidden/>
          </w:rPr>
        </w:r>
        <w:r w:rsidR="003818A1">
          <w:rPr>
            <w:noProof/>
            <w:webHidden/>
          </w:rPr>
          <w:fldChar w:fldCharType="separate"/>
        </w:r>
        <w:r w:rsidR="00B26430">
          <w:rPr>
            <w:noProof/>
            <w:webHidden/>
          </w:rPr>
          <w:t>76</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16" w:history="1">
        <w:r w:rsidR="00B26430" w:rsidRPr="00C14FDE">
          <w:rPr>
            <w:rStyle w:val="Hypertextovodkaz"/>
            <w:noProof/>
          </w:rPr>
          <w:t>1.8.5</w:t>
        </w:r>
        <w:r w:rsidR="00B26430">
          <w:rPr>
            <w:rFonts w:asciiTheme="minorHAnsi" w:eastAsiaTheme="minorEastAsia" w:hAnsiTheme="minorHAnsi" w:cstheme="minorBidi"/>
            <w:noProof/>
            <w:sz w:val="22"/>
            <w:szCs w:val="22"/>
          </w:rPr>
          <w:tab/>
        </w:r>
        <w:r w:rsidR="00B26430" w:rsidRPr="00C14FDE">
          <w:rPr>
            <w:rStyle w:val="Hypertextovodkaz"/>
            <w:noProof/>
          </w:rPr>
          <w:t>Problém inertních znalostí</w:t>
        </w:r>
        <w:r w:rsidR="00B26430">
          <w:rPr>
            <w:noProof/>
            <w:webHidden/>
          </w:rPr>
          <w:tab/>
        </w:r>
        <w:r w:rsidR="003818A1">
          <w:rPr>
            <w:noProof/>
            <w:webHidden/>
          </w:rPr>
          <w:fldChar w:fldCharType="begin"/>
        </w:r>
        <w:r w:rsidR="00B26430">
          <w:rPr>
            <w:noProof/>
            <w:webHidden/>
          </w:rPr>
          <w:instrText xml:space="preserve"> PAGEREF _Toc399775416 \h </w:instrText>
        </w:r>
        <w:r w:rsidR="003818A1">
          <w:rPr>
            <w:noProof/>
            <w:webHidden/>
          </w:rPr>
        </w:r>
        <w:r w:rsidR="003818A1">
          <w:rPr>
            <w:noProof/>
            <w:webHidden/>
          </w:rPr>
          <w:fldChar w:fldCharType="separate"/>
        </w:r>
        <w:r w:rsidR="00B26430">
          <w:rPr>
            <w:noProof/>
            <w:webHidden/>
          </w:rPr>
          <w:t>76</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17" w:history="1">
        <w:r w:rsidR="00B26430" w:rsidRPr="00C14FDE">
          <w:rPr>
            <w:rStyle w:val="Hypertextovodkaz"/>
            <w:noProof/>
          </w:rPr>
          <w:t>1.8.6</w:t>
        </w:r>
        <w:r w:rsidR="00B26430">
          <w:rPr>
            <w:rFonts w:asciiTheme="minorHAnsi" w:eastAsiaTheme="minorEastAsia" w:hAnsiTheme="minorHAnsi" w:cstheme="minorBidi"/>
            <w:noProof/>
            <w:sz w:val="22"/>
            <w:szCs w:val="22"/>
          </w:rPr>
          <w:tab/>
        </w:r>
        <w:r w:rsidR="00B26430" w:rsidRPr="00C14FDE">
          <w:rPr>
            <w:rStyle w:val="Hypertextovodkaz"/>
            <w:noProof/>
          </w:rPr>
          <w:t>Shrnutí</w:t>
        </w:r>
        <w:r w:rsidR="00B26430">
          <w:rPr>
            <w:noProof/>
            <w:webHidden/>
          </w:rPr>
          <w:tab/>
        </w:r>
        <w:r w:rsidR="003818A1">
          <w:rPr>
            <w:noProof/>
            <w:webHidden/>
          </w:rPr>
          <w:fldChar w:fldCharType="begin"/>
        </w:r>
        <w:r w:rsidR="00B26430">
          <w:rPr>
            <w:noProof/>
            <w:webHidden/>
          </w:rPr>
          <w:instrText xml:space="preserve"> PAGEREF _Toc399775417 \h </w:instrText>
        </w:r>
        <w:r w:rsidR="003818A1">
          <w:rPr>
            <w:noProof/>
            <w:webHidden/>
          </w:rPr>
        </w:r>
        <w:r w:rsidR="003818A1">
          <w:rPr>
            <w:noProof/>
            <w:webHidden/>
          </w:rPr>
          <w:fldChar w:fldCharType="separate"/>
        </w:r>
        <w:r w:rsidR="00B26430">
          <w:rPr>
            <w:noProof/>
            <w:webHidden/>
          </w:rPr>
          <w:t>77</w:t>
        </w:r>
        <w:r w:rsidR="003818A1">
          <w:rPr>
            <w:noProof/>
            <w:webHidden/>
          </w:rPr>
          <w:fldChar w:fldCharType="end"/>
        </w:r>
      </w:hyperlink>
    </w:p>
    <w:p w:rsidR="00B26430" w:rsidRDefault="003B6F8D">
      <w:pPr>
        <w:pStyle w:val="Obsah2"/>
        <w:rPr>
          <w:rFonts w:asciiTheme="minorHAnsi" w:eastAsiaTheme="minorEastAsia" w:hAnsiTheme="minorHAnsi" w:cstheme="minorBidi"/>
          <w:noProof/>
          <w:sz w:val="22"/>
          <w:szCs w:val="22"/>
        </w:rPr>
      </w:pPr>
      <w:hyperlink w:anchor="_Toc399775418" w:history="1">
        <w:r w:rsidR="00B26430" w:rsidRPr="00C14FDE">
          <w:rPr>
            <w:rStyle w:val="Hypertextovodkaz"/>
            <w:noProof/>
          </w:rPr>
          <w:t>1.9</w:t>
        </w:r>
        <w:r w:rsidR="00B26430">
          <w:rPr>
            <w:rFonts w:asciiTheme="minorHAnsi" w:eastAsiaTheme="minorEastAsia" w:hAnsiTheme="minorHAnsi" w:cstheme="minorBidi"/>
            <w:noProof/>
            <w:sz w:val="22"/>
            <w:szCs w:val="22"/>
          </w:rPr>
          <w:tab/>
        </w:r>
        <w:r w:rsidR="00B26430" w:rsidRPr="00C14FDE">
          <w:rPr>
            <w:rStyle w:val="Hypertextovodkaz"/>
            <w:noProof/>
          </w:rPr>
          <w:t>Příležitosti k utváření a rozvíjení kompetence k řešení problémů v učebnicích a ve výuce</w:t>
        </w:r>
        <w:r w:rsidR="00B26430">
          <w:rPr>
            <w:noProof/>
            <w:webHidden/>
          </w:rPr>
          <w:tab/>
        </w:r>
        <w:r w:rsidR="003818A1">
          <w:rPr>
            <w:noProof/>
            <w:webHidden/>
          </w:rPr>
          <w:fldChar w:fldCharType="begin"/>
        </w:r>
        <w:r w:rsidR="00B26430">
          <w:rPr>
            <w:noProof/>
            <w:webHidden/>
          </w:rPr>
          <w:instrText xml:space="preserve"> PAGEREF _Toc399775418 \h </w:instrText>
        </w:r>
        <w:r w:rsidR="003818A1">
          <w:rPr>
            <w:noProof/>
            <w:webHidden/>
          </w:rPr>
        </w:r>
        <w:r w:rsidR="003818A1">
          <w:rPr>
            <w:noProof/>
            <w:webHidden/>
          </w:rPr>
          <w:fldChar w:fldCharType="separate"/>
        </w:r>
        <w:r w:rsidR="00B26430">
          <w:rPr>
            <w:noProof/>
            <w:webHidden/>
          </w:rPr>
          <w:t>78</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19" w:history="1">
        <w:r w:rsidR="00B26430" w:rsidRPr="00C14FDE">
          <w:rPr>
            <w:rStyle w:val="Hypertextovodkaz"/>
            <w:noProof/>
          </w:rPr>
          <w:t>1.9.1</w:t>
        </w:r>
        <w:r w:rsidR="00B26430">
          <w:rPr>
            <w:rFonts w:asciiTheme="minorHAnsi" w:eastAsiaTheme="minorEastAsia" w:hAnsiTheme="minorHAnsi" w:cstheme="minorBidi"/>
            <w:noProof/>
            <w:sz w:val="22"/>
            <w:szCs w:val="22"/>
          </w:rPr>
          <w:tab/>
        </w:r>
        <w:r w:rsidR="00B26430" w:rsidRPr="00C14FDE">
          <w:rPr>
            <w:rStyle w:val="Hypertextovodkaz"/>
            <w:noProof/>
          </w:rPr>
          <w:t>Kompetence k řešení problémů a její význam pro geografické vzdělávání</w:t>
        </w:r>
        <w:r w:rsidR="00B26430">
          <w:rPr>
            <w:noProof/>
            <w:webHidden/>
          </w:rPr>
          <w:tab/>
        </w:r>
        <w:r w:rsidR="003818A1">
          <w:rPr>
            <w:noProof/>
            <w:webHidden/>
          </w:rPr>
          <w:fldChar w:fldCharType="begin"/>
        </w:r>
        <w:r w:rsidR="00B26430">
          <w:rPr>
            <w:noProof/>
            <w:webHidden/>
          </w:rPr>
          <w:instrText xml:space="preserve"> PAGEREF _Toc399775419 \h </w:instrText>
        </w:r>
        <w:r w:rsidR="003818A1">
          <w:rPr>
            <w:noProof/>
            <w:webHidden/>
          </w:rPr>
        </w:r>
        <w:r w:rsidR="003818A1">
          <w:rPr>
            <w:noProof/>
            <w:webHidden/>
          </w:rPr>
          <w:fldChar w:fldCharType="separate"/>
        </w:r>
        <w:r w:rsidR="00B26430">
          <w:rPr>
            <w:noProof/>
            <w:webHidden/>
          </w:rPr>
          <w:t>79</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20" w:history="1">
        <w:r w:rsidR="00B26430" w:rsidRPr="00C14FDE">
          <w:rPr>
            <w:rStyle w:val="Hypertextovodkaz"/>
            <w:noProof/>
          </w:rPr>
          <w:t>1.9.2</w:t>
        </w:r>
        <w:r w:rsidR="00B26430">
          <w:rPr>
            <w:rFonts w:asciiTheme="minorHAnsi" w:eastAsiaTheme="minorEastAsia" w:hAnsiTheme="minorHAnsi" w:cstheme="minorBidi"/>
            <w:noProof/>
            <w:sz w:val="22"/>
            <w:szCs w:val="22"/>
          </w:rPr>
          <w:tab/>
        </w:r>
        <w:r w:rsidR="00B26430" w:rsidRPr="00C14FDE">
          <w:rPr>
            <w:rStyle w:val="Hypertextovodkaz"/>
            <w:noProof/>
          </w:rPr>
          <w:t>Normativní model příležitostí k utváření a rozvíjení kompetence k řešení problémů v zeměpisu</w:t>
        </w:r>
        <w:r w:rsidR="00B26430">
          <w:rPr>
            <w:noProof/>
            <w:webHidden/>
          </w:rPr>
          <w:tab/>
        </w:r>
        <w:r w:rsidR="003818A1">
          <w:rPr>
            <w:noProof/>
            <w:webHidden/>
          </w:rPr>
          <w:fldChar w:fldCharType="begin"/>
        </w:r>
        <w:r w:rsidR="00B26430">
          <w:rPr>
            <w:noProof/>
            <w:webHidden/>
          </w:rPr>
          <w:instrText xml:space="preserve"> PAGEREF _Toc399775420 \h </w:instrText>
        </w:r>
        <w:r w:rsidR="003818A1">
          <w:rPr>
            <w:noProof/>
            <w:webHidden/>
          </w:rPr>
        </w:r>
        <w:r w:rsidR="003818A1">
          <w:rPr>
            <w:noProof/>
            <w:webHidden/>
          </w:rPr>
          <w:fldChar w:fldCharType="separate"/>
        </w:r>
        <w:r w:rsidR="00B26430">
          <w:rPr>
            <w:noProof/>
            <w:webHidden/>
          </w:rPr>
          <w:t>81</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21" w:history="1">
        <w:r w:rsidR="00B26430" w:rsidRPr="00C14FDE">
          <w:rPr>
            <w:rStyle w:val="Hypertextovodkaz"/>
            <w:noProof/>
          </w:rPr>
          <w:t>1.9.3</w:t>
        </w:r>
        <w:r w:rsidR="00B26430">
          <w:rPr>
            <w:rFonts w:asciiTheme="minorHAnsi" w:eastAsiaTheme="minorEastAsia" w:hAnsiTheme="minorHAnsi" w:cstheme="minorBidi"/>
            <w:noProof/>
            <w:sz w:val="22"/>
            <w:szCs w:val="22"/>
          </w:rPr>
          <w:tab/>
        </w:r>
        <w:r w:rsidR="00B26430" w:rsidRPr="00C14FDE">
          <w:rPr>
            <w:rStyle w:val="Hypertextovodkaz"/>
            <w:noProof/>
          </w:rPr>
          <w:t>Shrnutí</w:t>
        </w:r>
        <w:r w:rsidR="00B26430">
          <w:rPr>
            <w:noProof/>
            <w:webHidden/>
          </w:rPr>
          <w:tab/>
        </w:r>
        <w:r w:rsidR="003818A1">
          <w:rPr>
            <w:noProof/>
            <w:webHidden/>
          </w:rPr>
          <w:fldChar w:fldCharType="begin"/>
        </w:r>
        <w:r w:rsidR="00B26430">
          <w:rPr>
            <w:noProof/>
            <w:webHidden/>
          </w:rPr>
          <w:instrText xml:space="preserve"> PAGEREF _Toc399775421 \h </w:instrText>
        </w:r>
        <w:r w:rsidR="003818A1">
          <w:rPr>
            <w:noProof/>
            <w:webHidden/>
          </w:rPr>
        </w:r>
        <w:r w:rsidR="003818A1">
          <w:rPr>
            <w:noProof/>
            <w:webHidden/>
          </w:rPr>
          <w:fldChar w:fldCharType="separate"/>
        </w:r>
        <w:r w:rsidR="00B26430">
          <w:rPr>
            <w:noProof/>
            <w:webHidden/>
          </w:rPr>
          <w:t>87</w:t>
        </w:r>
        <w:r w:rsidR="003818A1">
          <w:rPr>
            <w:noProof/>
            <w:webHidden/>
          </w:rPr>
          <w:fldChar w:fldCharType="end"/>
        </w:r>
      </w:hyperlink>
    </w:p>
    <w:p w:rsidR="00B26430" w:rsidRDefault="003B6F8D">
      <w:pPr>
        <w:pStyle w:val="Obsah1"/>
        <w:rPr>
          <w:rFonts w:asciiTheme="minorHAnsi" w:eastAsiaTheme="minorEastAsia" w:hAnsiTheme="minorHAnsi" w:cstheme="minorBidi"/>
          <w:b w:val="0"/>
          <w:sz w:val="22"/>
          <w:szCs w:val="22"/>
        </w:rPr>
      </w:pPr>
      <w:hyperlink w:anchor="_Toc399775422" w:history="1">
        <w:r w:rsidR="00B26430" w:rsidRPr="00C14FDE">
          <w:rPr>
            <w:rStyle w:val="Hypertextovodkaz"/>
          </w:rPr>
          <w:t>2.</w:t>
        </w:r>
        <w:r w:rsidR="00B26430">
          <w:rPr>
            <w:rFonts w:asciiTheme="minorHAnsi" w:eastAsiaTheme="minorEastAsia" w:hAnsiTheme="minorHAnsi" w:cstheme="minorBidi"/>
            <w:b w:val="0"/>
            <w:sz w:val="22"/>
            <w:szCs w:val="22"/>
          </w:rPr>
          <w:tab/>
        </w:r>
        <w:r w:rsidR="00B26430" w:rsidRPr="00C14FDE">
          <w:rPr>
            <w:rStyle w:val="Hypertextovodkaz"/>
          </w:rPr>
          <w:t>Výzkum problémových učebních úloh v učebnicích a ve výuce zeměpisu</w:t>
        </w:r>
        <w:r w:rsidR="00B26430">
          <w:rPr>
            <w:webHidden/>
          </w:rPr>
          <w:tab/>
        </w:r>
        <w:r w:rsidR="003818A1">
          <w:rPr>
            <w:webHidden/>
          </w:rPr>
          <w:fldChar w:fldCharType="begin"/>
        </w:r>
        <w:r w:rsidR="00B26430">
          <w:rPr>
            <w:webHidden/>
          </w:rPr>
          <w:instrText xml:space="preserve"> PAGEREF _Toc399775422 \h </w:instrText>
        </w:r>
        <w:r w:rsidR="003818A1">
          <w:rPr>
            <w:webHidden/>
          </w:rPr>
        </w:r>
        <w:r w:rsidR="003818A1">
          <w:rPr>
            <w:webHidden/>
          </w:rPr>
          <w:fldChar w:fldCharType="separate"/>
        </w:r>
        <w:r w:rsidR="00B26430">
          <w:rPr>
            <w:webHidden/>
          </w:rPr>
          <w:t>89</w:t>
        </w:r>
        <w:r w:rsidR="003818A1">
          <w:rPr>
            <w:webHidden/>
          </w:rPr>
          <w:fldChar w:fldCharType="end"/>
        </w:r>
      </w:hyperlink>
    </w:p>
    <w:p w:rsidR="00B26430" w:rsidRDefault="003B6F8D">
      <w:pPr>
        <w:pStyle w:val="Obsah2"/>
        <w:rPr>
          <w:rFonts w:asciiTheme="minorHAnsi" w:eastAsiaTheme="minorEastAsia" w:hAnsiTheme="minorHAnsi" w:cstheme="minorBidi"/>
          <w:noProof/>
          <w:sz w:val="22"/>
          <w:szCs w:val="22"/>
        </w:rPr>
      </w:pPr>
      <w:hyperlink w:anchor="_Toc399775423" w:history="1">
        <w:r w:rsidR="00B26430" w:rsidRPr="00C14FDE">
          <w:rPr>
            <w:rStyle w:val="Hypertextovodkaz"/>
            <w:noProof/>
          </w:rPr>
          <w:t>2.1</w:t>
        </w:r>
        <w:r w:rsidR="00B26430">
          <w:rPr>
            <w:rFonts w:asciiTheme="minorHAnsi" w:eastAsiaTheme="minorEastAsia" w:hAnsiTheme="minorHAnsi" w:cstheme="minorBidi"/>
            <w:noProof/>
            <w:sz w:val="22"/>
            <w:szCs w:val="22"/>
          </w:rPr>
          <w:tab/>
        </w:r>
        <w:r w:rsidR="00B26430" w:rsidRPr="00C14FDE">
          <w:rPr>
            <w:rStyle w:val="Hypertextovodkaz"/>
            <w:noProof/>
          </w:rPr>
          <w:t>Cíle výzkumu</w:t>
        </w:r>
        <w:r w:rsidR="00B26430">
          <w:rPr>
            <w:noProof/>
            <w:webHidden/>
          </w:rPr>
          <w:tab/>
        </w:r>
        <w:r w:rsidR="003818A1">
          <w:rPr>
            <w:noProof/>
            <w:webHidden/>
          </w:rPr>
          <w:fldChar w:fldCharType="begin"/>
        </w:r>
        <w:r w:rsidR="00B26430">
          <w:rPr>
            <w:noProof/>
            <w:webHidden/>
          </w:rPr>
          <w:instrText xml:space="preserve"> PAGEREF _Toc399775423 \h </w:instrText>
        </w:r>
        <w:r w:rsidR="003818A1">
          <w:rPr>
            <w:noProof/>
            <w:webHidden/>
          </w:rPr>
        </w:r>
        <w:r w:rsidR="003818A1">
          <w:rPr>
            <w:noProof/>
            <w:webHidden/>
          </w:rPr>
          <w:fldChar w:fldCharType="separate"/>
        </w:r>
        <w:r w:rsidR="00B26430">
          <w:rPr>
            <w:noProof/>
            <w:webHidden/>
          </w:rPr>
          <w:t>89</w:t>
        </w:r>
        <w:r w:rsidR="003818A1">
          <w:rPr>
            <w:noProof/>
            <w:webHidden/>
          </w:rPr>
          <w:fldChar w:fldCharType="end"/>
        </w:r>
      </w:hyperlink>
    </w:p>
    <w:p w:rsidR="00B26430" w:rsidRDefault="003B6F8D">
      <w:pPr>
        <w:pStyle w:val="Obsah2"/>
        <w:rPr>
          <w:rFonts w:asciiTheme="minorHAnsi" w:eastAsiaTheme="minorEastAsia" w:hAnsiTheme="minorHAnsi" w:cstheme="minorBidi"/>
          <w:noProof/>
          <w:sz w:val="22"/>
          <w:szCs w:val="22"/>
        </w:rPr>
      </w:pPr>
      <w:hyperlink w:anchor="_Toc399775424" w:history="1">
        <w:r w:rsidR="00B26430" w:rsidRPr="00C14FDE">
          <w:rPr>
            <w:rStyle w:val="Hypertextovodkaz"/>
            <w:noProof/>
          </w:rPr>
          <w:t>2.2</w:t>
        </w:r>
        <w:r w:rsidR="00B26430">
          <w:rPr>
            <w:rFonts w:asciiTheme="minorHAnsi" w:eastAsiaTheme="minorEastAsia" w:hAnsiTheme="minorHAnsi" w:cstheme="minorBidi"/>
            <w:noProof/>
            <w:sz w:val="22"/>
            <w:szCs w:val="22"/>
          </w:rPr>
          <w:tab/>
        </w:r>
        <w:r w:rsidR="00B26430" w:rsidRPr="00C14FDE">
          <w:rPr>
            <w:rStyle w:val="Hypertextovodkaz"/>
            <w:noProof/>
          </w:rPr>
          <w:t>Výzkumný vzorek a jeho zdůvodnění</w:t>
        </w:r>
        <w:r w:rsidR="00B26430">
          <w:rPr>
            <w:noProof/>
            <w:webHidden/>
          </w:rPr>
          <w:tab/>
        </w:r>
        <w:r w:rsidR="003818A1">
          <w:rPr>
            <w:noProof/>
            <w:webHidden/>
          </w:rPr>
          <w:fldChar w:fldCharType="begin"/>
        </w:r>
        <w:r w:rsidR="00B26430">
          <w:rPr>
            <w:noProof/>
            <w:webHidden/>
          </w:rPr>
          <w:instrText xml:space="preserve"> PAGEREF _Toc399775424 \h </w:instrText>
        </w:r>
        <w:r w:rsidR="003818A1">
          <w:rPr>
            <w:noProof/>
            <w:webHidden/>
          </w:rPr>
        </w:r>
        <w:r w:rsidR="003818A1">
          <w:rPr>
            <w:noProof/>
            <w:webHidden/>
          </w:rPr>
          <w:fldChar w:fldCharType="separate"/>
        </w:r>
        <w:r w:rsidR="00B26430">
          <w:rPr>
            <w:noProof/>
            <w:webHidden/>
          </w:rPr>
          <w:t>90</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25" w:history="1">
        <w:r w:rsidR="00B26430" w:rsidRPr="00C14FDE">
          <w:rPr>
            <w:rStyle w:val="Hypertextovodkaz"/>
            <w:noProof/>
          </w:rPr>
          <w:t>2.2.1</w:t>
        </w:r>
        <w:r w:rsidR="00B26430">
          <w:rPr>
            <w:rFonts w:asciiTheme="minorHAnsi" w:eastAsiaTheme="minorEastAsia" w:hAnsiTheme="minorHAnsi" w:cstheme="minorBidi"/>
            <w:noProof/>
            <w:sz w:val="22"/>
            <w:szCs w:val="22"/>
          </w:rPr>
          <w:tab/>
        </w:r>
        <w:r w:rsidR="00B26430" w:rsidRPr="00C14FDE">
          <w:rPr>
            <w:rStyle w:val="Hypertextovodkaz"/>
            <w:noProof/>
          </w:rPr>
          <w:t>První část výzkumu: analýza učebnic</w:t>
        </w:r>
        <w:r w:rsidR="00B26430">
          <w:rPr>
            <w:noProof/>
            <w:webHidden/>
          </w:rPr>
          <w:tab/>
        </w:r>
        <w:r w:rsidR="003818A1">
          <w:rPr>
            <w:noProof/>
            <w:webHidden/>
          </w:rPr>
          <w:fldChar w:fldCharType="begin"/>
        </w:r>
        <w:r w:rsidR="00B26430">
          <w:rPr>
            <w:noProof/>
            <w:webHidden/>
          </w:rPr>
          <w:instrText xml:space="preserve"> PAGEREF _Toc399775425 \h </w:instrText>
        </w:r>
        <w:r w:rsidR="003818A1">
          <w:rPr>
            <w:noProof/>
            <w:webHidden/>
          </w:rPr>
        </w:r>
        <w:r w:rsidR="003818A1">
          <w:rPr>
            <w:noProof/>
            <w:webHidden/>
          </w:rPr>
          <w:fldChar w:fldCharType="separate"/>
        </w:r>
        <w:r w:rsidR="00B26430">
          <w:rPr>
            <w:noProof/>
            <w:webHidden/>
          </w:rPr>
          <w:t>90</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26" w:history="1">
        <w:r w:rsidR="00B26430" w:rsidRPr="00C14FDE">
          <w:rPr>
            <w:rStyle w:val="Hypertextovodkaz"/>
            <w:noProof/>
          </w:rPr>
          <w:t>2.2.2</w:t>
        </w:r>
        <w:r w:rsidR="00B26430">
          <w:rPr>
            <w:rFonts w:asciiTheme="minorHAnsi" w:eastAsiaTheme="minorEastAsia" w:hAnsiTheme="minorHAnsi" w:cstheme="minorBidi"/>
            <w:noProof/>
            <w:sz w:val="22"/>
            <w:szCs w:val="22"/>
          </w:rPr>
          <w:tab/>
        </w:r>
        <w:r w:rsidR="00B26430" w:rsidRPr="00C14FDE">
          <w:rPr>
            <w:rStyle w:val="Hypertextovodkaz"/>
            <w:noProof/>
          </w:rPr>
          <w:t>Druhá část výzkumu: analýza výukových situací</w:t>
        </w:r>
        <w:r w:rsidR="00B26430">
          <w:rPr>
            <w:noProof/>
            <w:webHidden/>
          </w:rPr>
          <w:tab/>
        </w:r>
        <w:r w:rsidR="003818A1">
          <w:rPr>
            <w:noProof/>
            <w:webHidden/>
          </w:rPr>
          <w:fldChar w:fldCharType="begin"/>
        </w:r>
        <w:r w:rsidR="00B26430">
          <w:rPr>
            <w:noProof/>
            <w:webHidden/>
          </w:rPr>
          <w:instrText xml:space="preserve"> PAGEREF _Toc399775426 \h </w:instrText>
        </w:r>
        <w:r w:rsidR="003818A1">
          <w:rPr>
            <w:noProof/>
            <w:webHidden/>
          </w:rPr>
        </w:r>
        <w:r w:rsidR="003818A1">
          <w:rPr>
            <w:noProof/>
            <w:webHidden/>
          </w:rPr>
          <w:fldChar w:fldCharType="separate"/>
        </w:r>
        <w:r w:rsidR="00B26430">
          <w:rPr>
            <w:noProof/>
            <w:webHidden/>
          </w:rPr>
          <w:t>92</w:t>
        </w:r>
        <w:r w:rsidR="003818A1">
          <w:rPr>
            <w:noProof/>
            <w:webHidden/>
          </w:rPr>
          <w:fldChar w:fldCharType="end"/>
        </w:r>
      </w:hyperlink>
    </w:p>
    <w:p w:rsidR="00B26430" w:rsidRDefault="003B6F8D">
      <w:pPr>
        <w:pStyle w:val="Obsah2"/>
        <w:rPr>
          <w:rFonts w:asciiTheme="minorHAnsi" w:eastAsiaTheme="minorEastAsia" w:hAnsiTheme="minorHAnsi" w:cstheme="minorBidi"/>
          <w:noProof/>
          <w:sz w:val="22"/>
          <w:szCs w:val="22"/>
        </w:rPr>
      </w:pPr>
      <w:hyperlink w:anchor="_Toc399775427" w:history="1">
        <w:r w:rsidR="00B26430" w:rsidRPr="00C14FDE">
          <w:rPr>
            <w:rStyle w:val="Hypertextovodkaz"/>
            <w:noProof/>
          </w:rPr>
          <w:t>2.3</w:t>
        </w:r>
        <w:r w:rsidR="00B26430">
          <w:rPr>
            <w:rFonts w:asciiTheme="minorHAnsi" w:eastAsiaTheme="minorEastAsia" w:hAnsiTheme="minorHAnsi" w:cstheme="minorBidi"/>
            <w:noProof/>
            <w:sz w:val="22"/>
            <w:szCs w:val="22"/>
          </w:rPr>
          <w:tab/>
        </w:r>
        <w:r w:rsidR="00B26430" w:rsidRPr="00C14FDE">
          <w:rPr>
            <w:rStyle w:val="Hypertextovodkaz"/>
            <w:noProof/>
          </w:rPr>
          <w:t>Metodika výzkumu</w:t>
        </w:r>
        <w:r w:rsidR="00B26430">
          <w:rPr>
            <w:noProof/>
            <w:webHidden/>
          </w:rPr>
          <w:tab/>
        </w:r>
        <w:r w:rsidR="003818A1">
          <w:rPr>
            <w:noProof/>
            <w:webHidden/>
          </w:rPr>
          <w:fldChar w:fldCharType="begin"/>
        </w:r>
        <w:r w:rsidR="00B26430">
          <w:rPr>
            <w:noProof/>
            <w:webHidden/>
          </w:rPr>
          <w:instrText xml:space="preserve"> PAGEREF _Toc399775427 \h </w:instrText>
        </w:r>
        <w:r w:rsidR="003818A1">
          <w:rPr>
            <w:noProof/>
            <w:webHidden/>
          </w:rPr>
        </w:r>
        <w:r w:rsidR="003818A1">
          <w:rPr>
            <w:noProof/>
            <w:webHidden/>
          </w:rPr>
          <w:fldChar w:fldCharType="separate"/>
        </w:r>
        <w:r w:rsidR="00B26430">
          <w:rPr>
            <w:noProof/>
            <w:webHidden/>
          </w:rPr>
          <w:t>93</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28" w:history="1">
        <w:r w:rsidR="00B26430" w:rsidRPr="00C14FDE">
          <w:rPr>
            <w:rStyle w:val="Hypertextovodkaz"/>
            <w:noProof/>
          </w:rPr>
          <w:t>2.3.1</w:t>
        </w:r>
        <w:r w:rsidR="00B26430">
          <w:rPr>
            <w:rFonts w:asciiTheme="minorHAnsi" w:eastAsiaTheme="minorEastAsia" w:hAnsiTheme="minorHAnsi" w:cstheme="minorBidi"/>
            <w:noProof/>
            <w:sz w:val="22"/>
            <w:szCs w:val="22"/>
          </w:rPr>
          <w:tab/>
        </w:r>
        <w:r w:rsidR="00B26430" w:rsidRPr="00C14FDE">
          <w:rPr>
            <w:rStyle w:val="Hypertextovodkaz"/>
            <w:noProof/>
          </w:rPr>
          <w:t>Design výzkumu</w:t>
        </w:r>
        <w:r w:rsidR="00B26430">
          <w:rPr>
            <w:noProof/>
            <w:webHidden/>
          </w:rPr>
          <w:tab/>
        </w:r>
        <w:r w:rsidR="003818A1">
          <w:rPr>
            <w:noProof/>
            <w:webHidden/>
          </w:rPr>
          <w:fldChar w:fldCharType="begin"/>
        </w:r>
        <w:r w:rsidR="00B26430">
          <w:rPr>
            <w:noProof/>
            <w:webHidden/>
          </w:rPr>
          <w:instrText xml:space="preserve"> PAGEREF _Toc399775428 \h </w:instrText>
        </w:r>
        <w:r w:rsidR="003818A1">
          <w:rPr>
            <w:noProof/>
            <w:webHidden/>
          </w:rPr>
        </w:r>
        <w:r w:rsidR="003818A1">
          <w:rPr>
            <w:noProof/>
            <w:webHidden/>
          </w:rPr>
          <w:fldChar w:fldCharType="separate"/>
        </w:r>
        <w:r w:rsidR="00B26430">
          <w:rPr>
            <w:noProof/>
            <w:webHidden/>
          </w:rPr>
          <w:t>94</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29" w:history="1">
        <w:r w:rsidR="00B26430" w:rsidRPr="00C14FDE">
          <w:rPr>
            <w:rStyle w:val="Hypertextovodkaz"/>
            <w:noProof/>
          </w:rPr>
          <w:t>2.3.2</w:t>
        </w:r>
        <w:r w:rsidR="00B26430">
          <w:rPr>
            <w:rFonts w:asciiTheme="minorHAnsi" w:eastAsiaTheme="minorEastAsia" w:hAnsiTheme="minorHAnsi" w:cstheme="minorBidi"/>
            <w:noProof/>
            <w:sz w:val="22"/>
            <w:szCs w:val="22"/>
          </w:rPr>
          <w:tab/>
        </w:r>
        <w:r w:rsidR="00B26430" w:rsidRPr="00C14FDE">
          <w:rPr>
            <w:rStyle w:val="Hypertextovodkaz"/>
            <w:noProof/>
          </w:rPr>
          <w:t>Výzkumné šetření 1: Analýza učebnic</w:t>
        </w:r>
        <w:r w:rsidR="00B26430">
          <w:rPr>
            <w:noProof/>
            <w:webHidden/>
          </w:rPr>
          <w:tab/>
        </w:r>
        <w:r w:rsidR="003818A1">
          <w:rPr>
            <w:noProof/>
            <w:webHidden/>
          </w:rPr>
          <w:fldChar w:fldCharType="begin"/>
        </w:r>
        <w:r w:rsidR="00B26430">
          <w:rPr>
            <w:noProof/>
            <w:webHidden/>
          </w:rPr>
          <w:instrText xml:space="preserve"> PAGEREF _Toc399775429 \h </w:instrText>
        </w:r>
        <w:r w:rsidR="003818A1">
          <w:rPr>
            <w:noProof/>
            <w:webHidden/>
          </w:rPr>
        </w:r>
        <w:r w:rsidR="003818A1">
          <w:rPr>
            <w:noProof/>
            <w:webHidden/>
          </w:rPr>
          <w:fldChar w:fldCharType="separate"/>
        </w:r>
        <w:r w:rsidR="00B26430">
          <w:rPr>
            <w:noProof/>
            <w:webHidden/>
          </w:rPr>
          <w:t>95</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30" w:history="1">
        <w:r w:rsidR="00B26430" w:rsidRPr="00C14FDE">
          <w:rPr>
            <w:rStyle w:val="Hypertextovodkaz"/>
            <w:noProof/>
          </w:rPr>
          <w:t>2.3.3</w:t>
        </w:r>
        <w:r w:rsidR="00B26430">
          <w:rPr>
            <w:rFonts w:asciiTheme="minorHAnsi" w:eastAsiaTheme="minorEastAsia" w:hAnsiTheme="minorHAnsi" w:cstheme="minorBidi"/>
            <w:noProof/>
            <w:sz w:val="22"/>
            <w:szCs w:val="22"/>
          </w:rPr>
          <w:tab/>
        </w:r>
        <w:r w:rsidR="00B26430" w:rsidRPr="00C14FDE">
          <w:rPr>
            <w:rStyle w:val="Hypertextovodkaz"/>
            <w:noProof/>
          </w:rPr>
          <w:t>Výzkumné šetření 2: Analýza výukových situací</w:t>
        </w:r>
        <w:r w:rsidR="00B26430">
          <w:rPr>
            <w:noProof/>
            <w:webHidden/>
          </w:rPr>
          <w:tab/>
        </w:r>
        <w:r w:rsidR="003818A1">
          <w:rPr>
            <w:noProof/>
            <w:webHidden/>
          </w:rPr>
          <w:fldChar w:fldCharType="begin"/>
        </w:r>
        <w:r w:rsidR="00B26430">
          <w:rPr>
            <w:noProof/>
            <w:webHidden/>
          </w:rPr>
          <w:instrText xml:space="preserve"> PAGEREF _Toc399775430 \h </w:instrText>
        </w:r>
        <w:r w:rsidR="003818A1">
          <w:rPr>
            <w:noProof/>
            <w:webHidden/>
          </w:rPr>
        </w:r>
        <w:r w:rsidR="003818A1">
          <w:rPr>
            <w:noProof/>
            <w:webHidden/>
          </w:rPr>
          <w:fldChar w:fldCharType="separate"/>
        </w:r>
        <w:r w:rsidR="00B26430">
          <w:rPr>
            <w:noProof/>
            <w:webHidden/>
          </w:rPr>
          <w:t>104</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31" w:history="1">
        <w:r w:rsidR="00B26430" w:rsidRPr="00C14FDE">
          <w:rPr>
            <w:rStyle w:val="Hypertextovodkaz"/>
            <w:noProof/>
          </w:rPr>
          <w:t>2.3.4</w:t>
        </w:r>
        <w:r w:rsidR="00B26430">
          <w:rPr>
            <w:rFonts w:asciiTheme="minorHAnsi" w:eastAsiaTheme="minorEastAsia" w:hAnsiTheme="minorHAnsi" w:cstheme="minorBidi"/>
            <w:noProof/>
            <w:sz w:val="22"/>
            <w:szCs w:val="22"/>
          </w:rPr>
          <w:tab/>
        </w:r>
        <w:r w:rsidR="00B26430" w:rsidRPr="00C14FDE">
          <w:rPr>
            <w:rStyle w:val="Hypertextovodkaz"/>
            <w:noProof/>
          </w:rPr>
          <w:t>Shrnutí</w:t>
        </w:r>
        <w:r w:rsidR="00B26430">
          <w:rPr>
            <w:noProof/>
            <w:webHidden/>
          </w:rPr>
          <w:tab/>
        </w:r>
        <w:r w:rsidR="003818A1">
          <w:rPr>
            <w:noProof/>
            <w:webHidden/>
          </w:rPr>
          <w:fldChar w:fldCharType="begin"/>
        </w:r>
        <w:r w:rsidR="00B26430">
          <w:rPr>
            <w:noProof/>
            <w:webHidden/>
          </w:rPr>
          <w:instrText xml:space="preserve"> PAGEREF _Toc399775431 \h </w:instrText>
        </w:r>
        <w:r w:rsidR="003818A1">
          <w:rPr>
            <w:noProof/>
            <w:webHidden/>
          </w:rPr>
        </w:r>
        <w:r w:rsidR="003818A1">
          <w:rPr>
            <w:noProof/>
            <w:webHidden/>
          </w:rPr>
          <w:fldChar w:fldCharType="separate"/>
        </w:r>
        <w:r w:rsidR="00B26430">
          <w:rPr>
            <w:noProof/>
            <w:webHidden/>
          </w:rPr>
          <w:t>107</w:t>
        </w:r>
        <w:r w:rsidR="003818A1">
          <w:rPr>
            <w:noProof/>
            <w:webHidden/>
          </w:rPr>
          <w:fldChar w:fldCharType="end"/>
        </w:r>
      </w:hyperlink>
    </w:p>
    <w:p w:rsidR="00B26430" w:rsidRDefault="003B6F8D">
      <w:pPr>
        <w:pStyle w:val="Obsah1"/>
        <w:rPr>
          <w:rFonts w:asciiTheme="minorHAnsi" w:eastAsiaTheme="minorEastAsia" w:hAnsiTheme="minorHAnsi" w:cstheme="minorBidi"/>
          <w:b w:val="0"/>
          <w:sz w:val="22"/>
          <w:szCs w:val="22"/>
        </w:rPr>
      </w:pPr>
      <w:hyperlink w:anchor="_Toc399775432" w:history="1">
        <w:r w:rsidR="00B26430" w:rsidRPr="00C14FDE">
          <w:rPr>
            <w:rStyle w:val="Hypertextovodkaz"/>
          </w:rPr>
          <w:t>3.</w:t>
        </w:r>
        <w:r w:rsidR="00B26430">
          <w:rPr>
            <w:rFonts w:asciiTheme="minorHAnsi" w:eastAsiaTheme="minorEastAsia" w:hAnsiTheme="minorHAnsi" w:cstheme="minorBidi"/>
            <w:b w:val="0"/>
            <w:sz w:val="22"/>
            <w:szCs w:val="22"/>
          </w:rPr>
          <w:tab/>
        </w:r>
        <w:r w:rsidR="00B26430" w:rsidRPr="00C14FDE">
          <w:rPr>
            <w:rStyle w:val="Hypertextovodkaz"/>
          </w:rPr>
          <w:t>Výsledky výzkumu</w:t>
        </w:r>
        <w:r w:rsidR="00B26430">
          <w:rPr>
            <w:webHidden/>
          </w:rPr>
          <w:tab/>
        </w:r>
        <w:r w:rsidR="003818A1">
          <w:rPr>
            <w:webHidden/>
          </w:rPr>
          <w:fldChar w:fldCharType="begin"/>
        </w:r>
        <w:r w:rsidR="00B26430">
          <w:rPr>
            <w:webHidden/>
          </w:rPr>
          <w:instrText xml:space="preserve"> PAGEREF _Toc399775432 \h </w:instrText>
        </w:r>
        <w:r w:rsidR="003818A1">
          <w:rPr>
            <w:webHidden/>
          </w:rPr>
        </w:r>
        <w:r w:rsidR="003818A1">
          <w:rPr>
            <w:webHidden/>
          </w:rPr>
          <w:fldChar w:fldCharType="separate"/>
        </w:r>
        <w:r w:rsidR="00B26430">
          <w:rPr>
            <w:webHidden/>
          </w:rPr>
          <w:t>109</w:t>
        </w:r>
        <w:r w:rsidR="003818A1">
          <w:rPr>
            <w:webHidden/>
          </w:rPr>
          <w:fldChar w:fldCharType="end"/>
        </w:r>
      </w:hyperlink>
    </w:p>
    <w:p w:rsidR="00B26430" w:rsidRDefault="003B6F8D">
      <w:pPr>
        <w:pStyle w:val="Obsah2"/>
        <w:rPr>
          <w:rFonts w:asciiTheme="minorHAnsi" w:eastAsiaTheme="minorEastAsia" w:hAnsiTheme="minorHAnsi" w:cstheme="minorBidi"/>
          <w:noProof/>
          <w:sz w:val="22"/>
          <w:szCs w:val="22"/>
        </w:rPr>
      </w:pPr>
      <w:hyperlink w:anchor="_Toc399775433" w:history="1">
        <w:r w:rsidR="00B26430" w:rsidRPr="00C14FDE">
          <w:rPr>
            <w:rStyle w:val="Hypertextovodkaz"/>
            <w:noProof/>
          </w:rPr>
          <w:t>3.1</w:t>
        </w:r>
        <w:r w:rsidR="00B26430">
          <w:rPr>
            <w:rFonts w:asciiTheme="minorHAnsi" w:eastAsiaTheme="minorEastAsia" w:hAnsiTheme="minorHAnsi" w:cstheme="minorBidi"/>
            <w:noProof/>
            <w:sz w:val="22"/>
            <w:szCs w:val="22"/>
          </w:rPr>
          <w:tab/>
        </w:r>
        <w:r w:rsidR="00B26430" w:rsidRPr="00C14FDE">
          <w:rPr>
            <w:rStyle w:val="Hypertextovodkaz"/>
            <w:noProof/>
          </w:rPr>
          <w:t>Výsledky analýzy učebnic</w:t>
        </w:r>
        <w:r w:rsidR="00B26430">
          <w:rPr>
            <w:noProof/>
            <w:webHidden/>
          </w:rPr>
          <w:tab/>
        </w:r>
        <w:r w:rsidR="003818A1">
          <w:rPr>
            <w:noProof/>
            <w:webHidden/>
          </w:rPr>
          <w:fldChar w:fldCharType="begin"/>
        </w:r>
        <w:r w:rsidR="00B26430">
          <w:rPr>
            <w:noProof/>
            <w:webHidden/>
          </w:rPr>
          <w:instrText xml:space="preserve"> PAGEREF _Toc399775433 \h </w:instrText>
        </w:r>
        <w:r w:rsidR="003818A1">
          <w:rPr>
            <w:noProof/>
            <w:webHidden/>
          </w:rPr>
        </w:r>
        <w:r w:rsidR="003818A1">
          <w:rPr>
            <w:noProof/>
            <w:webHidden/>
          </w:rPr>
          <w:fldChar w:fldCharType="separate"/>
        </w:r>
        <w:r w:rsidR="00B26430">
          <w:rPr>
            <w:noProof/>
            <w:webHidden/>
          </w:rPr>
          <w:t>109</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34" w:history="1">
        <w:r w:rsidR="00B26430" w:rsidRPr="00C14FDE">
          <w:rPr>
            <w:rStyle w:val="Hypertextovodkaz"/>
            <w:noProof/>
          </w:rPr>
          <w:t>3.1.1</w:t>
        </w:r>
        <w:r w:rsidR="00B26430">
          <w:rPr>
            <w:rFonts w:asciiTheme="minorHAnsi" w:eastAsiaTheme="minorEastAsia" w:hAnsiTheme="minorHAnsi" w:cstheme="minorBidi"/>
            <w:noProof/>
            <w:sz w:val="22"/>
            <w:szCs w:val="22"/>
          </w:rPr>
          <w:tab/>
        </w:r>
        <w:r w:rsidR="00B26430" w:rsidRPr="00C14FDE">
          <w:rPr>
            <w:rStyle w:val="Hypertextovodkaz"/>
            <w:noProof/>
          </w:rPr>
          <w:t>Kapitola (možná) navíc: rozdíly a závislosti mezi jednotlivými dimenzemi teoretického modelu</w:t>
        </w:r>
        <w:r w:rsidR="00B26430">
          <w:rPr>
            <w:noProof/>
            <w:webHidden/>
          </w:rPr>
          <w:tab/>
        </w:r>
        <w:r w:rsidR="003818A1">
          <w:rPr>
            <w:noProof/>
            <w:webHidden/>
          </w:rPr>
          <w:fldChar w:fldCharType="begin"/>
        </w:r>
        <w:r w:rsidR="00B26430">
          <w:rPr>
            <w:noProof/>
            <w:webHidden/>
          </w:rPr>
          <w:instrText xml:space="preserve"> PAGEREF _Toc399775434 \h </w:instrText>
        </w:r>
        <w:r w:rsidR="003818A1">
          <w:rPr>
            <w:noProof/>
            <w:webHidden/>
          </w:rPr>
        </w:r>
        <w:r w:rsidR="003818A1">
          <w:rPr>
            <w:noProof/>
            <w:webHidden/>
          </w:rPr>
          <w:fldChar w:fldCharType="separate"/>
        </w:r>
        <w:r w:rsidR="00B26430">
          <w:rPr>
            <w:noProof/>
            <w:webHidden/>
          </w:rPr>
          <w:t>113</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35" w:history="1">
        <w:r w:rsidR="00B26430" w:rsidRPr="00C14FDE">
          <w:rPr>
            <w:rStyle w:val="Hypertextovodkaz"/>
            <w:noProof/>
          </w:rPr>
          <w:t>3.1.2</w:t>
        </w:r>
        <w:r w:rsidR="00B26430">
          <w:rPr>
            <w:rFonts w:asciiTheme="minorHAnsi" w:eastAsiaTheme="minorEastAsia" w:hAnsiTheme="minorHAnsi" w:cstheme="minorBidi"/>
            <w:noProof/>
            <w:sz w:val="22"/>
            <w:szCs w:val="22"/>
          </w:rPr>
          <w:tab/>
        </w:r>
        <w:r w:rsidR="00B26430" w:rsidRPr="00C14FDE">
          <w:rPr>
            <w:rStyle w:val="Hypertextovodkaz"/>
            <w:noProof/>
          </w:rPr>
          <w:t>Shrnutí</w:t>
        </w:r>
        <w:r w:rsidR="00B26430">
          <w:rPr>
            <w:noProof/>
            <w:webHidden/>
          </w:rPr>
          <w:tab/>
        </w:r>
        <w:r w:rsidR="003818A1">
          <w:rPr>
            <w:noProof/>
            <w:webHidden/>
          </w:rPr>
          <w:fldChar w:fldCharType="begin"/>
        </w:r>
        <w:r w:rsidR="00B26430">
          <w:rPr>
            <w:noProof/>
            <w:webHidden/>
          </w:rPr>
          <w:instrText xml:space="preserve"> PAGEREF _Toc399775435 \h </w:instrText>
        </w:r>
        <w:r w:rsidR="003818A1">
          <w:rPr>
            <w:noProof/>
            <w:webHidden/>
          </w:rPr>
        </w:r>
        <w:r w:rsidR="003818A1">
          <w:rPr>
            <w:noProof/>
            <w:webHidden/>
          </w:rPr>
          <w:fldChar w:fldCharType="separate"/>
        </w:r>
        <w:r w:rsidR="00B26430">
          <w:rPr>
            <w:noProof/>
            <w:webHidden/>
          </w:rPr>
          <w:t>116</w:t>
        </w:r>
        <w:r w:rsidR="003818A1">
          <w:rPr>
            <w:noProof/>
            <w:webHidden/>
          </w:rPr>
          <w:fldChar w:fldCharType="end"/>
        </w:r>
      </w:hyperlink>
    </w:p>
    <w:p w:rsidR="00B26430" w:rsidRDefault="003B6F8D">
      <w:pPr>
        <w:pStyle w:val="Obsah2"/>
        <w:rPr>
          <w:rFonts w:asciiTheme="minorHAnsi" w:eastAsiaTheme="minorEastAsia" w:hAnsiTheme="minorHAnsi" w:cstheme="minorBidi"/>
          <w:noProof/>
          <w:sz w:val="22"/>
          <w:szCs w:val="22"/>
        </w:rPr>
      </w:pPr>
      <w:hyperlink w:anchor="_Toc399775436" w:history="1">
        <w:r w:rsidR="00B26430" w:rsidRPr="00C14FDE">
          <w:rPr>
            <w:rStyle w:val="Hypertextovodkaz"/>
            <w:noProof/>
          </w:rPr>
          <w:t>3.2</w:t>
        </w:r>
        <w:r w:rsidR="00B26430">
          <w:rPr>
            <w:rFonts w:asciiTheme="minorHAnsi" w:eastAsiaTheme="minorEastAsia" w:hAnsiTheme="minorHAnsi" w:cstheme="minorBidi"/>
            <w:noProof/>
            <w:sz w:val="22"/>
            <w:szCs w:val="22"/>
          </w:rPr>
          <w:tab/>
        </w:r>
        <w:r w:rsidR="00B26430" w:rsidRPr="00C14FDE">
          <w:rPr>
            <w:rStyle w:val="Hypertextovodkaz"/>
            <w:noProof/>
          </w:rPr>
          <w:t>Výsledky analýzy výuky</w:t>
        </w:r>
        <w:r w:rsidR="00B26430">
          <w:rPr>
            <w:noProof/>
            <w:webHidden/>
          </w:rPr>
          <w:tab/>
        </w:r>
        <w:r w:rsidR="003818A1">
          <w:rPr>
            <w:noProof/>
            <w:webHidden/>
          </w:rPr>
          <w:fldChar w:fldCharType="begin"/>
        </w:r>
        <w:r w:rsidR="00B26430">
          <w:rPr>
            <w:noProof/>
            <w:webHidden/>
          </w:rPr>
          <w:instrText xml:space="preserve"> PAGEREF _Toc399775436 \h </w:instrText>
        </w:r>
        <w:r w:rsidR="003818A1">
          <w:rPr>
            <w:noProof/>
            <w:webHidden/>
          </w:rPr>
        </w:r>
        <w:r w:rsidR="003818A1">
          <w:rPr>
            <w:noProof/>
            <w:webHidden/>
          </w:rPr>
          <w:fldChar w:fldCharType="separate"/>
        </w:r>
        <w:r w:rsidR="00B26430">
          <w:rPr>
            <w:noProof/>
            <w:webHidden/>
          </w:rPr>
          <w:t>116</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37" w:history="1">
        <w:r w:rsidR="00B26430" w:rsidRPr="00C14FDE">
          <w:rPr>
            <w:rStyle w:val="Hypertextovodkaz"/>
            <w:noProof/>
          </w:rPr>
          <w:t>3.2.1</w:t>
        </w:r>
        <w:r w:rsidR="00B26430">
          <w:rPr>
            <w:rFonts w:asciiTheme="minorHAnsi" w:eastAsiaTheme="minorEastAsia" w:hAnsiTheme="minorHAnsi" w:cstheme="minorBidi"/>
            <w:noProof/>
            <w:sz w:val="22"/>
            <w:szCs w:val="22"/>
          </w:rPr>
          <w:tab/>
        </w:r>
        <w:r w:rsidR="00B26430" w:rsidRPr="00C14FDE">
          <w:rPr>
            <w:rStyle w:val="Hypertextovodkaz"/>
            <w:noProof/>
          </w:rPr>
          <w:t>Výuková situace č. 1: Vliv geologického vývoje na reliéf</w:t>
        </w:r>
        <w:r w:rsidR="00B26430">
          <w:rPr>
            <w:noProof/>
            <w:webHidden/>
          </w:rPr>
          <w:tab/>
        </w:r>
        <w:r w:rsidR="003818A1">
          <w:rPr>
            <w:noProof/>
            <w:webHidden/>
          </w:rPr>
          <w:fldChar w:fldCharType="begin"/>
        </w:r>
        <w:r w:rsidR="00B26430">
          <w:rPr>
            <w:noProof/>
            <w:webHidden/>
          </w:rPr>
          <w:instrText xml:space="preserve"> PAGEREF _Toc399775437 \h </w:instrText>
        </w:r>
        <w:r w:rsidR="003818A1">
          <w:rPr>
            <w:noProof/>
            <w:webHidden/>
          </w:rPr>
        </w:r>
        <w:r w:rsidR="003818A1">
          <w:rPr>
            <w:noProof/>
            <w:webHidden/>
          </w:rPr>
          <w:fldChar w:fldCharType="separate"/>
        </w:r>
        <w:r w:rsidR="00B26430">
          <w:rPr>
            <w:noProof/>
            <w:webHidden/>
          </w:rPr>
          <w:t>117</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38" w:history="1">
        <w:r w:rsidR="00B26430" w:rsidRPr="00C14FDE">
          <w:rPr>
            <w:rStyle w:val="Hypertextovodkaz"/>
            <w:noProof/>
          </w:rPr>
          <w:t>3.2.2</w:t>
        </w:r>
        <w:r w:rsidR="00B26430">
          <w:rPr>
            <w:rFonts w:asciiTheme="minorHAnsi" w:eastAsiaTheme="minorEastAsia" w:hAnsiTheme="minorHAnsi" w:cstheme="minorBidi"/>
            <w:noProof/>
            <w:sz w:val="22"/>
            <w:szCs w:val="22"/>
          </w:rPr>
          <w:tab/>
        </w:r>
        <w:r w:rsidR="00B26430" w:rsidRPr="00C14FDE">
          <w:rPr>
            <w:rStyle w:val="Hypertextovodkaz"/>
            <w:noProof/>
          </w:rPr>
          <w:t>Výuková situace č. 2: Vliv reliéfu na podnebí</w:t>
        </w:r>
        <w:r w:rsidR="00B26430">
          <w:rPr>
            <w:noProof/>
            <w:webHidden/>
          </w:rPr>
          <w:tab/>
        </w:r>
        <w:r w:rsidR="003818A1">
          <w:rPr>
            <w:noProof/>
            <w:webHidden/>
          </w:rPr>
          <w:fldChar w:fldCharType="begin"/>
        </w:r>
        <w:r w:rsidR="00B26430">
          <w:rPr>
            <w:noProof/>
            <w:webHidden/>
          </w:rPr>
          <w:instrText xml:space="preserve"> PAGEREF _Toc399775438 \h </w:instrText>
        </w:r>
        <w:r w:rsidR="003818A1">
          <w:rPr>
            <w:noProof/>
            <w:webHidden/>
          </w:rPr>
        </w:r>
        <w:r w:rsidR="003818A1">
          <w:rPr>
            <w:noProof/>
            <w:webHidden/>
          </w:rPr>
          <w:fldChar w:fldCharType="separate"/>
        </w:r>
        <w:r w:rsidR="00B26430">
          <w:rPr>
            <w:noProof/>
            <w:webHidden/>
          </w:rPr>
          <w:t>120</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39" w:history="1">
        <w:r w:rsidR="00B26430" w:rsidRPr="00C14FDE">
          <w:rPr>
            <w:rStyle w:val="Hypertextovodkaz"/>
            <w:noProof/>
          </w:rPr>
          <w:t>3.2.3</w:t>
        </w:r>
        <w:r w:rsidR="00B26430">
          <w:rPr>
            <w:rFonts w:asciiTheme="minorHAnsi" w:eastAsiaTheme="minorEastAsia" w:hAnsiTheme="minorHAnsi" w:cstheme="minorBidi"/>
            <w:noProof/>
            <w:sz w:val="22"/>
            <w:szCs w:val="22"/>
          </w:rPr>
          <w:tab/>
        </w:r>
        <w:r w:rsidR="00B26430" w:rsidRPr="00C14FDE">
          <w:rPr>
            <w:rStyle w:val="Hypertextovodkaz"/>
            <w:noProof/>
          </w:rPr>
          <w:t>Výuková situace č. 3: Vzduchové hmoty a jejich vliv na počasí</w:t>
        </w:r>
        <w:r w:rsidR="00B26430">
          <w:rPr>
            <w:noProof/>
            <w:webHidden/>
          </w:rPr>
          <w:tab/>
        </w:r>
        <w:r w:rsidR="003818A1">
          <w:rPr>
            <w:noProof/>
            <w:webHidden/>
          </w:rPr>
          <w:fldChar w:fldCharType="begin"/>
        </w:r>
        <w:r w:rsidR="00B26430">
          <w:rPr>
            <w:noProof/>
            <w:webHidden/>
          </w:rPr>
          <w:instrText xml:space="preserve"> PAGEREF _Toc399775439 \h </w:instrText>
        </w:r>
        <w:r w:rsidR="003818A1">
          <w:rPr>
            <w:noProof/>
            <w:webHidden/>
          </w:rPr>
        </w:r>
        <w:r w:rsidR="003818A1">
          <w:rPr>
            <w:noProof/>
            <w:webHidden/>
          </w:rPr>
          <w:fldChar w:fldCharType="separate"/>
        </w:r>
        <w:r w:rsidR="00B26430">
          <w:rPr>
            <w:noProof/>
            <w:webHidden/>
          </w:rPr>
          <w:t>122</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40" w:history="1">
        <w:r w:rsidR="00B26430" w:rsidRPr="00C14FDE">
          <w:rPr>
            <w:rStyle w:val="Hypertextovodkaz"/>
            <w:noProof/>
          </w:rPr>
          <w:t>3.2.4</w:t>
        </w:r>
        <w:r w:rsidR="00B26430">
          <w:rPr>
            <w:rFonts w:asciiTheme="minorHAnsi" w:eastAsiaTheme="minorEastAsia" w:hAnsiTheme="minorHAnsi" w:cstheme="minorBidi"/>
            <w:noProof/>
            <w:sz w:val="22"/>
            <w:szCs w:val="22"/>
          </w:rPr>
          <w:tab/>
        </w:r>
        <w:r w:rsidR="00B26430" w:rsidRPr="00C14FDE">
          <w:rPr>
            <w:rStyle w:val="Hypertextovodkaz"/>
            <w:noProof/>
          </w:rPr>
          <w:t>Výuková situace č. 4: Vodní stav řek a jeho determinanty</w:t>
        </w:r>
        <w:r w:rsidR="00B26430">
          <w:rPr>
            <w:noProof/>
            <w:webHidden/>
          </w:rPr>
          <w:tab/>
        </w:r>
        <w:r w:rsidR="003818A1">
          <w:rPr>
            <w:noProof/>
            <w:webHidden/>
          </w:rPr>
          <w:fldChar w:fldCharType="begin"/>
        </w:r>
        <w:r w:rsidR="00B26430">
          <w:rPr>
            <w:noProof/>
            <w:webHidden/>
          </w:rPr>
          <w:instrText xml:space="preserve"> PAGEREF _Toc399775440 \h </w:instrText>
        </w:r>
        <w:r w:rsidR="003818A1">
          <w:rPr>
            <w:noProof/>
            <w:webHidden/>
          </w:rPr>
        </w:r>
        <w:r w:rsidR="003818A1">
          <w:rPr>
            <w:noProof/>
            <w:webHidden/>
          </w:rPr>
          <w:fldChar w:fldCharType="separate"/>
        </w:r>
        <w:r w:rsidR="00B26430">
          <w:rPr>
            <w:noProof/>
            <w:webHidden/>
          </w:rPr>
          <w:t>123</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41" w:history="1">
        <w:r w:rsidR="00B26430" w:rsidRPr="00C14FDE">
          <w:rPr>
            <w:rStyle w:val="Hypertextovodkaz"/>
            <w:noProof/>
          </w:rPr>
          <w:t>3.2.5</w:t>
        </w:r>
        <w:r w:rsidR="00B26430">
          <w:rPr>
            <w:rFonts w:asciiTheme="minorHAnsi" w:eastAsiaTheme="minorEastAsia" w:hAnsiTheme="minorHAnsi" w:cstheme="minorBidi"/>
            <w:noProof/>
            <w:sz w:val="22"/>
            <w:szCs w:val="22"/>
          </w:rPr>
          <w:tab/>
        </w:r>
        <w:r w:rsidR="00B26430" w:rsidRPr="00C14FDE">
          <w:rPr>
            <w:rStyle w:val="Hypertextovodkaz"/>
            <w:noProof/>
          </w:rPr>
          <w:t>Výuková situace č. 5: Vlastnosti půd a jejich determinanty</w:t>
        </w:r>
        <w:r w:rsidR="00B26430">
          <w:rPr>
            <w:noProof/>
            <w:webHidden/>
          </w:rPr>
          <w:tab/>
        </w:r>
        <w:r w:rsidR="003818A1">
          <w:rPr>
            <w:noProof/>
            <w:webHidden/>
          </w:rPr>
          <w:fldChar w:fldCharType="begin"/>
        </w:r>
        <w:r w:rsidR="00B26430">
          <w:rPr>
            <w:noProof/>
            <w:webHidden/>
          </w:rPr>
          <w:instrText xml:space="preserve"> PAGEREF _Toc399775441 \h </w:instrText>
        </w:r>
        <w:r w:rsidR="003818A1">
          <w:rPr>
            <w:noProof/>
            <w:webHidden/>
          </w:rPr>
        </w:r>
        <w:r w:rsidR="003818A1">
          <w:rPr>
            <w:noProof/>
            <w:webHidden/>
          </w:rPr>
          <w:fldChar w:fldCharType="separate"/>
        </w:r>
        <w:r w:rsidR="00B26430">
          <w:rPr>
            <w:noProof/>
            <w:webHidden/>
          </w:rPr>
          <w:t>124</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42" w:history="1">
        <w:r w:rsidR="00B26430" w:rsidRPr="00C14FDE">
          <w:rPr>
            <w:rStyle w:val="Hypertextovodkaz"/>
            <w:noProof/>
          </w:rPr>
          <w:t>3.2.6</w:t>
        </w:r>
        <w:r w:rsidR="00B26430">
          <w:rPr>
            <w:rFonts w:asciiTheme="minorHAnsi" w:eastAsiaTheme="minorEastAsia" w:hAnsiTheme="minorHAnsi" w:cstheme="minorBidi"/>
            <w:noProof/>
            <w:sz w:val="22"/>
            <w:szCs w:val="22"/>
          </w:rPr>
          <w:tab/>
        </w:r>
        <w:r w:rsidR="00B26430" w:rsidRPr="00C14FDE">
          <w:rPr>
            <w:rStyle w:val="Hypertextovodkaz"/>
            <w:noProof/>
          </w:rPr>
          <w:t>Výuková situace č. 6: Význam a využití lesů</w:t>
        </w:r>
        <w:r w:rsidR="00B26430">
          <w:rPr>
            <w:noProof/>
            <w:webHidden/>
          </w:rPr>
          <w:tab/>
        </w:r>
        <w:r w:rsidR="003818A1">
          <w:rPr>
            <w:noProof/>
            <w:webHidden/>
          </w:rPr>
          <w:fldChar w:fldCharType="begin"/>
        </w:r>
        <w:r w:rsidR="00B26430">
          <w:rPr>
            <w:noProof/>
            <w:webHidden/>
          </w:rPr>
          <w:instrText xml:space="preserve"> PAGEREF _Toc399775442 \h </w:instrText>
        </w:r>
        <w:r w:rsidR="003818A1">
          <w:rPr>
            <w:noProof/>
            <w:webHidden/>
          </w:rPr>
        </w:r>
        <w:r w:rsidR="003818A1">
          <w:rPr>
            <w:noProof/>
            <w:webHidden/>
          </w:rPr>
          <w:fldChar w:fldCharType="separate"/>
        </w:r>
        <w:r w:rsidR="00B26430">
          <w:rPr>
            <w:noProof/>
            <w:webHidden/>
          </w:rPr>
          <w:t>126</w:t>
        </w:r>
        <w:r w:rsidR="003818A1">
          <w:rPr>
            <w:noProof/>
            <w:webHidden/>
          </w:rPr>
          <w:fldChar w:fldCharType="end"/>
        </w:r>
      </w:hyperlink>
    </w:p>
    <w:p w:rsidR="00B26430" w:rsidRDefault="003B6F8D">
      <w:pPr>
        <w:pStyle w:val="Obsah3"/>
        <w:rPr>
          <w:rFonts w:asciiTheme="minorHAnsi" w:eastAsiaTheme="minorEastAsia" w:hAnsiTheme="minorHAnsi" w:cstheme="minorBidi"/>
          <w:noProof/>
          <w:sz w:val="22"/>
          <w:szCs w:val="22"/>
        </w:rPr>
      </w:pPr>
      <w:hyperlink w:anchor="_Toc399775443" w:history="1">
        <w:r w:rsidR="00B26430" w:rsidRPr="00C14FDE">
          <w:rPr>
            <w:rStyle w:val="Hypertextovodkaz"/>
            <w:noProof/>
          </w:rPr>
          <w:t>3.2.7</w:t>
        </w:r>
        <w:r w:rsidR="00B26430">
          <w:rPr>
            <w:rFonts w:asciiTheme="minorHAnsi" w:eastAsiaTheme="minorEastAsia" w:hAnsiTheme="minorHAnsi" w:cstheme="minorBidi"/>
            <w:noProof/>
            <w:sz w:val="22"/>
            <w:szCs w:val="22"/>
          </w:rPr>
          <w:tab/>
        </w:r>
        <w:r w:rsidR="00B26430" w:rsidRPr="00C14FDE">
          <w:rPr>
            <w:rStyle w:val="Hypertextovodkaz"/>
            <w:noProof/>
          </w:rPr>
          <w:t>Výuková situace č. 7: Změny a ochrana přírodních složek krajiny</w:t>
        </w:r>
        <w:r w:rsidR="00B26430">
          <w:rPr>
            <w:noProof/>
            <w:webHidden/>
          </w:rPr>
          <w:tab/>
        </w:r>
        <w:r w:rsidR="003818A1">
          <w:rPr>
            <w:noProof/>
            <w:webHidden/>
          </w:rPr>
          <w:fldChar w:fldCharType="begin"/>
        </w:r>
        <w:r w:rsidR="00B26430">
          <w:rPr>
            <w:noProof/>
            <w:webHidden/>
          </w:rPr>
          <w:instrText xml:space="preserve"> PAGEREF _Toc399775443 \h </w:instrText>
        </w:r>
        <w:r w:rsidR="003818A1">
          <w:rPr>
            <w:noProof/>
            <w:webHidden/>
          </w:rPr>
        </w:r>
        <w:r w:rsidR="003818A1">
          <w:rPr>
            <w:noProof/>
            <w:webHidden/>
          </w:rPr>
          <w:fldChar w:fldCharType="separate"/>
        </w:r>
        <w:r w:rsidR="00B26430">
          <w:rPr>
            <w:noProof/>
            <w:webHidden/>
          </w:rPr>
          <w:t>128</w:t>
        </w:r>
        <w:r w:rsidR="003818A1">
          <w:rPr>
            <w:noProof/>
            <w:webHidden/>
          </w:rPr>
          <w:fldChar w:fldCharType="end"/>
        </w:r>
      </w:hyperlink>
    </w:p>
    <w:p w:rsidR="00B26430" w:rsidRDefault="003B6F8D">
      <w:pPr>
        <w:pStyle w:val="Obsah2"/>
        <w:rPr>
          <w:rFonts w:asciiTheme="minorHAnsi" w:eastAsiaTheme="minorEastAsia" w:hAnsiTheme="minorHAnsi" w:cstheme="minorBidi"/>
          <w:noProof/>
          <w:sz w:val="22"/>
          <w:szCs w:val="22"/>
        </w:rPr>
      </w:pPr>
      <w:hyperlink w:anchor="_Toc399775444" w:history="1">
        <w:r w:rsidR="00B26430" w:rsidRPr="00C14FDE">
          <w:rPr>
            <w:rStyle w:val="Hypertextovodkaz"/>
            <w:noProof/>
          </w:rPr>
          <w:t>3.3</w:t>
        </w:r>
        <w:r w:rsidR="00B26430">
          <w:rPr>
            <w:rFonts w:asciiTheme="minorHAnsi" w:eastAsiaTheme="minorEastAsia" w:hAnsiTheme="minorHAnsi" w:cstheme="minorBidi"/>
            <w:noProof/>
            <w:sz w:val="22"/>
            <w:szCs w:val="22"/>
          </w:rPr>
          <w:tab/>
        </w:r>
        <w:r w:rsidR="00B26430" w:rsidRPr="00C14FDE">
          <w:rPr>
            <w:rStyle w:val="Hypertextovodkaz"/>
            <w:noProof/>
          </w:rPr>
          <w:t>Shrnutí</w:t>
        </w:r>
        <w:r w:rsidR="00B26430">
          <w:rPr>
            <w:noProof/>
            <w:webHidden/>
          </w:rPr>
          <w:tab/>
        </w:r>
        <w:r w:rsidR="003818A1">
          <w:rPr>
            <w:noProof/>
            <w:webHidden/>
          </w:rPr>
          <w:fldChar w:fldCharType="begin"/>
        </w:r>
        <w:r w:rsidR="00B26430">
          <w:rPr>
            <w:noProof/>
            <w:webHidden/>
          </w:rPr>
          <w:instrText xml:space="preserve"> PAGEREF _Toc399775444 \h </w:instrText>
        </w:r>
        <w:r w:rsidR="003818A1">
          <w:rPr>
            <w:noProof/>
            <w:webHidden/>
          </w:rPr>
        </w:r>
        <w:r w:rsidR="003818A1">
          <w:rPr>
            <w:noProof/>
            <w:webHidden/>
          </w:rPr>
          <w:fldChar w:fldCharType="separate"/>
        </w:r>
        <w:r w:rsidR="00B26430">
          <w:rPr>
            <w:noProof/>
            <w:webHidden/>
          </w:rPr>
          <w:t>129</w:t>
        </w:r>
        <w:r w:rsidR="003818A1">
          <w:rPr>
            <w:noProof/>
            <w:webHidden/>
          </w:rPr>
          <w:fldChar w:fldCharType="end"/>
        </w:r>
      </w:hyperlink>
    </w:p>
    <w:p w:rsidR="00B26430" w:rsidRDefault="003B6F8D">
      <w:pPr>
        <w:pStyle w:val="Obsah1"/>
        <w:rPr>
          <w:rFonts w:asciiTheme="minorHAnsi" w:eastAsiaTheme="minorEastAsia" w:hAnsiTheme="minorHAnsi" w:cstheme="minorBidi"/>
          <w:b w:val="0"/>
          <w:sz w:val="22"/>
          <w:szCs w:val="22"/>
        </w:rPr>
      </w:pPr>
      <w:hyperlink w:anchor="_Toc399775445" w:history="1">
        <w:r w:rsidR="00B26430" w:rsidRPr="00C14FDE">
          <w:rPr>
            <w:rStyle w:val="Hypertextovodkaz"/>
          </w:rPr>
          <w:t>4.</w:t>
        </w:r>
        <w:r w:rsidR="00B26430">
          <w:rPr>
            <w:rFonts w:asciiTheme="minorHAnsi" w:eastAsiaTheme="minorEastAsia" w:hAnsiTheme="minorHAnsi" w:cstheme="minorBidi"/>
            <w:b w:val="0"/>
            <w:sz w:val="22"/>
            <w:szCs w:val="22"/>
          </w:rPr>
          <w:tab/>
        </w:r>
        <w:r w:rsidR="00B26430" w:rsidRPr="00C14FDE">
          <w:rPr>
            <w:rStyle w:val="Hypertextovodkaz"/>
          </w:rPr>
          <w:t>Diskuse</w:t>
        </w:r>
        <w:r w:rsidR="00B26430">
          <w:rPr>
            <w:webHidden/>
          </w:rPr>
          <w:tab/>
        </w:r>
        <w:r w:rsidR="003818A1">
          <w:rPr>
            <w:webHidden/>
          </w:rPr>
          <w:fldChar w:fldCharType="begin"/>
        </w:r>
        <w:r w:rsidR="00B26430">
          <w:rPr>
            <w:webHidden/>
          </w:rPr>
          <w:instrText xml:space="preserve"> PAGEREF _Toc399775445 \h </w:instrText>
        </w:r>
        <w:r w:rsidR="003818A1">
          <w:rPr>
            <w:webHidden/>
          </w:rPr>
        </w:r>
        <w:r w:rsidR="003818A1">
          <w:rPr>
            <w:webHidden/>
          </w:rPr>
          <w:fldChar w:fldCharType="separate"/>
        </w:r>
        <w:r w:rsidR="00B26430">
          <w:rPr>
            <w:webHidden/>
          </w:rPr>
          <w:t>132</w:t>
        </w:r>
        <w:r w:rsidR="003818A1">
          <w:rPr>
            <w:webHidden/>
          </w:rPr>
          <w:fldChar w:fldCharType="end"/>
        </w:r>
      </w:hyperlink>
    </w:p>
    <w:p w:rsidR="00B26430" w:rsidRDefault="003B6F8D">
      <w:pPr>
        <w:pStyle w:val="Obsah2"/>
        <w:rPr>
          <w:rFonts w:asciiTheme="minorHAnsi" w:eastAsiaTheme="minorEastAsia" w:hAnsiTheme="minorHAnsi" w:cstheme="minorBidi"/>
          <w:noProof/>
          <w:sz w:val="22"/>
          <w:szCs w:val="22"/>
        </w:rPr>
      </w:pPr>
      <w:hyperlink w:anchor="_Toc399775446" w:history="1">
        <w:r w:rsidR="00B26430" w:rsidRPr="00C14FDE">
          <w:rPr>
            <w:rStyle w:val="Hypertextovodkaz"/>
            <w:noProof/>
          </w:rPr>
          <w:t>4.1</w:t>
        </w:r>
        <w:r w:rsidR="00B26430">
          <w:rPr>
            <w:rFonts w:asciiTheme="minorHAnsi" w:eastAsiaTheme="minorEastAsia" w:hAnsiTheme="minorHAnsi" w:cstheme="minorBidi"/>
            <w:noProof/>
            <w:sz w:val="22"/>
            <w:szCs w:val="22"/>
          </w:rPr>
          <w:tab/>
        </w:r>
        <w:r w:rsidR="00B26430" w:rsidRPr="00C14FDE">
          <w:rPr>
            <w:rStyle w:val="Hypertextovodkaz"/>
            <w:noProof/>
          </w:rPr>
          <w:t>Limitace výzkumu</w:t>
        </w:r>
        <w:r w:rsidR="00B26430">
          <w:rPr>
            <w:noProof/>
            <w:webHidden/>
          </w:rPr>
          <w:tab/>
        </w:r>
        <w:r w:rsidR="003818A1">
          <w:rPr>
            <w:noProof/>
            <w:webHidden/>
          </w:rPr>
          <w:fldChar w:fldCharType="begin"/>
        </w:r>
        <w:r w:rsidR="00B26430">
          <w:rPr>
            <w:noProof/>
            <w:webHidden/>
          </w:rPr>
          <w:instrText xml:space="preserve"> PAGEREF _Toc399775446 \h </w:instrText>
        </w:r>
        <w:r w:rsidR="003818A1">
          <w:rPr>
            <w:noProof/>
            <w:webHidden/>
          </w:rPr>
        </w:r>
        <w:r w:rsidR="003818A1">
          <w:rPr>
            <w:noProof/>
            <w:webHidden/>
          </w:rPr>
          <w:fldChar w:fldCharType="separate"/>
        </w:r>
        <w:r w:rsidR="00B26430">
          <w:rPr>
            <w:noProof/>
            <w:webHidden/>
          </w:rPr>
          <w:t>132</w:t>
        </w:r>
        <w:r w:rsidR="003818A1">
          <w:rPr>
            <w:noProof/>
            <w:webHidden/>
          </w:rPr>
          <w:fldChar w:fldCharType="end"/>
        </w:r>
      </w:hyperlink>
    </w:p>
    <w:p w:rsidR="00B26430" w:rsidRDefault="003B6F8D">
      <w:pPr>
        <w:pStyle w:val="Obsah2"/>
        <w:rPr>
          <w:rFonts w:asciiTheme="minorHAnsi" w:eastAsiaTheme="minorEastAsia" w:hAnsiTheme="minorHAnsi" w:cstheme="minorBidi"/>
          <w:noProof/>
          <w:sz w:val="22"/>
          <w:szCs w:val="22"/>
        </w:rPr>
      </w:pPr>
      <w:hyperlink w:anchor="_Toc399775447" w:history="1">
        <w:r w:rsidR="00B26430" w:rsidRPr="00C14FDE">
          <w:rPr>
            <w:rStyle w:val="Hypertextovodkaz"/>
            <w:noProof/>
          </w:rPr>
          <w:t>4.2</w:t>
        </w:r>
        <w:r w:rsidR="00B26430">
          <w:rPr>
            <w:rFonts w:asciiTheme="minorHAnsi" w:eastAsiaTheme="minorEastAsia" w:hAnsiTheme="minorHAnsi" w:cstheme="minorBidi"/>
            <w:noProof/>
            <w:sz w:val="22"/>
            <w:szCs w:val="22"/>
          </w:rPr>
          <w:tab/>
        </w:r>
        <w:r w:rsidR="00B26430" w:rsidRPr="00C14FDE">
          <w:rPr>
            <w:rStyle w:val="Hypertextovodkaz"/>
            <w:noProof/>
          </w:rPr>
          <w:t>Srovnání s jinými výzkumy</w:t>
        </w:r>
        <w:r w:rsidR="00B26430">
          <w:rPr>
            <w:noProof/>
            <w:webHidden/>
          </w:rPr>
          <w:tab/>
        </w:r>
        <w:r w:rsidR="003818A1">
          <w:rPr>
            <w:noProof/>
            <w:webHidden/>
          </w:rPr>
          <w:fldChar w:fldCharType="begin"/>
        </w:r>
        <w:r w:rsidR="00B26430">
          <w:rPr>
            <w:noProof/>
            <w:webHidden/>
          </w:rPr>
          <w:instrText xml:space="preserve"> PAGEREF _Toc399775447 \h </w:instrText>
        </w:r>
        <w:r w:rsidR="003818A1">
          <w:rPr>
            <w:noProof/>
            <w:webHidden/>
          </w:rPr>
        </w:r>
        <w:r w:rsidR="003818A1">
          <w:rPr>
            <w:noProof/>
            <w:webHidden/>
          </w:rPr>
          <w:fldChar w:fldCharType="separate"/>
        </w:r>
        <w:r w:rsidR="00B26430">
          <w:rPr>
            <w:noProof/>
            <w:webHidden/>
          </w:rPr>
          <w:t>134</w:t>
        </w:r>
        <w:r w:rsidR="003818A1">
          <w:rPr>
            <w:noProof/>
            <w:webHidden/>
          </w:rPr>
          <w:fldChar w:fldCharType="end"/>
        </w:r>
      </w:hyperlink>
    </w:p>
    <w:p w:rsidR="00B26430" w:rsidRDefault="003B6F8D">
      <w:pPr>
        <w:pStyle w:val="Obsah2"/>
        <w:rPr>
          <w:rFonts w:asciiTheme="minorHAnsi" w:eastAsiaTheme="minorEastAsia" w:hAnsiTheme="minorHAnsi" w:cstheme="minorBidi"/>
          <w:noProof/>
          <w:sz w:val="22"/>
          <w:szCs w:val="22"/>
        </w:rPr>
      </w:pPr>
      <w:hyperlink w:anchor="_Toc399775448" w:history="1">
        <w:r w:rsidR="00B26430" w:rsidRPr="00C14FDE">
          <w:rPr>
            <w:rStyle w:val="Hypertextovodkaz"/>
            <w:noProof/>
          </w:rPr>
          <w:t>4.3</w:t>
        </w:r>
        <w:r w:rsidR="00B26430">
          <w:rPr>
            <w:rFonts w:asciiTheme="minorHAnsi" w:eastAsiaTheme="minorEastAsia" w:hAnsiTheme="minorHAnsi" w:cstheme="minorBidi"/>
            <w:noProof/>
            <w:sz w:val="22"/>
            <w:szCs w:val="22"/>
          </w:rPr>
          <w:tab/>
        </w:r>
        <w:r w:rsidR="00B26430" w:rsidRPr="00C14FDE">
          <w:rPr>
            <w:rStyle w:val="Hypertextovodkaz"/>
            <w:noProof/>
          </w:rPr>
          <w:t>Širší interpretace výsledků</w:t>
        </w:r>
        <w:r w:rsidR="00B26430">
          <w:rPr>
            <w:noProof/>
            <w:webHidden/>
          </w:rPr>
          <w:tab/>
        </w:r>
        <w:r w:rsidR="003818A1">
          <w:rPr>
            <w:noProof/>
            <w:webHidden/>
          </w:rPr>
          <w:fldChar w:fldCharType="begin"/>
        </w:r>
        <w:r w:rsidR="00B26430">
          <w:rPr>
            <w:noProof/>
            <w:webHidden/>
          </w:rPr>
          <w:instrText xml:space="preserve"> PAGEREF _Toc399775448 \h </w:instrText>
        </w:r>
        <w:r w:rsidR="003818A1">
          <w:rPr>
            <w:noProof/>
            <w:webHidden/>
          </w:rPr>
        </w:r>
        <w:r w:rsidR="003818A1">
          <w:rPr>
            <w:noProof/>
            <w:webHidden/>
          </w:rPr>
          <w:fldChar w:fldCharType="separate"/>
        </w:r>
        <w:r w:rsidR="00B26430">
          <w:rPr>
            <w:noProof/>
            <w:webHidden/>
          </w:rPr>
          <w:t>135</w:t>
        </w:r>
        <w:r w:rsidR="003818A1">
          <w:rPr>
            <w:noProof/>
            <w:webHidden/>
          </w:rPr>
          <w:fldChar w:fldCharType="end"/>
        </w:r>
      </w:hyperlink>
    </w:p>
    <w:p w:rsidR="00B26430" w:rsidRDefault="003B6F8D">
      <w:pPr>
        <w:pStyle w:val="Obsah2"/>
        <w:rPr>
          <w:rFonts w:asciiTheme="minorHAnsi" w:eastAsiaTheme="minorEastAsia" w:hAnsiTheme="minorHAnsi" w:cstheme="minorBidi"/>
          <w:noProof/>
          <w:sz w:val="22"/>
          <w:szCs w:val="22"/>
        </w:rPr>
      </w:pPr>
      <w:hyperlink w:anchor="_Toc399775449" w:history="1">
        <w:r w:rsidR="00B26430" w:rsidRPr="00C14FDE">
          <w:rPr>
            <w:rStyle w:val="Hypertextovodkaz"/>
            <w:noProof/>
          </w:rPr>
          <w:t>4.4</w:t>
        </w:r>
        <w:r w:rsidR="00B26430">
          <w:rPr>
            <w:rFonts w:asciiTheme="minorHAnsi" w:eastAsiaTheme="minorEastAsia" w:hAnsiTheme="minorHAnsi" w:cstheme="minorBidi"/>
            <w:noProof/>
            <w:sz w:val="22"/>
            <w:szCs w:val="22"/>
          </w:rPr>
          <w:tab/>
        </w:r>
        <w:r w:rsidR="00B26430" w:rsidRPr="00C14FDE">
          <w:rPr>
            <w:rStyle w:val="Hypertextovodkaz"/>
            <w:noProof/>
          </w:rPr>
          <w:t>Oborové znalosti a kognitivní aktivizace žáků: cesta správným směrem?</w:t>
        </w:r>
        <w:r w:rsidR="00B26430">
          <w:rPr>
            <w:noProof/>
            <w:webHidden/>
          </w:rPr>
          <w:tab/>
        </w:r>
        <w:r w:rsidR="003818A1">
          <w:rPr>
            <w:noProof/>
            <w:webHidden/>
          </w:rPr>
          <w:fldChar w:fldCharType="begin"/>
        </w:r>
        <w:r w:rsidR="00B26430">
          <w:rPr>
            <w:noProof/>
            <w:webHidden/>
          </w:rPr>
          <w:instrText xml:space="preserve"> PAGEREF _Toc399775449 \h </w:instrText>
        </w:r>
        <w:r w:rsidR="003818A1">
          <w:rPr>
            <w:noProof/>
            <w:webHidden/>
          </w:rPr>
        </w:r>
        <w:r w:rsidR="003818A1">
          <w:rPr>
            <w:noProof/>
            <w:webHidden/>
          </w:rPr>
          <w:fldChar w:fldCharType="separate"/>
        </w:r>
        <w:r w:rsidR="00B26430">
          <w:rPr>
            <w:noProof/>
            <w:webHidden/>
          </w:rPr>
          <w:t>138</w:t>
        </w:r>
        <w:r w:rsidR="003818A1">
          <w:rPr>
            <w:noProof/>
            <w:webHidden/>
          </w:rPr>
          <w:fldChar w:fldCharType="end"/>
        </w:r>
      </w:hyperlink>
    </w:p>
    <w:p w:rsidR="00B26430" w:rsidRDefault="003B6F8D">
      <w:pPr>
        <w:pStyle w:val="Obsah2"/>
        <w:rPr>
          <w:rFonts w:asciiTheme="minorHAnsi" w:eastAsiaTheme="minorEastAsia" w:hAnsiTheme="minorHAnsi" w:cstheme="minorBidi"/>
          <w:noProof/>
          <w:sz w:val="22"/>
          <w:szCs w:val="22"/>
        </w:rPr>
      </w:pPr>
      <w:hyperlink w:anchor="_Toc399775450" w:history="1">
        <w:r w:rsidR="00B26430" w:rsidRPr="00C14FDE">
          <w:rPr>
            <w:rStyle w:val="Hypertextovodkaz"/>
            <w:noProof/>
          </w:rPr>
          <w:t>4.5</w:t>
        </w:r>
        <w:r w:rsidR="00B26430">
          <w:rPr>
            <w:rFonts w:asciiTheme="minorHAnsi" w:eastAsiaTheme="minorEastAsia" w:hAnsiTheme="minorHAnsi" w:cstheme="minorBidi"/>
            <w:noProof/>
            <w:sz w:val="22"/>
            <w:szCs w:val="22"/>
          </w:rPr>
          <w:tab/>
        </w:r>
        <w:r w:rsidR="00B26430" w:rsidRPr="00C14FDE">
          <w:rPr>
            <w:rStyle w:val="Hypertextovodkaz"/>
            <w:noProof/>
          </w:rPr>
          <w:t>Shrnutí</w:t>
        </w:r>
        <w:r w:rsidR="00B26430">
          <w:rPr>
            <w:noProof/>
            <w:webHidden/>
          </w:rPr>
          <w:tab/>
        </w:r>
        <w:r w:rsidR="003818A1">
          <w:rPr>
            <w:noProof/>
            <w:webHidden/>
          </w:rPr>
          <w:fldChar w:fldCharType="begin"/>
        </w:r>
        <w:r w:rsidR="00B26430">
          <w:rPr>
            <w:noProof/>
            <w:webHidden/>
          </w:rPr>
          <w:instrText xml:space="preserve"> PAGEREF _Toc399775450 \h </w:instrText>
        </w:r>
        <w:r w:rsidR="003818A1">
          <w:rPr>
            <w:noProof/>
            <w:webHidden/>
          </w:rPr>
        </w:r>
        <w:r w:rsidR="003818A1">
          <w:rPr>
            <w:noProof/>
            <w:webHidden/>
          </w:rPr>
          <w:fldChar w:fldCharType="separate"/>
        </w:r>
        <w:r w:rsidR="00B26430">
          <w:rPr>
            <w:noProof/>
            <w:webHidden/>
          </w:rPr>
          <w:t>141</w:t>
        </w:r>
        <w:r w:rsidR="003818A1">
          <w:rPr>
            <w:noProof/>
            <w:webHidden/>
          </w:rPr>
          <w:fldChar w:fldCharType="end"/>
        </w:r>
      </w:hyperlink>
    </w:p>
    <w:p w:rsidR="00B26430" w:rsidRDefault="003B6F8D">
      <w:pPr>
        <w:pStyle w:val="Obsah1"/>
        <w:rPr>
          <w:rFonts w:asciiTheme="minorHAnsi" w:eastAsiaTheme="minorEastAsia" w:hAnsiTheme="minorHAnsi" w:cstheme="minorBidi"/>
          <w:b w:val="0"/>
          <w:sz w:val="22"/>
          <w:szCs w:val="22"/>
        </w:rPr>
      </w:pPr>
      <w:hyperlink w:anchor="_Toc399775451" w:history="1">
        <w:r w:rsidR="00B26430" w:rsidRPr="00C14FDE">
          <w:rPr>
            <w:rStyle w:val="Hypertextovodkaz"/>
          </w:rPr>
          <w:t>Závěr</w:t>
        </w:r>
        <w:r w:rsidR="00B26430">
          <w:rPr>
            <w:webHidden/>
          </w:rPr>
          <w:tab/>
        </w:r>
        <w:r w:rsidR="003818A1">
          <w:rPr>
            <w:webHidden/>
          </w:rPr>
          <w:fldChar w:fldCharType="begin"/>
        </w:r>
        <w:r w:rsidR="00B26430">
          <w:rPr>
            <w:webHidden/>
          </w:rPr>
          <w:instrText xml:space="preserve"> PAGEREF _Toc399775451 \h </w:instrText>
        </w:r>
        <w:r w:rsidR="003818A1">
          <w:rPr>
            <w:webHidden/>
          </w:rPr>
        </w:r>
        <w:r w:rsidR="003818A1">
          <w:rPr>
            <w:webHidden/>
          </w:rPr>
          <w:fldChar w:fldCharType="separate"/>
        </w:r>
        <w:r w:rsidR="00B26430">
          <w:rPr>
            <w:webHidden/>
          </w:rPr>
          <w:t>142</w:t>
        </w:r>
        <w:r w:rsidR="003818A1">
          <w:rPr>
            <w:webHidden/>
          </w:rPr>
          <w:fldChar w:fldCharType="end"/>
        </w:r>
      </w:hyperlink>
    </w:p>
    <w:p w:rsidR="00B26430" w:rsidRDefault="003B6F8D">
      <w:pPr>
        <w:pStyle w:val="Obsah1"/>
        <w:rPr>
          <w:rFonts w:asciiTheme="minorHAnsi" w:eastAsiaTheme="minorEastAsia" w:hAnsiTheme="minorHAnsi" w:cstheme="minorBidi"/>
          <w:b w:val="0"/>
          <w:sz w:val="22"/>
          <w:szCs w:val="22"/>
        </w:rPr>
      </w:pPr>
      <w:hyperlink w:anchor="_Toc399775452" w:history="1">
        <w:r w:rsidR="00B26430" w:rsidRPr="00C14FDE">
          <w:rPr>
            <w:rStyle w:val="Hypertextovodkaz"/>
          </w:rPr>
          <w:t>Doporučení pro vzdělávací politiku, tvorbu učebnic a praxi</w:t>
        </w:r>
        <w:r w:rsidR="00B26430">
          <w:rPr>
            <w:webHidden/>
          </w:rPr>
          <w:tab/>
        </w:r>
        <w:r w:rsidR="003818A1">
          <w:rPr>
            <w:webHidden/>
          </w:rPr>
          <w:fldChar w:fldCharType="begin"/>
        </w:r>
        <w:r w:rsidR="00B26430">
          <w:rPr>
            <w:webHidden/>
          </w:rPr>
          <w:instrText xml:space="preserve"> PAGEREF _Toc399775452 \h </w:instrText>
        </w:r>
        <w:r w:rsidR="003818A1">
          <w:rPr>
            <w:webHidden/>
          </w:rPr>
        </w:r>
        <w:r w:rsidR="003818A1">
          <w:rPr>
            <w:webHidden/>
          </w:rPr>
          <w:fldChar w:fldCharType="separate"/>
        </w:r>
        <w:r w:rsidR="00B26430">
          <w:rPr>
            <w:webHidden/>
          </w:rPr>
          <w:t>146</w:t>
        </w:r>
        <w:r w:rsidR="003818A1">
          <w:rPr>
            <w:webHidden/>
          </w:rPr>
          <w:fldChar w:fldCharType="end"/>
        </w:r>
      </w:hyperlink>
    </w:p>
    <w:p w:rsidR="00B26430" w:rsidRDefault="003B6F8D">
      <w:pPr>
        <w:pStyle w:val="Obsah1"/>
        <w:rPr>
          <w:rFonts w:asciiTheme="minorHAnsi" w:eastAsiaTheme="minorEastAsia" w:hAnsiTheme="minorHAnsi" w:cstheme="minorBidi"/>
          <w:b w:val="0"/>
          <w:sz w:val="22"/>
          <w:szCs w:val="22"/>
        </w:rPr>
      </w:pPr>
      <w:hyperlink w:anchor="_Toc399775453" w:history="1">
        <w:r w:rsidR="00B26430" w:rsidRPr="00C14FDE">
          <w:rPr>
            <w:rStyle w:val="Hypertextovodkaz"/>
          </w:rPr>
          <w:t>Summary</w:t>
        </w:r>
        <w:r w:rsidR="00B26430">
          <w:rPr>
            <w:webHidden/>
          </w:rPr>
          <w:tab/>
        </w:r>
        <w:r w:rsidR="003818A1">
          <w:rPr>
            <w:webHidden/>
          </w:rPr>
          <w:fldChar w:fldCharType="begin"/>
        </w:r>
        <w:r w:rsidR="00B26430">
          <w:rPr>
            <w:webHidden/>
          </w:rPr>
          <w:instrText xml:space="preserve"> PAGEREF _Toc399775453 \h </w:instrText>
        </w:r>
        <w:r w:rsidR="003818A1">
          <w:rPr>
            <w:webHidden/>
          </w:rPr>
        </w:r>
        <w:r w:rsidR="003818A1">
          <w:rPr>
            <w:webHidden/>
          </w:rPr>
          <w:fldChar w:fldCharType="separate"/>
        </w:r>
        <w:r w:rsidR="00B26430">
          <w:rPr>
            <w:webHidden/>
          </w:rPr>
          <w:t>150</w:t>
        </w:r>
        <w:r w:rsidR="003818A1">
          <w:rPr>
            <w:webHidden/>
          </w:rPr>
          <w:fldChar w:fldCharType="end"/>
        </w:r>
      </w:hyperlink>
    </w:p>
    <w:p w:rsidR="00B26430" w:rsidRDefault="003B6F8D">
      <w:pPr>
        <w:pStyle w:val="Obsah1"/>
        <w:rPr>
          <w:rFonts w:asciiTheme="minorHAnsi" w:eastAsiaTheme="minorEastAsia" w:hAnsiTheme="minorHAnsi" w:cstheme="minorBidi"/>
          <w:b w:val="0"/>
          <w:sz w:val="22"/>
          <w:szCs w:val="22"/>
        </w:rPr>
      </w:pPr>
      <w:hyperlink w:anchor="_Toc399775454" w:history="1">
        <w:r w:rsidR="00B26430" w:rsidRPr="00C14FDE">
          <w:rPr>
            <w:rStyle w:val="Hypertextovodkaz"/>
          </w:rPr>
          <w:t>Literatura</w:t>
        </w:r>
        <w:r w:rsidR="00B26430">
          <w:rPr>
            <w:webHidden/>
          </w:rPr>
          <w:tab/>
        </w:r>
        <w:r w:rsidR="003818A1">
          <w:rPr>
            <w:webHidden/>
          </w:rPr>
          <w:fldChar w:fldCharType="begin"/>
        </w:r>
        <w:r w:rsidR="00B26430">
          <w:rPr>
            <w:webHidden/>
          </w:rPr>
          <w:instrText xml:space="preserve"> PAGEREF _Toc399775454 \h </w:instrText>
        </w:r>
        <w:r w:rsidR="003818A1">
          <w:rPr>
            <w:webHidden/>
          </w:rPr>
        </w:r>
        <w:r w:rsidR="003818A1">
          <w:rPr>
            <w:webHidden/>
          </w:rPr>
          <w:fldChar w:fldCharType="separate"/>
        </w:r>
        <w:r w:rsidR="00B26430">
          <w:rPr>
            <w:webHidden/>
          </w:rPr>
          <w:t>151</w:t>
        </w:r>
        <w:r w:rsidR="003818A1">
          <w:rPr>
            <w:webHidden/>
          </w:rPr>
          <w:fldChar w:fldCharType="end"/>
        </w:r>
      </w:hyperlink>
    </w:p>
    <w:p w:rsidR="00B26430" w:rsidRDefault="003B6F8D">
      <w:pPr>
        <w:pStyle w:val="Obsah1"/>
        <w:rPr>
          <w:rFonts w:asciiTheme="minorHAnsi" w:eastAsiaTheme="minorEastAsia" w:hAnsiTheme="minorHAnsi" w:cstheme="minorBidi"/>
          <w:b w:val="0"/>
          <w:sz w:val="22"/>
          <w:szCs w:val="22"/>
        </w:rPr>
      </w:pPr>
      <w:hyperlink w:anchor="_Toc399775455" w:history="1">
        <w:r w:rsidR="00B26430" w:rsidRPr="00C14FDE">
          <w:rPr>
            <w:rStyle w:val="Hypertextovodkaz"/>
          </w:rPr>
          <w:t>Seznam obrázků</w:t>
        </w:r>
        <w:r w:rsidR="00B26430">
          <w:rPr>
            <w:webHidden/>
          </w:rPr>
          <w:tab/>
        </w:r>
        <w:r w:rsidR="003818A1">
          <w:rPr>
            <w:webHidden/>
          </w:rPr>
          <w:fldChar w:fldCharType="begin"/>
        </w:r>
        <w:r w:rsidR="00B26430">
          <w:rPr>
            <w:webHidden/>
          </w:rPr>
          <w:instrText xml:space="preserve"> PAGEREF _Toc399775455 \h </w:instrText>
        </w:r>
        <w:r w:rsidR="003818A1">
          <w:rPr>
            <w:webHidden/>
          </w:rPr>
        </w:r>
        <w:r w:rsidR="003818A1">
          <w:rPr>
            <w:webHidden/>
          </w:rPr>
          <w:fldChar w:fldCharType="separate"/>
        </w:r>
        <w:r w:rsidR="00B26430">
          <w:rPr>
            <w:webHidden/>
          </w:rPr>
          <w:t>160</w:t>
        </w:r>
        <w:r w:rsidR="003818A1">
          <w:rPr>
            <w:webHidden/>
          </w:rPr>
          <w:fldChar w:fldCharType="end"/>
        </w:r>
      </w:hyperlink>
    </w:p>
    <w:p w:rsidR="00B26430" w:rsidRDefault="003B6F8D">
      <w:pPr>
        <w:pStyle w:val="Obsah1"/>
        <w:rPr>
          <w:rFonts w:asciiTheme="minorHAnsi" w:eastAsiaTheme="minorEastAsia" w:hAnsiTheme="minorHAnsi" w:cstheme="minorBidi"/>
          <w:b w:val="0"/>
          <w:sz w:val="22"/>
          <w:szCs w:val="22"/>
        </w:rPr>
      </w:pPr>
      <w:hyperlink w:anchor="_Toc399775456" w:history="1">
        <w:r w:rsidR="00B26430" w:rsidRPr="00C14FDE">
          <w:rPr>
            <w:rStyle w:val="Hypertextovodkaz"/>
          </w:rPr>
          <w:t>Seznam tabulek</w:t>
        </w:r>
        <w:r w:rsidR="00B26430">
          <w:rPr>
            <w:webHidden/>
          </w:rPr>
          <w:tab/>
        </w:r>
        <w:r w:rsidR="003818A1">
          <w:rPr>
            <w:webHidden/>
          </w:rPr>
          <w:fldChar w:fldCharType="begin"/>
        </w:r>
        <w:r w:rsidR="00B26430">
          <w:rPr>
            <w:webHidden/>
          </w:rPr>
          <w:instrText xml:space="preserve"> PAGEREF _Toc399775456 \h </w:instrText>
        </w:r>
        <w:r w:rsidR="003818A1">
          <w:rPr>
            <w:webHidden/>
          </w:rPr>
        </w:r>
        <w:r w:rsidR="003818A1">
          <w:rPr>
            <w:webHidden/>
          </w:rPr>
          <w:fldChar w:fldCharType="separate"/>
        </w:r>
        <w:r w:rsidR="00B26430">
          <w:rPr>
            <w:webHidden/>
          </w:rPr>
          <w:t>161</w:t>
        </w:r>
        <w:r w:rsidR="003818A1">
          <w:rPr>
            <w:webHidden/>
          </w:rPr>
          <w:fldChar w:fldCharType="end"/>
        </w:r>
      </w:hyperlink>
    </w:p>
    <w:p w:rsidR="00B26430" w:rsidRDefault="003B6F8D">
      <w:pPr>
        <w:pStyle w:val="Obsah1"/>
        <w:rPr>
          <w:rFonts w:asciiTheme="minorHAnsi" w:eastAsiaTheme="minorEastAsia" w:hAnsiTheme="minorHAnsi" w:cstheme="minorBidi"/>
          <w:b w:val="0"/>
          <w:sz w:val="22"/>
          <w:szCs w:val="22"/>
        </w:rPr>
      </w:pPr>
      <w:hyperlink w:anchor="_Toc399775457" w:history="1">
        <w:r w:rsidR="00B26430" w:rsidRPr="00C14FDE">
          <w:rPr>
            <w:rStyle w:val="Hypertextovodkaz"/>
          </w:rPr>
          <w:t>Rejstřík jmenný</w:t>
        </w:r>
        <w:r w:rsidR="00B26430">
          <w:rPr>
            <w:webHidden/>
          </w:rPr>
          <w:tab/>
        </w:r>
        <w:r w:rsidR="003818A1">
          <w:rPr>
            <w:webHidden/>
          </w:rPr>
          <w:fldChar w:fldCharType="begin"/>
        </w:r>
        <w:r w:rsidR="00B26430">
          <w:rPr>
            <w:webHidden/>
          </w:rPr>
          <w:instrText xml:space="preserve"> PAGEREF _Toc399775457 \h </w:instrText>
        </w:r>
        <w:r w:rsidR="003818A1">
          <w:rPr>
            <w:webHidden/>
          </w:rPr>
        </w:r>
        <w:r w:rsidR="003818A1">
          <w:rPr>
            <w:webHidden/>
          </w:rPr>
          <w:fldChar w:fldCharType="separate"/>
        </w:r>
        <w:r w:rsidR="00B26430">
          <w:rPr>
            <w:webHidden/>
          </w:rPr>
          <w:t>161</w:t>
        </w:r>
        <w:r w:rsidR="003818A1">
          <w:rPr>
            <w:webHidden/>
          </w:rPr>
          <w:fldChar w:fldCharType="end"/>
        </w:r>
      </w:hyperlink>
    </w:p>
    <w:p w:rsidR="00B26430" w:rsidRDefault="003B6F8D">
      <w:pPr>
        <w:pStyle w:val="Obsah1"/>
        <w:rPr>
          <w:rFonts w:asciiTheme="minorHAnsi" w:eastAsiaTheme="minorEastAsia" w:hAnsiTheme="minorHAnsi" w:cstheme="minorBidi"/>
          <w:b w:val="0"/>
          <w:sz w:val="22"/>
          <w:szCs w:val="22"/>
        </w:rPr>
      </w:pPr>
      <w:hyperlink w:anchor="_Toc399775458" w:history="1">
        <w:r w:rsidR="00B26430" w:rsidRPr="00C14FDE">
          <w:rPr>
            <w:rStyle w:val="Hypertextovodkaz"/>
          </w:rPr>
          <w:t>Rejstřík věcný</w:t>
        </w:r>
        <w:r w:rsidR="00B26430">
          <w:rPr>
            <w:webHidden/>
          </w:rPr>
          <w:tab/>
        </w:r>
        <w:r w:rsidR="003818A1">
          <w:rPr>
            <w:webHidden/>
          </w:rPr>
          <w:fldChar w:fldCharType="begin"/>
        </w:r>
        <w:r w:rsidR="00B26430">
          <w:rPr>
            <w:webHidden/>
          </w:rPr>
          <w:instrText xml:space="preserve"> PAGEREF _Toc399775458 \h </w:instrText>
        </w:r>
        <w:r w:rsidR="003818A1">
          <w:rPr>
            <w:webHidden/>
          </w:rPr>
        </w:r>
        <w:r w:rsidR="003818A1">
          <w:rPr>
            <w:webHidden/>
          </w:rPr>
          <w:fldChar w:fldCharType="separate"/>
        </w:r>
        <w:r w:rsidR="00B26430">
          <w:rPr>
            <w:webHidden/>
          </w:rPr>
          <w:t>161</w:t>
        </w:r>
        <w:r w:rsidR="003818A1">
          <w:rPr>
            <w:webHidden/>
          </w:rPr>
          <w:fldChar w:fldCharType="end"/>
        </w:r>
      </w:hyperlink>
    </w:p>
    <w:p w:rsidR="00B26430" w:rsidRDefault="003B6F8D">
      <w:pPr>
        <w:pStyle w:val="Obsah1"/>
        <w:rPr>
          <w:rFonts w:asciiTheme="minorHAnsi" w:eastAsiaTheme="minorEastAsia" w:hAnsiTheme="minorHAnsi" w:cstheme="minorBidi"/>
          <w:b w:val="0"/>
          <w:sz w:val="22"/>
          <w:szCs w:val="22"/>
        </w:rPr>
      </w:pPr>
      <w:hyperlink w:anchor="_Toc399775459" w:history="1">
        <w:r w:rsidR="00B26430" w:rsidRPr="00C14FDE">
          <w:rPr>
            <w:rStyle w:val="Hypertextovodkaz"/>
          </w:rPr>
          <w:t>Shrnutí na obálku knihy</w:t>
        </w:r>
        <w:r w:rsidR="00B26430">
          <w:rPr>
            <w:webHidden/>
          </w:rPr>
          <w:tab/>
        </w:r>
        <w:r w:rsidR="003818A1">
          <w:rPr>
            <w:webHidden/>
          </w:rPr>
          <w:fldChar w:fldCharType="begin"/>
        </w:r>
        <w:r w:rsidR="00B26430">
          <w:rPr>
            <w:webHidden/>
          </w:rPr>
          <w:instrText xml:space="preserve"> PAGEREF _Toc399775459 \h </w:instrText>
        </w:r>
        <w:r w:rsidR="003818A1">
          <w:rPr>
            <w:webHidden/>
          </w:rPr>
        </w:r>
        <w:r w:rsidR="003818A1">
          <w:rPr>
            <w:webHidden/>
          </w:rPr>
          <w:fldChar w:fldCharType="separate"/>
        </w:r>
        <w:r w:rsidR="00B26430">
          <w:rPr>
            <w:webHidden/>
          </w:rPr>
          <w:t>162</w:t>
        </w:r>
        <w:r w:rsidR="003818A1">
          <w:rPr>
            <w:webHidden/>
          </w:rPr>
          <w:fldChar w:fldCharType="end"/>
        </w:r>
      </w:hyperlink>
    </w:p>
    <w:p w:rsidR="004B0C10" w:rsidRDefault="003818A1" w:rsidP="008B26CE">
      <w:pPr>
        <w:tabs>
          <w:tab w:val="left" w:leader="dot" w:pos="8280"/>
        </w:tabs>
        <w:spacing w:line="360" w:lineRule="auto"/>
        <w:rPr>
          <w:noProof/>
        </w:rPr>
      </w:pPr>
      <w:r>
        <w:rPr>
          <w:b/>
          <w:noProof/>
        </w:rPr>
        <w:fldChar w:fldCharType="end"/>
      </w:r>
    </w:p>
    <w:p w:rsidR="00A526E1" w:rsidRPr="00A526E1" w:rsidRDefault="005A6FBC" w:rsidP="00F229E9">
      <w:pPr>
        <w:pStyle w:val="Nadpis1"/>
        <w:numPr>
          <w:ilvl w:val="0"/>
          <w:numId w:val="0"/>
        </w:numPr>
        <w:spacing w:before="0" w:after="120" w:line="276" w:lineRule="auto"/>
        <w:ind w:left="360" w:hanging="360"/>
        <w:rPr>
          <w:noProof/>
        </w:rPr>
      </w:pPr>
      <w:r>
        <w:rPr>
          <w:noProof/>
        </w:rPr>
        <w:br w:type="page"/>
      </w:r>
      <w:bookmarkStart w:id="1" w:name="_Toc399775374"/>
      <w:r w:rsidR="00A526E1" w:rsidRPr="00A526E1">
        <w:rPr>
          <w:noProof/>
        </w:rPr>
        <w:lastRenderedPageBreak/>
        <w:t>Poděkování</w:t>
      </w:r>
      <w:bookmarkEnd w:id="1"/>
    </w:p>
    <w:p w:rsidR="002F4D5A" w:rsidRDefault="00A41D8B" w:rsidP="00F229E9">
      <w:pPr>
        <w:tabs>
          <w:tab w:val="left" w:leader="dot" w:pos="8280"/>
        </w:tabs>
        <w:spacing w:after="120" w:line="276" w:lineRule="auto"/>
        <w:jc w:val="both"/>
        <w:rPr>
          <w:noProof/>
        </w:rPr>
      </w:pPr>
      <w:r>
        <w:rPr>
          <w:noProof/>
        </w:rPr>
        <w:t xml:space="preserve">Tato kniha by nikdy nevznikla bez finanční podpory Grantové agentury České republiky a bez pochopení a tolerance lidí pohybujících </w:t>
      </w:r>
      <w:r w:rsidR="009D1E6F">
        <w:rPr>
          <w:noProof/>
        </w:rPr>
        <w:t xml:space="preserve">se </w:t>
      </w:r>
      <w:r>
        <w:rPr>
          <w:noProof/>
        </w:rPr>
        <w:t xml:space="preserve">v mém bezprostředním okolí. Děkuji především kolegům z Institutu výzkumu školního vzdělávání za </w:t>
      </w:r>
      <w:r w:rsidR="009D1E6F">
        <w:rPr>
          <w:noProof/>
        </w:rPr>
        <w:t>podporu a inspiraci při řešení odborných</w:t>
      </w:r>
      <w:r w:rsidR="00663A13">
        <w:rPr>
          <w:noProof/>
        </w:rPr>
        <w:t>,</w:t>
      </w:r>
      <w:r w:rsidR="009D1E6F">
        <w:rPr>
          <w:noProof/>
        </w:rPr>
        <w:t xml:space="preserve"> technických </w:t>
      </w:r>
      <w:r w:rsidR="00663A13">
        <w:rPr>
          <w:noProof/>
        </w:rPr>
        <w:t xml:space="preserve">a administrativních </w:t>
      </w:r>
      <w:r w:rsidR="009D1E6F">
        <w:rPr>
          <w:noProof/>
        </w:rPr>
        <w:t>problémů</w:t>
      </w:r>
      <w:r w:rsidR="00B70D56">
        <w:rPr>
          <w:noProof/>
        </w:rPr>
        <w:t xml:space="preserve">, které se postupně během psaní </w:t>
      </w:r>
      <w:r w:rsidR="0045547A">
        <w:rPr>
          <w:noProof/>
        </w:rPr>
        <w:t>této knihy</w:t>
      </w:r>
      <w:r w:rsidR="00B70D56">
        <w:rPr>
          <w:noProof/>
        </w:rPr>
        <w:t xml:space="preserve"> objevovaly</w:t>
      </w:r>
      <w:r w:rsidR="00663A13">
        <w:rPr>
          <w:noProof/>
        </w:rPr>
        <w:t xml:space="preserve"> (jmenovité poděkování si zaslouží zejména </w:t>
      </w:r>
      <w:r w:rsidR="00003627">
        <w:rPr>
          <w:noProof/>
        </w:rPr>
        <w:t xml:space="preserve">Veronika Lokajíčková, </w:t>
      </w:r>
      <w:r w:rsidR="00663A13">
        <w:rPr>
          <w:noProof/>
        </w:rPr>
        <w:t>Tereza Češková</w:t>
      </w:r>
      <w:r w:rsidR="008A0635">
        <w:rPr>
          <w:noProof/>
        </w:rPr>
        <w:t>,</w:t>
      </w:r>
      <w:r w:rsidR="009D1E6F">
        <w:rPr>
          <w:noProof/>
        </w:rPr>
        <w:t xml:space="preserve"> </w:t>
      </w:r>
      <w:r w:rsidR="00663A13">
        <w:rPr>
          <w:noProof/>
        </w:rPr>
        <w:t>Tomáš Janko</w:t>
      </w:r>
      <w:r w:rsidR="004C2DE2">
        <w:rPr>
          <w:noProof/>
        </w:rPr>
        <w:t>,</w:t>
      </w:r>
      <w:r w:rsidR="00663A13">
        <w:rPr>
          <w:noProof/>
        </w:rPr>
        <w:t xml:space="preserve"> Petr Najvar</w:t>
      </w:r>
      <w:r w:rsidR="00C85168">
        <w:rPr>
          <w:noProof/>
        </w:rPr>
        <w:t>, Eva Minaříková</w:t>
      </w:r>
      <w:r w:rsidR="00F24728">
        <w:rPr>
          <w:noProof/>
        </w:rPr>
        <w:t>, Michela Píšová, František Tůma</w:t>
      </w:r>
      <w:r w:rsidR="004C2DE2">
        <w:rPr>
          <w:noProof/>
        </w:rPr>
        <w:t xml:space="preserve"> a Michaela Spurná</w:t>
      </w:r>
      <w:r w:rsidR="00663A13">
        <w:rPr>
          <w:noProof/>
        </w:rPr>
        <w:t>)</w:t>
      </w:r>
      <w:r w:rsidR="009D1E6F">
        <w:rPr>
          <w:noProof/>
        </w:rPr>
        <w:t>. Za kritickou zpětnou vazbu k pracovním verzím textu děkuji Tomáši Janíkovi. Uznání patří také recenzent</w:t>
      </w:r>
      <w:r w:rsidR="00DF0EB7">
        <w:rPr>
          <w:noProof/>
        </w:rPr>
        <w:t xml:space="preserve">ům </w:t>
      </w:r>
      <w:r w:rsidR="009D1E6F">
        <w:rPr>
          <w:noProof/>
        </w:rPr>
        <w:t>rukopisu, kte</w:t>
      </w:r>
      <w:r w:rsidR="00DF0EB7">
        <w:rPr>
          <w:noProof/>
        </w:rPr>
        <w:t>ří</w:t>
      </w:r>
      <w:r w:rsidR="009D1E6F">
        <w:rPr>
          <w:noProof/>
        </w:rPr>
        <w:t xml:space="preserve"> svými cennými připomínkami a komentáři výrazně přispěl</w:t>
      </w:r>
      <w:r w:rsidR="00DF0EB7">
        <w:rPr>
          <w:noProof/>
        </w:rPr>
        <w:t>i</w:t>
      </w:r>
      <w:r w:rsidR="009D1E6F">
        <w:rPr>
          <w:noProof/>
        </w:rPr>
        <w:t xml:space="preserve"> ke zkvalitnění publikace. Neméně d</w:t>
      </w:r>
      <w:r w:rsidR="0045547A">
        <w:rPr>
          <w:noProof/>
        </w:rPr>
        <w:t xml:space="preserve">ěkuji také </w:t>
      </w:r>
      <w:r w:rsidR="00B97627">
        <w:rPr>
          <w:noProof/>
        </w:rPr>
        <w:t xml:space="preserve">kolektivu učitelů a žákům na ZŠ Kotlářská v Brně, kteří sice </w:t>
      </w:r>
      <w:r w:rsidR="007F7264">
        <w:rPr>
          <w:noProof/>
        </w:rPr>
        <w:t>se na</w:t>
      </w:r>
      <w:r w:rsidR="00B97627">
        <w:rPr>
          <w:noProof/>
        </w:rPr>
        <w:t xml:space="preserve"> vzniku publikace přímo ne</w:t>
      </w:r>
      <w:r w:rsidR="007F7264">
        <w:rPr>
          <w:noProof/>
        </w:rPr>
        <w:t>podíleli</w:t>
      </w:r>
      <w:r w:rsidR="00B97627">
        <w:rPr>
          <w:noProof/>
        </w:rPr>
        <w:t xml:space="preserve">, ale umožnili </w:t>
      </w:r>
      <w:r w:rsidR="004C6316">
        <w:rPr>
          <w:noProof/>
        </w:rPr>
        <w:t xml:space="preserve">mi s nimi sdílet již osmým rokem, byť jen na částečný úvazek, </w:t>
      </w:r>
      <w:r w:rsidR="00B97627">
        <w:rPr>
          <w:noProof/>
        </w:rPr>
        <w:t xml:space="preserve">každodenní problémy pedagogické </w:t>
      </w:r>
      <w:r w:rsidR="00B70D56">
        <w:rPr>
          <w:noProof/>
        </w:rPr>
        <w:t xml:space="preserve">praxe. </w:t>
      </w:r>
      <w:r w:rsidR="000B3B40">
        <w:rPr>
          <w:noProof/>
        </w:rPr>
        <w:t xml:space="preserve">Tato zkušenost se bezpochyby nepřímo projektovala do výběru tématu i některých myšlenek a interpretací </w:t>
      </w:r>
      <w:r w:rsidR="005E2BED">
        <w:rPr>
          <w:noProof/>
        </w:rPr>
        <w:t xml:space="preserve">tvořících jádro této knihy. </w:t>
      </w:r>
      <w:r w:rsidR="009D1E6F">
        <w:rPr>
          <w:noProof/>
        </w:rPr>
        <w:t xml:space="preserve">Dále děkuji Simoně Šebestové za </w:t>
      </w:r>
      <w:r w:rsidR="00246816">
        <w:rPr>
          <w:noProof/>
        </w:rPr>
        <w:t xml:space="preserve">jazykové </w:t>
      </w:r>
      <w:r w:rsidR="009D1E6F">
        <w:rPr>
          <w:noProof/>
        </w:rPr>
        <w:t xml:space="preserve">korektury. </w:t>
      </w:r>
      <w:r w:rsidR="00B52B78">
        <w:rPr>
          <w:noProof/>
        </w:rPr>
        <w:t>P</w:t>
      </w:r>
      <w:r w:rsidR="00F3550D">
        <w:rPr>
          <w:noProof/>
        </w:rPr>
        <w:t>oděkování patří Monice</w:t>
      </w:r>
      <w:r w:rsidR="00224666">
        <w:rPr>
          <w:noProof/>
        </w:rPr>
        <w:t xml:space="preserve"> Foltánové za precizní sazbu, </w:t>
      </w:r>
      <w:r w:rsidR="00EB4C54">
        <w:rPr>
          <w:noProof/>
        </w:rPr>
        <w:t>vstřícné p</w:t>
      </w:r>
      <w:r w:rsidR="00224666">
        <w:rPr>
          <w:noProof/>
        </w:rPr>
        <w:t>ochopení pro mé nadstandardní pož</w:t>
      </w:r>
      <w:r w:rsidR="00DF0EB7">
        <w:rPr>
          <w:noProof/>
        </w:rPr>
        <w:t>a</w:t>
      </w:r>
      <w:r w:rsidR="00224666">
        <w:rPr>
          <w:noProof/>
        </w:rPr>
        <w:t xml:space="preserve">davky a bezchybnou dosavadní spolupráci. </w:t>
      </w:r>
      <w:r w:rsidR="00EB4C54">
        <w:rPr>
          <w:noProof/>
        </w:rPr>
        <w:t>Z</w:t>
      </w:r>
      <w:r w:rsidR="00B70D56">
        <w:rPr>
          <w:noProof/>
        </w:rPr>
        <w:t xml:space="preserve">vláštní uznání patří mojí ženě </w:t>
      </w:r>
      <w:r w:rsidR="00547D88">
        <w:rPr>
          <w:noProof/>
        </w:rPr>
        <w:t xml:space="preserve">Zdeňce </w:t>
      </w:r>
      <w:r w:rsidR="00B70D56">
        <w:rPr>
          <w:noProof/>
        </w:rPr>
        <w:t xml:space="preserve">a synovi Richardovi, neboť </w:t>
      </w:r>
      <w:r w:rsidR="003C2A93">
        <w:rPr>
          <w:noProof/>
        </w:rPr>
        <w:t>vznik této knihy odče</w:t>
      </w:r>
      <w:r w:rsidR="00DF0EB7">
        <w:rPr>
          <w:noProof/>
        </w:rPr>
        <w:t>r</w:t>
      </w:r>
      <w:r w:rsidR="003C2A93">
        <w:rPr>
          <w:noProof/>
        </w:rPr>
        <w:t xml:space="preserve">pával můj čas a energii, které měly patřit především jim. </w:t>
      </w:r>
    </w:p>
    <w:p w:rsidR="00E268A0" w:rsidRPr="00E268A0" w:rsidRDefault="002F4D5A" w:rsidP="00E268A0">
      <w:pPr>
        <w:pStyle w:val="Nadpis1"/>
        <w:numPr>
          <w:ilvl w:val="0"/>
          <w:numId w:val="0"/>
        </w:numPr>
        <w:spacing w:line="276" w:lineRule="auto"/>
        <w:ind w:left="360" w:hanging="360"/>
        <w:jc w:val="both"/>
      </w:pPr>
      <w:r>
        <w:rPr>
          <w:noProof/>
        </w:rPr>
        <w:br w:type="page"/>
      </w:r>
      <w:bookmarkStart w:id="2" w:name="_Toc277756118"/>
      <w:bookmarkStart w:id="3" w:name="_Toc277756575"/>
      <w:bookmarkStart w:id="4" w:name="_Toc399775375"/>
      <w:r w:rsidR="00E268A0" w:rsidRPr="00E268A0">
        <w:lastRenderedPageBreak/>
        <w:t>Úvod</w:t>
      </w:r>
      <w:bookmarkEnd w:id="2"/>
      <w:bookmarkEnd w:id="3"/>
      <w:bookmarkEnd w:id="4"/>
    </w:p>
    <w:p w:rsidR="00E268A0" w:rsidRPr="00E268A0" w:rsidRDefault="00E268A0" w:rsidP="00E268A0">
      <w:pPr>
        <w:spacing w:after="120" w:line="276" w:lineRule="auto"/>
        <w:jc w:val="both"/>
      </w:pPr>
      <w:r w:rsidRPr="00E268A0">
        <w:t xml:space="preserve">Život je řešení problémů. Tak pojmenoval nestor moderní filozofie vědy K. R. Popper jedno ze svých stěžejních děl. Zde mimo jiné upozorňuje, že přírodní vědy, stejně jako vědy společenské vycházejí vždy z problémů; z toho, že něco vzbuzuje náš údiv (Popper, 1997, s. 18). Popperova triáda </w:t>
      </w:r>
      <w:r w:rsidRPr="00E268A0">
        <w:rPr>
          <w:i/>
        </w:rPr>
        <w:t>problém – pokusy o jeho řešení – eliminace problému</w:t>
      </w:r>
      <w:r w:rsidRPr="00E268A0">
        <w:t xml:space="preserve"> patrně stojí v pozadí rozvoje každého jedince i kultury. Možná právě proto řešení problémů v současnosti představuje v kurikulu základních i středních škol jednu z tzv. klíčových kompetencí. Klíčové kompetence se staly hlavní cílovou kategorií školního vzdělávání v průběhu kurikulární reformy, která vstoupila do českých základních škol v roce 2007. Jejím cílem (stejně tak jako většiny reforem předešlých) bylo mimo jiné zavést novou kulturu vyučování a učení a přispět tak k většímu propojení školního vzdělávání s každodenním životem žáků. </w:t>
      </w:r>
      <w:r w:rsidRPr="00E268A0">
        <w:rPr>
          <w:bCs/>
          <w:lang w:eastAsia="en-US"/>
        </w:rPr>
        <w:t>Kompetence měly být hlavním nositelem myšlenky, že</w:t>
      </w:r>
      <w:r w:rsidR="008F321F">
        <w:rPr>
          <w:bCs/>
          <w:lang w:eastAsia="en-US"/>
        </w:rPr>
        <w:t xml:space="preserve"> se žáci nemají jen učit prostřednictvím</w:t>
      </w:r>
      <w:r w:rsidRPr="00E268A0">
        <w:rPr>
          <w:bCs/>
          <w:lang w:eastAsia="en-US"/>
        </w:rPr>
        <w:t xml:space="preserve"> memorování faktů, ale že mají být také kompetentní aplikovat své znalosti v odlišných životních situacích.</w:t>
      </w:r>
    </w:p>
    <w:p w:rsidR="00E268A0" w:rsidRPr="00E268A0" w:rsidRDefault="00E268A0" w:rsidP="00E268A0">
      <w:pPr>
        <w:spacing w:after="120" w:line="276" w:lineRule="auto"/>
        <w:jc w:val="both"/>
      </w:pPr>
      <w:r w:rsidRPr="00E268A0">
        <w:t xml:space="preserve">Kompetenci k řešení problémů není jednoduché definovat. Stručně řečeno se jedná o cílově orientované uvažování a jednání žáků v životu blízkých situacích, pro jejichž zvládnutí nejsou k dispozici rutinní postupy. V této knize prezentujeme oborově didaktický pohled na kompetenci k řešení problémů, přičemž se zaměřujeme především na výuku zeměpisu na druhém stupni českých základních škol. V této knize se snažíme zodpovědět otázku, jaké příležitosti k utváření a rozvíjení kompetence k řešení problémů nabízí učebnice a výuka zeměpisu. Klíčovost klíčových kompetencí spočívá především v tom, že by měly být rozvíjeny napříč všemi vyučovacími předměty. Přestože se nejedná o specificky geografickou cílovou kategorii vzdělávání, není možné opomíjet její místo ani ve výuce zeměpisu. Vycházíme z přesvědčení, že prostřednictvím důrazu na utváření a rozvíjení kompetence k řešení problémů je možné aktivně konstruovat geografické znalosti, dovednosti a postoje. </w:t>
      </w:r>
    </w:p>
    <w:p w:rsidR="00E268A0" w:rsidRPr="00E268A0" w:rsidRDefault="00E268A0" w:rsidP="00E268A0">
      <w:pPr>
        <w:autoSpaceDE w:val="0"/>
        <w:autoSpaceDN w:val="0"/>
        <w:adjustRightInd w:val="0"/>
        <w:spacing w:after="120" w:line="276" w:lineRule="auto"/>
        <w:jc w:val="both"/>
        <w:rPr>
          <w:rFonts w:eastAsia="Calibri"/>
          <w:lang w:eastAsia="en-US"/>
        </w:rPr>
      </w:pPr>
      <w:r w:rsidRPr="00E268A0">
        <w:rPr>
          <w:rFonts w:eastAsia="Calibri"/>
          <w:lang w:eastAsia="en-US"/>
        </w:rPr>
        <w:t xml:space="preserve">Publikace je nepochybně reakcí na výzkumné příležitosti, které se otevřely záhy poté, co se kompetence staly součástí státních i školních kurikulárních dokumentů. S vědomím, že při zavádění nových vyučovacích koncepcí se často přeceňují jejich možnosti, </w:t>
      </w:r>
      <w:r w:rsidR="008F321F">
        <w:rPr>
          <w:rFonts w:eastAsia="Calibri"/>
          <w:lang w:eastAsia="en-US"/>
        </w:rPr>
        <w:t>se snažíme</w:t>
      </w:r>
      <w:r w:rsidRPr="00E268A0">
        <w:rPr>
          <w:rFonts w:eastAsia="Calibri"/>
          <w:lang w:eastAsia="en-US"/>
        </w:rPr>
        <w:t xml:space="preserve"> v předkládané publikaci k problematice utváření a rozvíjení klíčových kompetencí zaujmout realistický postoj. Přestože jsme si vědomi negativních konotací, dilemat a rozporů, které zájem o kompetence ve vzdělávání doprovází</w:t>
      </w:r>
      <w:r w:rsidRPr="00E268A0">
        <w:rPr>
          <w:rFonts w:eastAsia="Calibri"/>
          <w:vertAlign w:val="superscript"/>
          <w:lang w:eastAsia="en-US"/>
        </w:rPr>
        <w:footnoteReference w:id="1"/>
      </w:r>
      <w:r w:rsidRPr="00E268A0">
        <w:rPr>
          <w:rFonts w:eastAsia="Calibri"/>
          <w:lang w:eastAsia="en-US"/>
        </w:rPr>
        <w:t xml:space="preserve">, vnímáme také jistý vzdělávací potenciál, který v sobě kompetence ukrývají. </w:t>
      </w:r>
      <w:r w:rsidRPr="00E268A0">
        <w:t xml:space="preserve">Je třeba odlišovat kritiku pojmu </w:t>
      </w:r>
      <w:r w:rsidRPr="00E268A0">
        <w:rPr>
          <w:i/>
        </w:rPr>
        <w:t>kompetence</w:t>
      </w:r>
      <w:r w:rsidRPr="00E268A0">
        <w:t xml:space="preserve"> a pojetí vzdělávání, které z něj vychází, a konkrétní způsoby uchopení konstruktu kompetencí v empiricko-</w:t>
      </w:r>
      <w:r w:rsidR="00EC315C" w:rsidRPr="00E268A0">
        <w:t>výzkumné</w:t>
      </w:r>
      <w:r w:rsidRPr="00E268A0">
        <w:t xml:space="preserve"> či vzdělávací praxi. </w:t>
      </w:r>
      <w:r w:rsidRPr="00E268A0">
        <w:rPr>
          <w:rFonts w:eastAsia="Calibri"/>
          <w:lang w:eastAsia="en-US"/>
        </w:rPr>
        <w:t xml:space="preserve">Potenciál kompetencí spatřujeme především v oživení zájmu o zkoumání procesů vyučování a učení odehrávajících se ve školních třídách. To otvírá prostor pro další odbornou diskusi a konceptualizaci, která rámec kompetencí přesahuje. </w:t>
      </w:r>
      <w:r w:rsidR="008F321F">
        <w:rPr>
          <w:rFonts w:eastAsia="Calibri"/>
          <w:lang w:eastAsia="en-US"/>
        </w:rPr>
        <w:t>K</w:t>
      </w:r>
      <w:r w:rsidRPr="00E268A0">
        <w:rPr>
          <w:rFonts w:eastAsia="Calibri"/>
          <w:lang w:eastAsia="en-US"/>
        </w:rPr>
        <w:t xml:space="preserve">niha </w:t>
      </w:r>
      <w:r w:rsidR="008F321F">
        <w:rPr>
          <w:rFonts w:eastAsia="Calibri"/>
          <w:lang w:eastAsia="en-US"/>
        </w:rPr>
        <w:t>se snaží</w:t>
      </w:r>
      <w:r w:rsidRPr="00E268A0">
        <w:rPr>
          <w:rFonts w:eastAsia="Calibri"/>
          <w:lang w:eastAsia="en-US"/>
        </w:rPr>
        <w:t xml:space="preserve"> přesvědčit čtenáře, že s kompetencemi je možné pracovat, aniž bychom v zájmu jejich rozvíjení inhibovali učební procesy u žáků, případně polemizovali o užitečnosti všeobecného vzdělání (a základních oborových znalostí) pro žádoucí osobnostní rozvoj jedince. </w:t>
      </w:r>
      <w:r w:rsidR="008F321F">
        <w:rPr>
          <w:rFonts w:eastAsia="Calibri"/>
          <w:lang w:eastAsia="en-US"/>
        </w:rPr>
        <w:t>To dokládá teoretický</w:t>
      </w:r>
      <w:r w:rsidRPr="00E268A0">
        <w:rPr>
          <w:rFonts w:eastAsia="Calibri"/>
          <w:lang w:eastAsia="en-US"/>
        </w:rPr>
        <w:t xml:space="preserve"> rámec práce, který byl vystavěn na základě syntézy pedagogických a psychologických výzkumů. Domníváme se, že ve jménu rozvíjení kompetence k řešení </w:t>
      </w:r>
      <w:r w:rsidRPr="00E268A0">
        <w:rPr>
          <w:rFonts w:eastAsia="Calibri"/>
          <w:lang w:eastAsia="en-US"/>
        </w:rPr>
        <w:lastRenderedPageBreak/>
        <w:t>problémů mohou být ve školní výuce utvářeny didaktické situace, které žáky podněcují k myšlení. Kompetence tak z našeho pohledu představují aktuálně proponovaný kontejnerový termín, jenž může na jedné straně oživovat a rekonstruovat dlouhodobé pedagogické snahy o směřování k větší aktivizaci, samostatnosti a tvořivosti žáků a na druhé straně může být zneužit k legitimaci vědecky neověřených didaktogen</w:t>
      </w:r>
      <w:r w:rsidR="00EC315C">
        <w:rPr>
          <w:rFonts w:eastAsia="Calibri"/>
          <w:lang w:eastAsia="en-US"/>
        </w:rPr>
        <w:t>n</w:t>
      </w:r>
      <w:r w:rsidRPr="00E268A0">
        <w:rPr>
          <w:rFonts w:eastAsia="Calibri"/>
          <w:lang w:eastAsia="en-US"/>
        </w:rPr>
        <w:t xml:space="preserve">ích vzdělávacích koncepcí často </w:t>
      </w:r>
      <w:r w:rsidR="00EC315C" w:rsidRPr="00E268A0">
        <w:rPr>
          <w:rFonts w:eastAsia="Calibri"/>
          <w:lang w:eastAsia="en-US"/>
        </w:rPr>
        <w:t>představující</w:t>
      </w:r>
      <w:r w:rsidR="00EC315C">
        <w:rPr>
          <w:rFonts w:eastAsia="Calibri"/>
          <w:lang w:eastAsia="en-US"/>
        </w:rPr>
        <w:t>ch</w:t>
      </w:r>
      <w:r w:rsidRPr="00E268A0">
        <w:rPr>
          <w:rFonts w:eastAsia="Calibri"/>
          <w:lang w:eastAsia="en-US"/>
        </w:rPr>
        <w:t xml:space="preserve"> líbivou roušku postupné marketizace a ekonomizace vzdělávání. </w:t>
      </w:r>
    </w:p>
    <w:p w:rsidR="00E268A0" w:rsidRPr="00E268A0" w:rsidRDefault="00E268A0" w:rsidP="00E268A0">
      <w:pPr>
        <w:autoSpaceDE w:val="0"/>
        <w:autoSpaceDN w:val="0"/>
        <w:adjustRightInd w:val="0"/>
        <w:spacing w:after="120" w:line="276" w:lineRule="auto"/>
        <w:jc w:val="both"/>
      </w:pPr>
      <w:r w:rsidRPr="00E268A0">
        <w:rPr>
          <w:rFonts w:eastAsia="Calibri"/>
          <w:lang w:eastAsia="en-US"/>
        </w:rPr>
        <w:t xml:space="preserve">Potřebnost a přínosnost prezentovaného výzkumu je možné zdůvodnit také jeho kurikulární relevancí. Kompetence žáků řešit problémy představuje cíl, jehož dosažení se vzhledem k jeho prominentnímu zastoupení v kurikulárních </w:t>
      </w:r>
      <w:r w:rsidR="00A720FB" w:rsidRPr="00E268A0">
        <w:rPr>
          <w:rFonts w:eastAsia="Calibri"/>
          <w:lang w:eastAsia="en-US"/>
        </w:rPr>
        <w:t>dokumentech</w:t>
      </w:r>
      <w:r w:rsidRPr="00E268A0">
        <w:rPr>
          <w:rFonts w:eastAsia="Calibri"/>
          <w:lang w:eastAsia="en-US"/>
        </w:rPr>
        <w:t xml:space="preserve"> od školní výuky očekává. Způsob výběru výzkumného vzorku, jeho skladba a zúžení výzkumu pouze na vybrané tematické celky učiva nám neumožňuje klást si ambice </w:t>
      </w:r>
      <w:r w:rsidRPr="00E268A0">
        <w:t>přispět ke zhodnocení kurikulární reformy</w:t>
      </w:r>
      <w:r w:rsidRPr="00E268A0">
        <w:rPr>
          <w:rFonts w:eastAsia="Calibri"/>
          <w:lang w:eastAsia="en-US"/>
        </w:rPr>
        <w:t xml:space="preserve"> </w:t>
      </w:r>
      <w:r w:rsidRPr="00E268A0">
        <w:t>založené na implementaci rámcových vzdělávacích programů do školních vzdělávacích programů (a následně, pokud možno, do výuky).</w:t>
      </w:r>
      <w:r w:rsidRPr="00E268A0">
        <w:rPr>
          <w:rFonts w:eastAsia="Calibri"/>
          <w:lang w:eastAsia="en-US"/>
        </w:rPr>
        <w:t xml:space="preserve"> Kniha tak volně navazuje na nedávné publikace uvádějící českého čtenáře do problematiky výzkumu kvality kurikula výuky (srov. Janík, 2012; Slavík &amp; Janík, 2012; Janík et al., 2013 aj.) a snaží se v nich uvedené myšlenky dále rozpracovávat a konkretizovat.</w:t>
      </w:r>
      <w:r w:rsidRPr="00E268A0">
        <w:t xml:space="preserve"> Naše úsilí je motivováno snahou lépe a hlouběji porozumět procesům vyučování a učení odehrávajícím se ve školních třídách a potřebou tyto procesy vysvětlit a interpretovat. </w:t>
      </w:r>
    </w:p>
    <w:p w:rsidR="00E268A0" w:rsidRPr="00E268A0" w:rsidRDefault="00E268A0" w:rsidP="00E268A0">
      <w:pPr>
        <w:spacing w:after="120" w:line="276" w:lineRule="auto"/>
        <w:jc w:val="both"/>
      </w:pPr>
      <w:r w:rsidRPr="00E268A0">
        <w:t>V publikaci se snažíme syntetizovat doposud do značné míry izolované teoretické a empirické poznatky obecné didaktiky, oborových didaktik a kognitivní psychologie se zvláštním zřetelem k jejich aplikaci na zkoumání geografických učebních úloh. Učební úlohy a jejich kvalita patří ve všech zmiňovaných vědách k často zkoumaným výzkumným oblastem. Snaha odborně pojednat o problematice stanovování cílů a obsahů vzdělávání a jejich didaktického zprostředkování prostřednictvím učebních úloh se promítla do autorského záměru předkládané publikace. To patrně souvisí s tím, že tradiční oblasti zájmu obecné i oborové didaktiky – výběr vzdělávacích cílů a obsahů, neustále doprovází otázka, jak žákům stanovené cíle a obsahy ve školní výuce nejlépe zprostředkovat. Cílem výzkumu prezentovaného v této knize bylo zjistit, zda učební úlohy v učebnicích a učební úlohy, se kterými jsou žáci konfrontováni ve výuce zeměpisu na 2. stupni ZŠ, mohou podporovat utváření a rozvíjení kompetence k řešení problémů.</w:t>
      </w:r>
      <w:r w:rsidR="00BE2CAC">
        <w:t xml:space="preserve"> </w:t>
      </w:r>
    </w:p>
    <w:p w:rsidR="00E268A0" w:rsidRPr="00E268A0" w:rsidRDefault="00E268A0" w:rsidP="00E268A0">
      <w:pPr>
        <w:spacing w:after="120" w:line="276" w:lineRule="auto"/>
        <w:jc w:val="both"/>
      </w:pPr>
      <w:r w:rsidRPr="00E268A0">
        <w:t xml:space="preserve">Předkládaná práce je výsledkem dvou volněji propojených empirických šetření, </w:t>
      </w:r>
      <w:r w:rsidRPr="00E268A0">
        <w:rPr>
          <w:rFonts w:eastAsia="Calibri"/>
          <w:lang w:eastAsia="en-US"/>
        </w:rPr>
        <w:t xml:space="preserve">v nichž nalézáme odpověď na otázku, zda a jak školní učebnice a školní výuka přispívají k navozování didaktických situací, na jejichž základě by žáci byli kompetentní řešit problémy. </w:t>
      </w:r>
      <w:r w:rsidRPr="00E268A0">
        <w:t>P</w:t>
      </w:r>
      <w:r w:rsidRPr="00E268A0">
        <w:rPr>
          <w:bCs/>
        </w:rPr>
        <w:t xml:space="preserve">osuzování potenciálu učebních úloh pro rozvoj kompetence k řešení problému je založeno na zjišťování toho, do jaké míry tyto úlohy splňují požadavky na příležitosti k rozvíjení této kompetence. </w:t>
      </w:r>
      <w:r w:rsidRPr="00E268A0">
        <w:t>Chceme-li posuzovat potenciality učebnic a výuky pro rozvíjení kompetence k řešení problému, musíme mít představu o tom, čím jsou procesy řešení problému charakteristické a čím se vyznačují výukové situace, v nichž jsou tyto procesy iniciovány a podporovány (viz výše). Tyto charakteristiky je poté třeba v učebnicích a ve výuce identifikovat a následně je podrobit didaktické analýze s cílem posoudit, které jejich dílčí prvky směřují k co nejvyšší možné úrovni ovládnutí kompetence k řešení problému.</w:t>
      </w:r>
    </w:p>
    <w:p w:rsidR="00E268A0" w:rsidRPr="008F321F" w:rsidRDefault="00E268A0" w:rsidP="00E268A0">
      <w:pPr>
        <w:autoSpaceDE w:val="0"/>
        <w:autoSpaceDN w:val="0"/>
        <w:adjustRightInd w:val="0"/>
        <w:spacing w:after="120" w:line="276" w:lineRule="auto"/>
        <w:jc w:val="both"/>
        <w:rPr>
          <w:iCs/>
        </w:rPr>
      </w:pPr>
      <w:r w:rsidRPr="00E268A0">
        <w:t xml:space="preserve">Z hlediska předmětu výzkumu se kniha pohybuje mezi výzkumem kurikulárních dokumentů a výzkumem výuky. Vycházíme z přesvědčení, že analýzy kurikulárních dokumentů jsou užitečným nástrojem pro zlepšování pedagogické teorie i praxe, jejich záběr je ale nutně fragmentární. </w:t>
      </w:r>
      <w:r w:rsidRPr="00E268A0">
        <w:rPr>
          <w:iCs/>
        </w:rPr>
        <w:t xml:space="preserve">Aby bylo možné zkvalitnit proces učení žáků, je třeba věnovat více pozornosti především školní výuce (srov. Hiebert &amp; Grouws, 2007). </w:t>
      </w:r>
      <w:r w:rsidRPr="00E268A0">
        <w:t>Jsou to především učitelé, kteří rozhodují o obsahové náplni školní výuky, tedy o tom, zda a jak podrobně se budou věnovat určitému učivu, v jakém pořadí, a případně se kterými žáky.</w:t>
      </w:r>
      <w:r w:rsidRPr="00E268A0">
        <w:rPr>
          <w:iCs/>
        </w:rPr>
        <w:t xml:space="preserve"> </w:t>
      </w:r>
      <w:r w:rsidRPr="00E268A0">
        <w:t xml:space="preserve">Kniha proto obsahuje také pohledy do výuky, jež </w:t>
      </w:r>
      <w:r w:rsidR="00C3752D" w:rsidRPr="00E268A0">
        <w:t>umožňují</w:t>
      </w:r>
      <w:r w:rsidRPr="00E268A0">
        <w:t xml:space="preserve"> zkoumané téma uchopit ve větší komplexnosti. Metodologické pozadí práce tvoří obsahový přístup ke zkoumání kurikula a výuky (srov. Janík et al., 2013). Kromě kategoriálních systémů použitých pro obsahovou analýzu učebnic kniha rozpracovává metodiku analýzy </w:t>
      </w:r>
      <w:r w:rsidRPr="00E268A0">
        <w:rPr>
          <w:rFonts w:eastAsia="Calibri"/>
          <w:lang w:eastAsia="en-US"/>
        </w:rPr>
        <w:t>výukových situací, jejich vlastností, důsledků, a jevů, které doprovázejí procesy vyučování a učení.</w:t>
      </w:r>
      <w:r w:rsidR="008F321F">
        <w:rPr>
          <w:iCs/>
        </w:rPr>
        <w:t xml:space="preserve"> </w:t>
      </w:r>
      <w:r w:rsidR="008F321F">
        <w:t>Práce</w:t>
      </w:r>
      <w:r w:rsidRPr="00E268A0">
        <w:t xml:space="preserve"> se žánrově blíží zprávě z </w:t>
      </w:r>
      <w:r w:rsidRPr="00E268A0">
        <w:rPr>
          <w:rFonts w:eastAsia="CenturySchL-Roma"/>
        </w:rPr>
        <w:t xml:space="preserve">pedagogického výzkumu aplikovaného na podmínky zeměpisu jako vyučovacího předmětu (srov. Machyček, 1984, s. 23). V souladu s </w:t>
      </w:r>
      <w:r w:rsidRPr="00E268A0">
        <w:t xml:space="preserve">Mezinárodní chartou geografického vzdělávání prostřednictvím výzkumu usilujeme zkvalitňování geografického vzdělávání a snažíme se přispět k rozvoji obecnějších teorií vyučování a učení (srov. Haubrich, 1994, s. 16). </w:t>
      </w:r>
    </w:p>
    <w:p w:rsidR="00E268A0" w:rsidRPr="00E268A0" w:rsidRDefault="008F321F" w:rsidP="00E268A0">
      <w:pPr>
        <w:spacing w:after="120" w:line="276" w:lineRule="auto"/>
        <w:jc w:val="both"/>
        <w:rPr>
          <w:rFonts w:eastAsia="Calibri"/>
          <w:lang w:eastAsia="en-US"/>
        </w:rPr>
      </w:pPr>
      <w:r>
        <w:t>Publikace</w:t>
      </w:r>
      <w:r w:rsidR="00E268A0" w:rsidRPr="00E268A0">
        <w:t xml:space="preserve"> je rozdělena na dvě části. První část se pojednává o kompetencích jako cílové kategorii školního vzdělávání, následuje vymezení problémového vyučování a učení </w:t>
      </w:r>
      <w:r w:rsidR="00C3752D" w:rsidRPr="00E268A0">
        <w:t>včetně popisu</w:t>
      </w:r>
      <w:r w:rsidR="00E268A0" w:rsidRPr="00E268A0">
        <w:t xml:space="preserve"> jeho dílčích komponent. Samostatnou kapitolu věnujeme učebním úlohám a znalostem, neboť učební úlohy směřující k osvojování různých typů znalostí patří ke klíčovým determinantám utváření a rozvíjení kompetence k řešení problémů. Každá z hlavních kapitol je zakončena shrnutím, v němž explicitně uvádíme, jak poznatky prezentované v jednotlivých kapitolách podpírají ideové nastavení a metodiku výzkumu popisovaného v druhé části práce. První část knihy je zakončena syntetickou kapitolou, jejíž součástí je námi navržený teoretický model příležitostí k utváření a rozvíjení kompetence k řešení problémů v učebnicích a ve výuce zeměpisu. </w:t>
      </w:r>
      <w:r w:rsidR="00E268A0" w:rsidRPr="00E268A0">
        <w:rPr>
          <w:rFonts w:eastAsia="Calibri"/>
          <w:lang w:eastAsia="en-US"/>
        </w:rPr>
        <w:t>Samotný výzkum popisovaný ve druhé části knihy se konce</w:t>
      </w:r>
      <w:r>
        <w:rPr>
          <w:rFonts w:eastAsia="Calibri"/>
          <w:lang w:eastAsia="en-US"/>
        </w:rPr>
        <w:t>n</w:t>
      </w:r>
      <w:r w:rsidR="00E268A0" w:rsidRPr="00E268A0">
        <w:rPr>
          <w:rFonts w:eastAsia="Calibri"/>
          <w:lang w:eastAsia="en-US"/>
        </w:rPr>
        <w:t>truje na analýzu učebních úloh v učebnicích a ve výuce zeměpisu. Kapitola d</w:t>
      </w:r>
      <w:r>
        <w:rPr>
          <w:rFonts w:eastAsia="Calibri"/>
          <w:lang w:eastAsia="en-US"/>
        </w:rPr>
        <w:t>iskuse a závěr jsou pojaty šíře,</w:t>
      </w:r>
      <w:r w:rsidR="00E268A0" w:rsidRPr="00E268A0">
        <w:rPr>
          <w:rFonts w:eastAsia="Calibri"/>
          <w:lang w:eastAsia="en-US"/>
        </w:rPr>
        <w:t xml:space="preserve"> než je tomu v obdobných pracích obvyklé. Je to především proto, že kniha má ambici oslovit nejen čtenáře se zájmem o odpovědi na stanov</w:t>
      </w:r>
      <w:r>
        <w:rPr>
          <w:rFonts w:eastAsia="Calibri"/>
          <w:lang w:eastAsia="en-US"/>
        </w:rPr>
        <w:t>e</w:t>
      </w:r>
      <w:r w:rsidR="00E268A0" w:rsidRPr="00E268A0">
        <w:rPr>
          <w:rFonts w:eastAsia="Calibri"/>
          <w:lang w:eastAsia="en-US"/>
        </w:rPr>
        <w:t xml:space="preserve">né výzkumné otázky (ty lze ostatně mnohdy předpovědět), ale klade si za cíl přispět do diskuse o aktuálním stavu geografického vzdělávání a didaktiky geografie v Česku. Jako úplná tečka jsou v závěru uvedena konkrétní doporučení pro vzdělávací politiku, tvorbu učebnic a praxi. Snažíme se tím alespoň částečně vyslyšet požadavek na přemosťování nesourodých světů politiků/úředníků, teoretiků a praktiků (o problému podrobněji pojednává Šíp, 2013). </w:t>
      </w:r>
    </w:p>
    <w:p w:rsidR="00E268A0" w:rsidRPr="00E268A0" w:rsidRDefault="00E268A0" w:rsidP="00E268A0">
      <w:pPr>
        <w:spacing w:after="120" w:line="276" w:lineRule="auto"/>
        <w:jc w:val="both"/>
        <w:rPr>
          <w:rFonts w:eastAsia="Calibri"/>
          <w:lang w:eastAsia="en-US"/>
        </w:rPr>
      </w:pPr>
      <w:r w:rsidRPr="00E268A0">
        <w:t>V knize se prostřednictvím jejího autora zrcadlí pohledy pedagogického výzkumníka, vzdělavatele učitelů, oborového didaktika a praktikujícího učitele. Od toho se taktéž odvíjí představa o jejím ideálně typickém čtenáři. Kniha je určena především odborníkům a čtenářům s hlubším zájmem o obecnou a oborovou didaktiku, kurikulum a výzkum školního vzdělávání. Tajně doufáme, že by mohla zaujmout také angažované učitele, tvůrce kurikula a zástupce vzdělávací politiky.</w:t>
      </w:r>
    </w:p>
    <w:p w:rsidR="00E268A0" w:rsidRPr="00E268A0" w:rsidRDefault="00E268A0" w:rsidP="00E268A0">
      <w:pPr>
        <w:spacing w:line="276" w:lineRule="auto"/>
        <w:jc w:val="both"/>
      </w:pPr>
      <w:r w:rsidRPr="00E268A0">
        <w:t xml:space="preserve">Ačkoliv je publikace na mnoha místech zasazena do kontextu geografického vzdělávání, jsme přesvědčeni, že struktura, obsah i prezentované myšlenky mají mezioborový přesah a mohou být aplikovatelné také v jiných oborech. Tím se zároveň hlásíme k myšlence transdisciplinární didaktiky, která je svým narativním a vysvětlujícím přístupem zacíleně a přitom se zřetelem ke vzdělávacím obsahům jednotlivých oborů přispívá k hlubšímu porozumění, pochopení a reflexi aktuálních problémů (geografického) vzdělávání. Kniha není návodem k vyučování, ačkoliv hlavním zdrojem inspirace při hledání výzkumného problému byla pedagogická praxe. Připouštíme proto, že nejeden zkušenější čtenář může v knize najít cennou inspiraci pro realizaci výuky </w:t>
      </w:r>
      <w:r w:rsidR="008F321F">
        <w:t xml:space="preserve">(nejen) </w:t>
      </w:r>
      <w:r w:rsidRPr="00E268A0">
        <w:t xml:space="preserve">zeměpisu. Řešení geografických problémů totiž umožňuje žákům poznat a pochopit svět, ve kterém žijí. </w:t>
      </w:r>
    </w:p>
    <w:p w:rsidR="00E268A0" w:rsidRPr="00E268A0" w:rsidRDefault="00E268A0" w:rsidP="00E268A0">
      <w:pPr>
        <w:spacing w:after="120" w:line="276" w:lineRule="auto"/>
        <w:jc w:val="both"/>
      </w:pPr>
    </w:p>
    <w:p w:rsidR="00E268A0" w:rsidRPr="00E268A0" w:rsidRDefault="00E268A0" w:rsidP="00E268A0">
      <w:pPr>
        <w:spacing w:after="120" w:line="360" w:lineRule="auto"/>
        <w:jc w:val="both"/>
      </w:pPr>
      <w:r w:rsidRPr="00E268A0">
        <w:t>V Brně, 11. 11. 2014</w:t>
      </w:r>
    </w:p>
    <w:p w:rsidR="00E268A0" w:rsidRPr="00E268A0" w:rsidRDefault="00E268A0" w:rsidP="00E268A0">
      <w:pPr>
        <w:spacing w:after="120" w:line="360" w:lineRule="auto"/>
        <w:jc w:val="right"/>
        <w:rPr>
          <w:i/>
        </w:rPr>
      </w:pPr>
      <w:r w:rsidRPr="00E268A0">
        <w:rPr>
          <w:i/>
        </w:rPr>
        <w:t>Petr Knecht</w:t>
      </w:r>
    </w:p>
    <w:p w:rsidR="00EF22FC" w:rsidRPr="00A725E3" w:rsidRDefault="003347D7" w:rsidP="00E268A0">
      <w:pPr>
        <w:pStyle w:val="Nadpis1"/>
        <w:numPr>
          <w:ilvl w:val="0"/>
          <w:numId w:val="0"/>
        </w:numPr>
        <w:spacing w:line="276" w:lineRule="auto"/>
        <w:ind w:left="360" w:hanging="360"/>
        <w:jc w:val="both"/>
      </w:pPr>
      <w:r>
        <w:br w:type="page"/>
      </w:r>
      <w:bookmarkStart w:id="5" w:name="_Toc399775376"/>
      <w:r w:rsidR="00997193" w:rsidRPr="00A725E3">
        <w:t>Vymezení problematiky</w:t>
      </w:r>
      <w:r w:rsidR="0076561B" w:rsidRPr="00A725E3">
        <w:t xml:space="preserve"> a základních pojmů</w:t>
      </w:r>
      <w:bookmarkEnd w:id="5"/>
    </w:p>
    <w:p w:rsidR="008D7B5D" w:rsidRPr="004620A0" w:rsidRDefault="00AD2E2A" w:rsidP="00572C06">
      <w:pPr>
        <w:autoSpaceDE w:val="0"/>
        <w:autoSpaceDN w:val="0"/>
        <w:adjustRightInd w:val="0"/>
        <w:spacing w:after="120" w:line="276" w:lineRule="auto"/>
        <w:jc w:val="both"/>
        <w:rPr>
          <w:i/>
          <w:iCs/>
        </w:rPr>
      </w:pPr>
      <w:r w:rsidRPr="004620A0">
        <w:rPr>
          <w:i/>
          <w:iCs/>
        </w:rPr>
        <w:t>V</w:t>
      </w:r>
      <w:r w:rsidR="006B4C2C" w:rsidRPr="004620A0">
        <w:rPr>
          <w:i/>
          <w:iCs/>
        </w:rPr>
        <w:t> této kapitole</w:t>
      </w:r>
      <w:r w:rsidRPr="004620A0">
        <w:rPr>
          <w:i/>
          <w:iCs/>
        </w:rPr>
        <w:t xml:space="preserve"> </w:t>
      </w:r>
      <w:r w:rsidR="008D7B5D" w:rsidRPr="004620A0">
        <w:rPr>
          <w:i/>
          <w:iCs/>
        </w:rPr>
        <w:t xml:space="preserve">je představen obecný teoretický a konceptuální rámec výzkumu příležitostí k utváření a rozvíjení kompetence k řešení problémů v učebnicích a ve výuce zeměpisu. </w:t>
      </w:r>
      <w:r w:rsidR="00FC5029">
        <w:rPr>
          <w:i/>
          <w:iCs/>
        </w:rPr>
        <w:t xml:space="preserve">Nejprve </w:t>
      </w:r>
      <w:r w:rsidR="0022279E">
        <w:rPr>
          <w:i/>
          <w:iCs/>
        </w:rPr>
        <w:t>zasazujeme výzkum učebních úloh do kontextu zkoumání kvality výuky a příležitostí k</w:t>
      </w:r>
      <w:r w:rsidR="00770681">
        <w:rPr>
          <w:i/>
          <w:iCs/>
        </w:rPr>
        <w:t> </w:t>
      </w:r>
      <w:r w:rsidR="0022279E">
        <w:rPr>
          <w:i/>
          <w:iCs/>
        </w:rPr>
        <w:t>učení</w:t>
      </w:r>
      <w:r w:rsidR="00770681">
        <w:rPr>
          <w:i/>
          <w:iCs/>
        </w:rPr>
        <w:t>, tematicky vymezujeme a zdůvodňujeme výzkumné pole, na němž se pohybujeme a představujeme vybrané teorie stojící v pozadí</w:t>
      </w:r>
      <w:r w:rsidR="0022279E">
        <w:rPr>
          <w:i/>
          <w:iCs/>
        </w:rPr>
        <w:t xml:space="preserve">. </w:t>
      </w:r>
      <w:r w:rsidR="00770681">
        <w:rPr>
          <w:i/>
          <w:iCs/>
        </w:rPr>
        <w:t xml:space="preserve">Stěžejní část kapitoly tvoří </w:t>
      </w:r>
      <w:r w:rsidR="005B7661">
        <w:rPr>
          <w:i/>
          <w:iCs/>
        </w:rPr>
        <w:t>úsilí o definování a</w:t>
      </w:r>
      <w:r w:rsidR="004B77F7">
        <w:rPr>
          <w:i/>
          <w:iCs/>
        </w:rPr>
        <w:t xml:space="preserve"> operacionalizaci klíčových konceptů, na nichž je </w:t>
      </w:r>
      <w:r w:rsidR="007F1F60">
        <w:rPr>
          <w:i/>
          <w:iCs/>
        </w:rPr>
        <w:t>výzkum prezentovaný v této práci postaven. Jedná se o novou kulturu vyučování a učení, kompetence</w:t>
      </w:r>
      <w:r w:rsidR="008D7B5D" w:rsidRPr="004620A0">
        <w:rPr>
          <w:i/>
          <w:iCs/>
        </w:rPr>
        <w:t xml:space="preserve"> ve vzdělávání, koncept řešení problémů a </w:t>
      </w:r>
      <w:r w:rsidR="00820258">
        <w:rPr>
          <w:i/>
          <w:iCs/>
        </w:rPr>
        <w:t xml:space="preserve">problémového vyučování a učení. Na základě vymezení klíčových makrokonceptů v závěru kapitoly </w:t>
      </w:r>
      <w:r w:rsidR="007705A2">
        <w:rPr>
          <w:i/>
          <w:iCs/>
        </w:rPr>
        <w:t>navrhujeme</w:t>
      </w:r>
      <w:r w:rsidR="00566AA5" w:rsidRPr="004620A0">
        <w:rPr>
          <w:i/>
          <w:iCs/>
        </w:rPr>
        <w:t xml:space="preserve"> </w:t>
      </w:r>
      <w:r w:rsidR="007F1F60">
        <w:rPr>
          <w:i/>
          <w:iCs/>
        </w:rPr>
        <w:t xml:space="preserve">ideálně typické </w:t>
      </w:r>
      <w:r w:rsidR="008D7B5D" w:rsidRPr="004620A0">
        <w:rPr>
          <w:i/>
          <w:iCs/>
        </w:rPr>
        <w:t xml:space="preserve">charakteristiky učebních úloh, které mohou </w:t>
      </w:r>
      <w:r w:rsidR="007F1F60">
        <w:rPr>
          <w:i/>
          <w:iCs/>
        </w:rPr>
        <w:t>podporovat</w:t>
      </w:r>
      <w:r w:rsidR="008D7B5D" w:rsidRPr="004620A0">
        <w:rPr>
          <w:i/>
          <w:iCs/>
        </w:rPr>
        <w:t xml:space="preserve"> utváření a rozvíjení kompetence k řešení problémů </w:t>
      </w:r>
      <w:r w:rsidR="007F1F60">
        <w:rPr>
          <w:i/>
          <w:iCs/>
        </w:rPr>
        <w:t>ve výuce zeměpisu</w:t>
      </w:r>
      <w:r w:rsidR="008D7B5D" w:rsidRPr="004620A0">
        <w:rPr>
          <w:i/>
          <w:iCs/>
        </w:rPr>
        <w:t>.</w:t>
      </w:r>
    </w:p>
    <w:p w:rsidR="00B7409D" w:rsidRDefault="00B7409D" w:rsidP="00572C06">
      <w:pPr>
        <w:autoSpaceDE w:val="0"/>
        <w:autoSpaceDN w:val="0"/>
        <w:adjustRightInd w:val="0"/>
        <w:spacing w:after="120" w:line="276" w:lineRule="auto"/>
        <w:jc w:val="both"/>
        <w:rPr>
          <w:iCs/>
        </w:rPr>
      </w:pPr>
    </w:p>
    <w:p w:rsidR="007A60AE" w:rsidRDefault="000147ED" w:rsidP="004A0F52">
      <w:pPr>
        <w:pStyle w:val="Nadpis2"/>
      </w:pPr>
      <w:bookmarkStart w:id="6" w:name="_Toc399775377"/>
      <w:r>
        <w:t>U</w:t>
      </w:r>
      <w:r w:rsidR="001841AB">
        <w:t>čební</w:t>
      </w:r>
      <w:r w:rsidR="007A60AE">
        <w:t xml:space="preserve"> úloh</w:t>
      </w:r>
      <w:r>
        <w:t>y jako jeden z pilířů kvality výuky</w:t>
      </w:r>
      <w:r w:rsidR="007A60AE">
        <w:t xml:space="preserve"> </w:t>
      </w:r>
      <w:r w:rsidR="001841AB">
        <w:t>a příležitostí k učení</w:t>
      </w:r>
      <w:bookmarkEnd w:id="6"/>
    </w:p>
    <w:p w:rsidR="00566AA5" w:rsidRDefault="00566AA5" w:rsidP="00572C06">
      <w:pPr>
        <w:autoSpaceDE w:val="0"/>
        <w:autoSpaceDN w:val="0"/>
        <w:adjustRightInd w:val="0"/>
        <w:spacing w:after="120" w:line="276" w:lineRule="auto"/>
        <w:jc w:val="both"/>
      </w:pPr>
      <w:r w:rsidRPr="00B866BE">
        <w:t>Tato publikace vznikala v době, kdy se poměrně otevřeně hovořilo o negativních důsledcích reformy založené na decentralizaci kurikula</w:t>
      </w:r>
      <w:r w:rsidR="00D021D2" w:rsidRPr="00B866BE">
        <w:t xml:space="preserve"> (srov. Janík, 2013; Štech, 2013)</w:t>
      </w:r>
      <w:r w:rsidRPr="00B866BE">
        <w:t xml:space="preserve">. </w:t>
      </w:r>
      <w:r w:rsidR="00C8308C" w:rsidRPr="00523E0F">
        <w:t xml:space="preserve">Přes veskrze negativní </w:t>
      </w:r>
      <w:r w:rsidR="00EC315C" w:rsidRPr="00523E0F">
        <w:t>bilanci</w:t>
      </w:r>
      <w:r w:rsidR="00C8308C" w:rsidRPr="00523E0F">
        <w:t xml:space="preserve"> doznívající reformy jsme přesvědčeni, že není </w:t>
      </w:r>
      <w:r w:rsidR="00EC315C" w:rsidRPr="00523E0F">
        <w:t>bezpodmínečn</w:t>
      </w:r>
      <w:r w:rsidR="00EC315C">
        <w:t>ě</w:t>
      </w:r>
      <w:r w:rsidR="00C8308C" w:rsidRPr="00523E0F">
        <w:t xml:space="preserve"> nutné popírat či zavrhovat výuku, jež si klade za cíl utvářet a rozvíjet kompetence.</w:t>
      </w:r>
      <w:r w:rsidR="00C8308C">
        <w:t xml:space="preserve"> </w:t>
      </w:r>
      <w:r w:rsidR="00C24E87">
        <w:t>Přestože jsou kompetence jako cílová kategorie vzdělávání častým terčem kritiky, není možné jim odepřít zásluhu na obnovení zájmu</w:t>
      </w:r>
      <w:r w:rsidR="00C24E87" w:rsidRPr="00B866BE">
        <w:t xml:space="preserve"> o </w:t>
      </w:r>
      <w:r w:rsidR="00C24E87">
        <w:t xml:space="preserve">zkoumání </w:t>
      </w:r>
      <w:r w:rsidR="00C24E87" w:rsidRPr="00B866BE">
        <w:t>kvalit</w:t>
      </w:r>
      <w:r w:rsidR="00C24E87">
        <w:t>y</w:t>
      </w:r>
      <w:r w:rsidR="00C24E87" w:rsidRPr="00B866BE">
        <w:t xml:space="preserve"> výuky. </w:t>
      </w:r>
      <w:r w:rsidR="00C24E87">
        <w:t>Dle některých autorů právě o</w:t>
      </w:r>
      <w:r w:rsidR="00C05942" w:rsidRPr="00523E0F">
        <w:t>rientace na kompetence</w:t>
      </w:r>
      <w:r w:rsidR="00F02D5B">
        <w:t xml:space="preserve"> tvoří jeden ze základních pilířů kvality výuky </w:t>
      </w:r>
      <w:r w:rsidR="00C05942">
        <w:t xml:space="preserve">(srov. např. Helmke, </w:t>
      </w:r>
      <w:r w:rsidR="00C05942" w:rsidRPr="00523E0F">
        <w:t>2007, s. 42)</w:t>
      </w:r>
      <w:r w:rsidR="00C05942">
        <w:t xml:space="preserve">. </w:t>
      </w:r>
      <w:r w:rsidR="00F02D5B">
        <w:t>K</w:t>
      </w:r>
      <w:r w:rsidR="00F02D5B" w:rsidRPr="00523E0F">
        <w:t>valita výuky</w:t>
      </w:r>
      <w:r w:rsidR="00F02D5B">
        <w:t xml:space="preserve"> se u nás </w:t>
      </w:r>
      <w:r w:rsidR="00EC315C" w:rsidRPr="00523E0F">
        <w:t>usadila</w:t>
      </w:r>
      <w:r w:rsidR="00EC315C">
        <w:t xml:space="preserve"> </w:t>
      </w:r>
      <w:r w:rsidR="00F02D5B">
        <w:t>(s</w:t>
      </w:r>
      <w:r w:rsidR="00B866BE">
        <w:t>tejně jako o n</w:t>
      </w:r>
      <w:r w:rsidR="00F02D5B">
        <w:t xml:space="preserve">ěkolik let dříve v zahraničí; </w:t>
      </w:r>
      <w:r w:rsidR="00B866BE">
        <w:t xml:space="preserve">srov. </w:t>
      </w:r>
      <w:r w:rsidR="00C71E2D">
        <w:t xml:space="preserve">např. </w:t>
      </w:r>
      <w:r w:rsidR="00B866BE" w:rsidRPr="00523E0F">
        <w:t xml:space="preserve">Helmke, </w:t>
      </w:r>
      <w:r w:rsidR="005578A9" w:rsidRPr="00523E0F">
        <w:t xml:space="preserve">2007, </w:t>
      </w:r>
      <w:r w:rsidR="00B866BE" w:rsidRPr="00523E0F">
        <w:t>2009</w:t>
      </w:r>
      <w:r w:rsidR="00F02D5B">
        <w:t xml:space="preserve"> aj.</w:t>
      </w:r>
      <w:r w:rsidR="00B866BE" w:rsidRPr="00523E0F">
        <w:t xml:space="preserve">) </w:t>
      </w:r>
      <w:r w:rsidRPr="00523E0F">
        <w:t>jako teoretický makrokoncept (srov. Janík</w:t>
      </w:r>
      <w:r w:rsidR="00DE17DF" w:rsidRPr="00523E0F">
        <w:t>, 2012</w:t>
      </w:r>
      <w:r w:rsidRPr="00523E0F">
        <w:t>) a následně také jako metodologický rámec podporující obsahově orientovanou analýzu výuky</w:t>
      </w:r>
      <w:r w:rsidR="00DE17DF" w:rsidRPr="00523E0F">
        <w:t xml:space="preserve"> (srov. Janík et al., 2013)</w:t>
      </w:r>
      <w:r w:rsidRPr="00523E0F">
        <w:t xml:space="preserve">. </w:t>
      </w:r>
      <w:r w:rsidR="00C6738C" w:rsidRPr="00523E0F">
        <w:t xml:space="preserve">Jelikož obsahový i metodologický záběr </w:t>
      </w:r>
      <w:r w:rsidR="00833381">
        <w:t>hodnocení (měření)</w:t>
      </w:r>
      <w:r w:rsidR="00C6738C" w:rsidRPr="00523E0F">
        <w:t xml:space="preserve"> kvality výuky je poměrně široký</w:t>
      </w:r>
      <w:r w:rsidR="00F02D5B">
        <w:t xml:space="preserve"> (srov. </w:t>
      </w:r>
      <w:r w:rsidR="00F02D5B" w:rsidRPr="002F7C1F">
        <w:t xml:space="preserve">obr. </w:t>
      </w:r>
      <w:r w:rsidR="002F7C1F" w:rsidRPr="002F7C1F">
        <w:t>1</w:t>
      </w:r>
      <w:r w:rsidR="00F02D5B" w:rsidRPr="002F7C1F">
        <w:t>)</w:t>
      </w:r>
      <w:r w:rsidR="00C6738C" w:rsidRPr="002F7C1F">
        <w:t xml:space="preserve">, v této práci se zaměřujeme pouze na </w:t>
      </w:r>
      <w:r w:rsidR="00233B54" w:rsidRPr="002F7C1F">
        <w:t>oblast vzdělávací nabídky, kterou zde</w:t>
      </w:r>
      <w:r w:rsidR="00C6738C" w:rsidRPr="002F7C1F">
        <w:t xml:space="preserve"> představují problémově</w:t>
      </w:r>
      <w:r w:rsidR="00C6738C" w:rsidRPr="00523E0F">
        <w:t xml:space="preserve"> orientované učební úlohy. </w:t>
      </w:r>
      <w:r w:rsidR="00233B54">
        <w:t>N</w:t>
      </w:r>
      <w:r w:rsidR="00612A1A" w:rsidRPr="001841AB">
        <w:t xml:space="preserve">ezabýváme </w:t>
      </w:r>
      <w:r w:rsidR="008742F1">
        <w:t xml:space="preserve">se </w:t>
      </w:r>
      <w:r w:rsidR="00612A1A" w:rsidRPr="001841AB">
        <w:t xml:space="preserve">individuální diagnostikou kompetencí, neboť ta výrazně překračuje reálné časové, finanční i odborné zdroje výzkumného projektu, jehož výstupem je předkládaná publikace. Čtenáře na tuto skutečnost explicitně upozorňujeme, abychom předešli nedorozumění vyplývajícího </w:t>
      </w:r>
      <w:r w:rsidR="008742F1" w:rsidRPr="001841AB">
        <w:t xml:space="preserve">například </w:t>
      </w:r>
      <w:r w:rsidR="008742F1">
        <w:t>z toho</w:t>
      </w:r>
      <w:r w:rsidR="00612A1A" w:rsidRPr="001841AB">
        <w:t>, že termín kompetence je zmíněn také v názvu práce.</w:t>
      </w:r>
    </w:p>
    <w:p w:rsidR="007E3987" w:rsidRDefault="00CC3EEA" w:rsidP="009F699B">
      <w:pPr>
        <w:autoSpaceDE w:val="0"/>
        <w:autoSpaceDN w:val="0"/>
        <w:adjustRightInd w:val="0"/>
        <w:spacing w:after="120" w:line="276" w:lineRule="auto"/>
        <w:jc w:val="center"/>
      </w:pPr>
      <w:r>
        <w:rPr>
          <w:noProof/>
        </w:rPr>
        <w:drawing>
          <wp:inline distT="0" distB="0" distL="0" distR="0">
            <wp:extent cx="3752096" cy="3249175"/>
            <wp:effectExtent l="19050" t="0" r="754" b="0"/>
            <wp:docPr id="6" name="Obrázek 5" descr="Obrázek 2.7._Helmkeho model kvality výuk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7._Helmkeho model kvality výuky.png"/>
                    <pic:cNvPicPr/>
                  </pic:nvPicPr>
                  <pic:blipFill>
                    <a:blip r:embed="rId12" cstate="print"/>
                    <a:stretch>
                      <a:fillRect/>
                    </a:stretch>
                  </pic:blipFill>
                  <pic:spPr>
                    <a:xfrm>
                      <a:off x="0" y="0"/>
                      <a:ext cx="3752096" cy="3249175"/>
                    </a:xfrm>
                    <a:prstGeom prst="rect">
                      <a:avLst/>
                    </a:prstGeom>
                  </pic:spPr>
                </pic:pic>
              </a:graphicData>
            </a:graphic>
          </wp:inline>
        </w:drawing>
      </w:r>
    </w:p>
    <w:p w:rsidR="00EC6321" w:rsidRPr="00EC6321" w:rsidRDefault="00EC6321" w:rsidP="00EC6321">
      <w:pPr>
        <w:pStyle w:val="Titulek"/>
        <w:jc w:val="both"/>
        <w:rPr>
          <w:b w:val="0"/>
          <w:sz w:val="24"/>
        </w:rPr>
      </w:pPr>
      <w:bookmarkStart w:id="7" w:name="_Toc399789139"/>
      <w:r w:rsidRPr="00EC6321">
        <w:rPr>
          <w:b w:val="0"/>
          <w:i/>
          <w:sz w:val="24"/>
        </w:rPr>
        <w:t xml:space="preserve">Obrázek </w:t>
      </w:r>
      <w:r w:rsidR="003818A1" w:rsidRPr="00EC6321">
        <w:rPr>
          <w:b w:val="0"/>
          <w:i/>
          <w:sz w:val="24"/>
        </w:rPr>
        <w:fldChar w:fldCharType="begin"/>
      </w:r>
      <w:r w:rsidRPr="00EC6321">
        <w:rPr>
          <w:b w:val="0"/>
          <w:i/>
          <w:sz w:val="24"/>
        </w:rPr>
        <w:instrText xml:space="preserve"> SEQ Obrázek \* ARABIC </w:instrText>
      </w:r>
      <w:r w:rsidR="003818A1" w:rsidRPr="00EC6321">
        <w:rPr>
          <w:b w:val="0"/>
          <w:i/>
          <w:sz w:val="24"/>
        </w:rPr>
        <w:fldChar w:fldCharType="separate"/>
      </w:r>
      <w:r w:rsidR="00FB20B9">
        <w:rPr>
          <w:b w:val="0"/>
          <w:i/>
          <w:noProof/>
          <w:sz w:val="24"/>
        </w:rPr>
        <w:t>1</w:t>
      </w:r>
      <w:r w:rsidR="003818A1" w:rsidRPr="00EC6321">
        <w:rPr>
          <w:b w:val="0"/>
          <w:i/>
          <w:sz w:val="24"/>
        </w:rPr>
        <w:fldChar w:fldCharType="end"/>
      </w:r>
      <w:r w:rsidRPr="00EC6321">
        <w:rPr>
          <w:b w:val="0"/>
          <w:i/>
          <w:sz w:val="24"/>
        </w:rPr>
        <w:t>.</w:t>
      </w:r>
      <w:r w:rsidRPr="00EC6321">
        <w:rPr>
          <w:b w:val="0"/>
          <w:sz w:val="24"/>
        </w:rPr>
        <w:t xml:space="preserve"> Helmkeho model kvality výuky.</w:t>
      </w:r>
      <w:bookmarkEnd w:id="7"/>
    </w:p>
    <w:p w:rsidR="007E3987" w:rsidRPr="009D514E" w:rsidRDefault="00CA587F" w:rsidP="00572C06">
      <w:pPr>
        <w:autoSpaceDE w:val="0"/>
        <w:autoSpaceDN w:val="0"/>
        <w:adjustRightInd w:val="0"/>
        <w:spacing w:after="120" w:line="276" w:lineRule="auto"/>
        <w:jc w:val="both"/>
        <w:rPr>
          <w:sz w:val="20"/>
        </w:rPr>
      </w:pPr>
      <w:r w:rsidRPr="009D514E">
        <w:rPr>
          <w:sz w:val="20"/>
        </w:rPr>
        <w:t>Pozn. U</w:t>
      </w:r>
      <w:r w:rsidR="00EC6321">
        <w:rPr>
          <w:sz w:val="20"/>
        </w:rPr>
        <w:t>praveno podle Helmkeho (</w:t>
      </w:r>
      <w:r w:rsidR="007E3987" w:rsidRPr="009D514E">
        <w:rPr>
          <w:sz w:val="20"/>
        </w:rPr>
        <w:t>2007, s. 42</w:t>
      </w:r>
      <w:r w:rsidR="00EC6321">
        <w:rPr>
          <w:sz w:val="20"/>
        </w:rPr>
        <w:t>)</w:t>
      </w:r>
      <w:r w:rsidRPr="009D514E">
        <w:rPr>
          <w:sz w:val="20"/>
        </w:rPr>
        <w:t>. P</w:t>
      </w:r>
      <w:r w:rsidR="007E3987" w:rsidRPr="009D514E">
        <w:rPr>
          <w:sz w:val="20"/>
        </w:rPr>
        <w:t>řevzato z</w:t>
      </w:r>
      <w:r w:rsidR="00555E50" w:rsidRPr="009D514E">
        <w:rPr>
          <w:sz w:val="20"/>
        </w:rPr>
        <w:t xml:space="preserve"> Janík </w:t>
      </w:r>
      <w:r w:rsidR="00964B6B">
        <w:rPr>
          <w:sz w:val="20"/>
        </w:rPr>
        <w:t>a kol</w:t>
      </w:r>
      <w:r w:rsidR="00555E50" w:rsidRPr="009D514E">
        <w:rPr>
          <w:sz w:val="20"/>
        </w:rPr>
        <w:t>.</w:t>
      </w:r>
      <w:r w:rsidRPr="009D514E">
        <w:rPr>
          <w:sz w:val="20"/>
        </w:rPr>
        <w:t xml:space="preserve"> (</w:t>
      </w:r>
      <w:r w:rsidR="00555E50" w:rsidRPr="009D514E">
        <w:rPr>
          <w:sz w:val="20"/>
        </w:rPr>
        <w:t>2013, s. 53</w:t>
      </w:r>
      <w:r w:rsidRPr="009D514E">
        <w:rPr>
          <w:sz w:val="20"/>
        </w:rPr>
        <w:t>);</w:t>
      </w:r>
      <w:r w:rsidR="009D514E" w:rsidRPr="009D514E">
        <w:rPr>
          <w:sz w:val="20"/>
        </w:rPr>
        <w:t xml:space="preserve"> </w:t>
      </w:r>
      <w:r w:rsidR="00EC6321">
        <w:rPr>
          <w:sz w:val="20"/>
        </w:rPr>
        <w:t>© Masarykova univerzita (</w:t>
      </w:r>
      <w:r w:rsidRPr="009D514E">
        <w:rPr>
          <w:sz w:val="20"/>
        </w:rPr>
        <w:t>2013</w:t>
      </w:r>
      <w:r w:rsidR="00555E50" w:rsidRPr="009D514E">
        <w:rPr>
          <w:sz w:val="20"/>
        </w:rPr>
        <w:t>).</w:t>
      </w:r>
    </w:p>
    <w:p w:rsidR="00555E50" w:rsidRDefault="00555E50" w:rsidP="00572C06">
      <w:pPr>
        <w:autoSpaceDE w:val="0"/>
        <w:autoSpaceDN w:val="0"/>
        <w:adjustRightInd w:val="0"/>
        <w:spacing w:after="120" w:line="276" w:lineRule="auto"/>
        <w:jc w:val="both"/>
      </w:pPr>
    </w:p>
    <w:p w:rsidR="00DB6B79" w:rsidRDefault="00AE7755" w:rsidP="00572C06">
      <w:pPr>
        <w:spacing w:after="120" w:line="276" w:lineRule="auto"/>
        <w:jc w:val="both"/>
        <w:rPr>
          <w:szCs w:val="20"/>
        </w:rPr>
      </w:pPr>
      <w:r>
        <w:rPr>
          <w:szCs w:val="20"/>
        </w:rPr>
        <w:t>Předkládaný</w:t>
      </w:r>
      <w:r w:rsidR="003771C1" w:rsidRPr="00634154">
        <w:rPr>
          <w:szCs w:val="20"/>
        </w:rPr>
        <w:t xml:space="preserve"> výzkum </w:t>
      </w:r>
      <w:r w:rsidR="00C113B5" w:rsidRPr="00634154">
        <w:rPr>
          <w:szCs w:val="20"/>
        </w:rPr>
        <w:t xml:space="preserve">teoreticky </w:t>
      </w:r>
      <w:r w:rsidR="003771C1" w:rsidRPr="00634154">
        <w:rPr>
          <w:szCs w:val="20"/>
        </w:rPr>
        <w:t>rámujeme konceptem příležitostí k</w:t>
      </w:r>
      <w:r w:rsidR="001F280B">
        <w:rPr>
          <w:szCs w:val="20"/>
        </w:rPr>
        <w:t> </w:t>
      </w:r>
      <w:r w:rsidR="003771C1" w:rsidRPr="00634154">
        <w:rPr>
          <w:szCs w:val="20"/>
        </w:rPr>
        <w:t>učení</w:t>
      </w:r>
      <w:r w:rsidR="001F280B">
        <w:rPr>
          <w:szCs w:val="20"/>
        </w:rPr>
        <w:t>.</w:t>
      </w:r>
      <w:r w:rsidR="003771C1" w:rsidRPr="00634154">
        <w:rPr>
          <w:szCs w:val="20"/>
        </w:rPr>
        <w:t xml:space="preserve"> </w:t>
      </w:r>
      <w:r w:rsidR="00881285" w:rsidRPr="00634154">
        <w:rPr>
          <w:szCs w:val="20"/>
        </w:rPr>
        <w:t xml:space="preserve">Příležitosti k učení chápeme jako způsob nastavení sociálních, politických a pedagogických podmínek, které umožňují žákům získávat znalosti, rozvíjet dovednosti a utvářet postoje k obsahu různých vyučovacích předmětů (Valverde </w:t>
      </w:r>
      <w:r w:rsidR="004600D1">
        <w:rPr>
          <w:szCs w:val="20"/>
        </w:rPr>
        <w:t>et al</w:t>
      </w:r>
      <w:r w:rsidR="00881285" w:rsidRPr="00634154">
        <w:rPr>
          <w:szCs w:val="20"/>
        </w:rPr>
        <w:t>., 2002, s. 69</w:t>
      </w:r>
      <w:r w:rsidR="00881285">
        <w:rPr>
          <w:szCs w:val="20"/>
        </w:rPr>
        <w:t>). Jak již vyplývá z uvedené definice, p</w:t>
      </w:r>
      <w:r w:rsidR="00304D15" w:rsidRPr="00304D15">
        <w:rPr>
          <w:szCs w:val="20"/>
        </w:rPr>
        <w:t>říležitosti k učení se v pedagogické teorii</w:t>
      </w:r>
      <w:r w:rsidR="00304D15">
        <w:rPr>
          <w:szCs w:val="20"/>
        </w:rPr>
        <w:t xml:space="preserve"> </w:t>
      </w:r>
      <w:r w:rsidR="00304D15" w:rsidRPr="00304D15">
        <w:rPr>
          <w:szCs w:val="20"/>
        </w:rPr>
        <w:t>a vzdělávací politice etablovaly jako koncept umožňující analyzovat souvislosti</w:t>
      </w:r>
      <w:r w:rsidR="00304D15">
        <w:rPr>
          <w:szCs w:val="20"/>
        </w:rPr>
        <w:t xml:space="preserve"> </w:t>
      </w:r>
      <w:r w:rsidR="00304D15" w:rsidRPr="00304D15">
        <w:rPr>
          <w:szCs w:val="20"/>
        </w:rPr>
        <w:t>mezi vstupy a výstupy vzdělávání zejména prostřednictvím zkoumání</w:t>
      </w:r>
      <w:r w:rsidR="00304D15">
        <w:rPr>
          <w:szCs w:val="20"/>
        </w:rPr>
        <w:t xml:space="preserve"> </w:t>
      </w:r>
      <w:r w:rsidR="00304D15" w:rsidRPr="00304D15">
        <w:rPr>
          <w:szCs w:val="20"/>
        </w:rPr>
        <w:t>procesuální stránky výuky (vztah mezi vyučováním a učením).</w:t>
      </w:r>
      <w:r w:rsidR="00304D15">
        <w:rPr>
          <w:szCs w:val="20"/>
        </w:rPr>
        <w:t xml:space="preserve"> </w:t>
      </w:r>
      <w:r w:rsidR="00304D15" w:rsidRPr="00304D15">
        <w:rPr>
          <w:szCs w:val="20"/>
        </w:rPr>
        <w:t>V těchto výzkumech</w:t>
      </w:r>
      <w:r w:rsidR="005F5558">
        <w:rPr>
          <w:szCs w:val="20"/>
        </w:rPr>
        <w:t xml:space="preserve"> operujících v</w:t>
      </w:r>
      <w:r w:rsidR="00304D15">
        <w:rPr>
          <w:szCs w:val="20"/>
        </w:rPr>
        <w:t xml:space="preserve"> paradigmatu proces-produkt </w:t>
      </w:r>
      <w:r w:rsidR="00304D15" w:rsidRPr="00304D15">
        <w:rPr>
          <w:szCs w:val="20"/>
        </w:rPr>
        <w:t>je kromě samotných příležitostí k učení klíčový sběr kontextuálních</w:t>
      </w:r>
      <w:r w:rsidR="00304D15">
        <w:rPr>
          <w:szCs w:val="20"/>
        </w:rPr>
        <w:t xml:space="preserve"> </w:t>
      </w:r>
      <w:r w:rsidR="00304D15" w:rsidRPr="00304D15">
        <w:rPr>
          <w:szCs w:val="20"/>
        </w:rPr>
        <w:t>dat o žácích a jejich výkonech, o učitelích apod.</w:t>
      </w:r>
      <w:r w:rsidR="00304D15">
        <w:rPr>
          <w:szCs w:val="20"/>
        </w:rPr>
        <w:t xml:space="preserve"> </w:t>
      </w:r>
      <w:r w:rsidR="00D021D2">
        <w:rPr>
          <w:szCs w:val="20"/>
        </w:rPr>
        <w:t>(podrobněji viz Knecht, 2014)</w:t>
      </w:r>
      <w:r w:rsidR="00DB6B79">
        <w:rPr>
          <w:szCs w:val="20"/>
        </w:rPr>
        <w:t xml:space="preserve">. </w:t>
      </w:r>
      <w:r w:rsidR="00653C47">
        <w:rPr>
          <w:szCs w:val="20"/>
        </w:rPr>
        <w:t xml:space="preserve">Uvedený komplexní kvantitativně orientovaný výzkumný přístup je typický pro </w:t>
      </w:r>
      <w:r w:rsidR="002424A7">
        <w:rPr>
          <w:szCs w:val="20"/>
        </w:rPr>
        <w:t>hodnocení</w:t>
      </w:r>
      <w:r w:rsidR="00A91C89">
        <w:rPr>
          <w:szCs w:val="20"/>
        </w:rPr>
        <w:t xml:space="preserve"> </w:t>
      </w:r>
      <w:r w:rsidR="002424A7">
        <w:rPr>
          <w:szCs w:val="20"/>
        </w:rPr>
        <w:t xml:space="preserve">efektivity výuky ve smyslu měření souvislosti vybraných proměnných a výsledků žáků. </w:t>
      </w:r>
      <w:r w:rsidR="00964B6B">
        <w:rPr>
          <w:szCs w:val="20"/>
        </w:rPr>
        <w:t>Vychází se z předpokladu, že kvalita výuky přímo souvisí s kvantitou a kvalitou dostupných příležitostí k učení.</w:t>
      </w:r>
    </w:p>
    <w:p w:rsidR="009E0884" w:rsidRDefault="00DB6B79" w:rsidP="00572C06">
      <w:pPr>
        <w:spacing w:after="120" w:line="276" w:lineRule="auto"/>
        <w:jc w:val="both"/>
        <w:rPr>
          <w:szCs w:val="20"/>
        </w:rPr>
      </w:pPr>
      <w:r>
        <w:rPr>
          <w:szCs w:val="20"/>
        </w:rPr>
        <w:t>V</w:t>
      </w:r>
      <w:r w:rsidR="00D021D2">
        <w:rPr>
          <w:szCs w:val="20"/>
        </w:rPr>
        <w:t xml:space="preserve"> </w:t>
      </w:r>
      <w:r w:rsidR="006259FE">
        <w:rPr>
          <w:szCs w:val="20"/>
        </w:rPr>
        <w:t>práci</w:t>
      </w:r>
      <w:r w:rsidR="00C113B5" w:rsidRPr="00634154">
        <w:rPr>
          <w:szCs w:val="20"/>
        </w:rPr>
        <w:t xml:space="preserve"> vycházíme z </w:t>
      </w:r>
      <w:r w:rsidR="007F5A68" w:rsidRPr="00634154">
        <w:rPr>
          <w:szCs w:val="20"/>
        </w:rPr>
        <w:t>užš</w:t>
      </w:r>
      <w:r w:rsidR="00C113B5" w:rsidRPr="00634154">
        <w:rPr>
          <w:szCs w:val="20"/>
        </w:rPr>
        <w:t xml:space="preserve">ího didaktického </w:t>
      </w:r>
      <w:r w:rsidR="007F5A68" w:rsidRPr="00634154">
        <w:rPr>
          <w:szCs w:val="20"/>
        </w:rPr>
        <w:t xml:space="preserve">pojetí </w:t>
      </w:r>
      <w:r w:rsidR="00C113B5" w:rsidRPr="00634154">
        <w:rPr>
          <w:szCs w:val="20"/>
        </w:rPr>
        <w:t xml:space="preserve">příležitostí k učení, které </w:t>
      </w:r>
      <w:r w:rsidR="000F6E44">
        <w:rPr>
          <w:szCs w:val="20"/>
        </w:rPr>
        <w:t>zastřešuj</w:t>
      </w:r>
      <w:r w:rsidR="00881285">
        <w:rPr>
          <w:szCs w:val="20"/>
        </w:rPr>
        <w:t>e</w:t>
      </w:r>
      <w:r w:rsidR="000F6E44">
        <w:rPr>
          <w:szCs w:val="20"/>
        </w:rPr>
        <w:t xml:space="preserve"> především mikroanalytické výzkumy </w:t>
      </w:r>
      <w:r w:rsidR="005B1287">
        <w:rPr>
          <w:szCs w:val="20"/>
        </w:rPr>
        <w:t xml:space="preserve">kurikula a </w:t>
      </w:r>
      <w:r w:rsidR="000F6E44">
        <w:rPr>
          <w:szCs w:val="20"/>
        </w:rPr>
        <w:t>výuky. Tyto</w:t>
      </w:r>
      <w:r w:rsidR="000F6E44" w:rsidRPr="000F6E44">
        <w:rPr>
          <w:szCs w:val="20"/>
        </w:rPr>
        <w:t xml:space="preserve"> výzkumy bývají označovány jako „nová generace“ výzkumů vyučování</w:t>
      </w:r>
      <w:r w:rsidR="000F6E44">
        <w:rPr>
          <w:szCs w:val="20"/>
        </w:rPr>
        <w:t xml:space="preserve"> </w:t>
      </w:r>
      <w:r w:rsidR="000F6E44" w:rsidRPr="000F6E44">
        <w:rPr>
          <w:szCs w:val="20"/>
        </w:rPr>
        <w:t>a učení (srov. Janík, 2012, s. 254), jež primárně neoperují v paradigmatu proces-produkt.</w:t>
      </w:r>
      <w:r w:rsidR="00881285">
        <w:rPr>
          <w:szCs w:val="20"/>
        </w:rPr>
        <w:t xml:space="preserve"> </w:t>
      </w:r>
      <w:r w:rsidR="00B345E1">
        <w:rPr>
          <w:szCs w:val="20"/>
        </w:rPr>
        <w:t>Jejich cílem je</w:t>
      </w:r>
      <w:r w:rsidR="00B345E1" w:rsidRPr="00B345E1">
        <w:rPr>
          <w:szCs w:val="20"/>
        </w:rPr>
        <w:t xml:space="preserve"> deskripce a explanace edukační reality na základě pojednávání</w:t>
      </w:r>
      <w:r w:rsidR="00B345E1">
        <w:rPr>
          <w:szCs w:val="20"/>
        </w:rPr>
        <w:t xml:space="preserve"> </w:t>
      </w:r>
      <w:r w:rsidR="00B345E1" w:rsidRPr="00B345E1">
        <w:rPr>
          <w:szCs w:val="20"/>
        </w:rPr>
        <w:t>o dílčích didaktických fenoménech zkoumaných na základě analýzy výukových</w:t>
      </w:r>
      <w:r w:rsidR="002424A7">
        <w:rPr>
          <w:szCs w:val="20"/>
        </w:rPr>
        <w:t xml:space="preserve"> </w:t>
      </w:r>
      <w:r w:rsidR="00B345E1" w:rsidRPr="00B345E1">
        <w:rPr>
          <w:szCs w:val="20"/>
        </w:rPr>
        <w:t>situací, případně analýzy vybraných tematických celků učiva</w:t>
      </w:r>
      <w:r w:rsidR="005B1287">
        <w:rPr>
          <w:szCs w:val="20"/>
        </w:rPr>
        <w:t xml:space="preserve"> v kurikulárních dokumentech</w:t>
      </w:r>
      <w:r w:rsidR="00B345E1">
        <w:rPr>
          <w:szCs w:val="20"/>
        </w:rPr>
        <w:t xml:space="preserve"> a </w:t>
      </w:r>
      <w:r w:rsidR="005B1287">
        <w:rPr>
          <w:szCs w:val="20"/>
        </w:rPr>
        <w:t xml:space="preserve">následná </w:t>
      </w:r>
      <w:r w:rsidR="00B345E1">
        <w:rPr>
          <w:szCs w:val="20"/>
        </w:rPr>
        <w:t>elaborace</w:t>
      </w:r>
      <w:r w:rsidR="000F6E44" w:rsidRPr="000F6E44">
        <w:rPr>
          <w:szCs w:val="20"/>
        </w:rPr>
        <w:t xml:space="preserve"> didaktick</w:t>
      </w:r>
      <w:r w:rsidR="00B345E1">
        <w:rPr>
          <w:szCs w:val="20"/>
        </w:rPr>
        <w:t>ého</w:t>
      </w:r>
      <w:r w:rsidR="000F6E44" w:rsidRPr="000F6E44">
        <w:rPr>
          <w:szCs w:val="20"/>
        </w:rPr>
        <w:t xml:space="preserve"> potenciál</w:t>
      </w:r>
      <w:r w:rsidR="00B345E1">
        <w:rPr>
          <w:szCs w:val="20"/>
        </w:rPr>
        <w:t>u</w:t>
      </w:r>
      <w:r w:rsidR="000F6E44" w:rsidRPr="000F6E44">
        <w:rPr>
          <w:szCs w:val="20"/>
        </w:rPr>
        <w:t xml:space="preserve"> </w:t>
      </w:r>
      <w:r w:rsidR="005B1287">
        <w:rPr>
          <w:szCs w:val="20"/>
        </w:rPr>
        <w:t>souvisejících</w:t>
      </w:r>
      <w:r w:rsidR="000F6E44" w:rsidRPr="000F6E44">
        <w:rPr>
          <w:szCs w:val="20"/>
        </w:rPr>
        <w:t xml:space="preserve"> výukových postupů</w:t>
      </w:r>
      <w:r w:rsidR="00881285">
        <w:rPr>
          <w:szCs w:val="20"/>
        </w:rPr>
        <w:t xml:space="preserve"> </w:t>
      </w:r>
      <w:r w:rsidR="000F6E44" w:rsidRPr="000F6E44">
        <w:rPr>
          <w:szCs w:val="20"/>
        </w:rPr>
        <w:t>s ohledem na facilitaci učení žáků.</w:t>
      </w:r>
      <w:r w:rsidR="00881285">
        <w:rPr>
          <w:szCs w:val="20"/>
        </w:rPr>
        <w:t xml:space="preserve"> </w:t>
      </w:r>
      <w:r w:rsidR="002424A7">
        <w:rPr>
          <w:szCs w:val="20"/>
        </w:rPr>
        <w:t xml:space="preserve">Jádrem mikroanalytického přístupu je </w:t>
      </w:r>
      <w:r w:rsidR="00307DD3">
        <w:rPr>
          <w:szCs w:val="20"/>
        </w:rPr>
        <w:t xml:space="preserve">obsahově orientovaná analýza </w:t>
      </w:r>
      <w:r w:rsidR="005B1287">
        <w:rPr>
          <w:szCs w:val="20"/>
        </w:rPr>
        <w:t xml:space="preserve">kurikula a </w:t>
      </w:r>
      <w:r w:rsidR="00307DD3">
        <w:rPr>
          <w:szCs w:val="20"/>
        </w:rPr>
        <w:t xml:space="preserve">výuky jakožto přístup reflektující nedostatek empirických dat vypovídajících o oborově specifických aspektech kvality výuky. Ačkoliv </w:t>
      </w:r>
      <w:r w:rsidR="00370EC9">
        <w:rPr>
          <w:szCs w:val="20"/>
        </w:rPr>
        <w:t xml:space="preserve">oborově specifické aspekty příležitostí k učení </w:t>
      </w:r>
      <w:r w:rsidR="00A96766">
        <w:rPr>
          <w:szCs w:val="20"/>
        </w:rPr>
        <w:t>jsou</w:t>
      </w:r>
      <w:r w:rsidR="00370EC9">
        <w:rPr>
          <w:szCs w:val="20"/>
        </w:rPr>
        <w:t xml:space="preserve"> považov</w:t>
      </w:r>
      <w:r w:rsidR="00A96766">
        <w:rPr>
          <w:szCs w:val="20"/>
        </w:rPr>
        <w:t>ány</w:t>
      </w:r>
      <w:r w:rsidR="00370EC9">
        <w:rPr>
          <w:szCs w:val="20"/>
        </w:rPr>
        <w:t xml:space="preserve"> za jednu z hlavních charakteristik kvality výuky (srov. Helmke, </w:t>
      </w:r>
      <w:r w:rsidR="00307DD3">
        <w:rPr>
          <w:szCs w:val="20"/>
        </w:rPr>
        <w:t>2009, s. 169)</w:t>
      </w:r>
      <w:r w:rsidR="00370EC9">
        <w:rPr>
          <w:szCs w:val="20"/>
        </w:rPr>
        <w:t xml:space="preserve">, </w:t>
      </w:r>
      <w:r w:rsidR="0048258E">
        <w:rPr>
          <w:szCs w:val="20"/>
        </w:rPr>
        <w:t xml:space="preserve">komplexnější </w:t>
      </w:r>
      <w:r w:rsidR="00A96766">
        <w:rPr>
          <w:szCs w:val="20"/>
        </w:rPr>
        <w:t>oborov</w:t>
      </w:r>
      <w:r w:rsidR="00D24AEB">
        <w:rPr>
          <w:szCs w:val="20"/>
        </w:rPr>
        <w:t>ě</w:t>
      </w:r>
      <w:r w:rsidR="00A96766">
        <w:rPr>
          <w:szCs w:val="20"/>
        </w:rPr>
        <w:t xml:space="preserve"> didakt</w:t>
      </w:r>
      <w:r w:rsidR="00D24AEB">
        <w:rPr>
          <w:szCs w:val="20"/>
        </w:rPr>
        <w:t>ické výzkumy</w:t>
      </w:r>
      <w:r w:rsidR="00A96766">
        <w:rPr>
          <w:szCs w:val="20"/>
        </w:rPr>
        <w:t xml:space="preserve"> </w:t>
      </w:r>
      <w:r w:rsidR="00E830F4">
        <w:rPr>
          <w:szCs w:val="20"/>
        </w:rPr>
        <w:t>kvality</w:t>
      </w:r>
      <w:r w:rsidR="00D24AEB">
        <w:rPr>
          <w:szCs w:val="20"/>
        </w:rPr>
        <w:t xml:space="preserve"> výuky </w:t>
      </w:r>
      <w:r w:rsidR="00A96766">
        <w:rPr>
          <w:szCs w:val="20"/>
        </w:rPr>
        <w:t xml:space="preserve">u nás i v zahraničí </w:t>
      </w:r>
      <w:r w:rsidR="00D24AEB">
        <w:rPr>
          <w:szCs w:val="20"/>
        </w:rPr>
        <w:t>dlouhodobě chybějí</w:t>
      </w:r>
      <w:r w:rsidR="00A96766">
        <w:rPr>
          <w:szCs w:val="20"/>
        </w:rPr>
        <w:t>.</w:t>
      </w:r>
      <w:r w:rsidR="005655A2">
        <w:rPr>
          <w:rStyle w:val="Znakapoznpodarou"/>
          <w:szCs w:val="20"/>
        </w:rPr>
        <w:footnoteReference w:id="2"/>
      </w:r>
      <w:r w:rsidR="00A96766">
        <w:rPr>
          <w:szCs w:val="20"/>
        </w:rPr>
        <w:t xml:space="preserve"> </w:t>
      </w:r>
      <w:r w:rsidR="0048258E">
        <w:rPr>
          <w:szCs w:val="20"/>
        </w:rPr>
        <w:t xml:space="preserve">Pokud se výzkumníci zkoumání výuky věnují, zpravidla se </w:t>
      </w:r>
      <w:r w:rsidR="00550ED5">
        <w:rPr>
          <w:szCs w:val="20"/>
        </w:rPr>
        <w:t>zaměřují na</w:t>
      </w:r>
      <w:r w:rsidR="0048258E">
        <w:rPr>
          <w:szCs w:val="20"/>
        </w:rPr>
        <w:t xml:space="preserve"> d</w:t>
      </w:r>
      <w:r w:rsidR="00550ED5">
        <w:rPr>
          <w:szCs w:val="20"/>
        </w:rPr>
        <w:t>ílčí aspekty</w:t>
      </w:r>
      <w:r w:rsidR="00E92428">
        <w:rPr>
          <w:szCs w:val="20"/>
        </w:rPr>
        <w:t>, jejichž analýzy</w:t>
      </w:r>
      <w:r w:rsidR="00550ED5">
        <w:rPr>
          <w:szCs w:val="20"/>
        </w:rPr>
        <w:t xml:space="preserve"> doposud neposkytují dostatek výzkumných dat pro tvorbu náročnějších syntéz, empiricky ověřených teoretických modelů apod. </w:t>
      </w:r>
    </w:p>
    <w:p w:rsidR="007644E0" w:rsidRDefault="007644E0" w:rsidP="00572C06">
      <w:pPr>
        <w:autoSpaceDE w:val="0"/>
        <w:autoSpaceDN w:val="0"/>
        <w:adjustRightInd w:val="0"/>
        <w:spacing w:after="120" w:line="276" w:lineRule="auto"/>
        <w:jc w:val="both"/>
      </w:pPr>
      <w:r w:rsidRPr="000204E8">
        <w:t xml:space="preserve">V Česku je </w:t>
      </w:r>
      <w:r w:rsidR="00BE42DA">
        <w:t>situace vzhledem k </w:t>
      </w:r>
      <w:r w:rsidR="004363E8">
        <w:t>nedostatečné</w:t>
      </w:r>
      <w:r w:rsidR="00BE42DA">
        <w:t xml:space="preserve"> výzkumné infrastruktuře oborových didaktik </w:t>
      </w:r>
      <w:r w:rsidR="00C81B6F">
        <w:t>ještě o něco horší. N</w:t>
      </w:r>
      <w:r w:rsidRPr="000204E8">
        <w:t>edosta</w:t>
      </w:r>
      <w:r w:rsidR="00C81B6F">
        <w:t>tek výzkumných dat v podstatě znemožňuje vytvářet empiricky podložené úsudky o</w:t>
      </w:r>
      <w:r w:rsidRPr="000204E8">
        <w:t xml:space="preserve"> obsahu </w:t>
      </w:r>
      <w:r>
        <w:t xml:space="preserve">a kvalitě </w:t>
      </w:r>
      <w:r w:rsidRPr="000204E8">
        <w:t xml:space="preserve">kurikulárních dokumentů, učebnic a reálné výuky zeměpisu. V české didaktice geografie se výzkumný zájem doposud soustředil především na (zpravidla kurikulární) vstupy (srov. Řezníčková, 2003; Kuldová, 2008; </w:t>
      </w:r>
      <w:r w:rsidR="0017738C">
        <w:t xml:space="preserve">Janoušková, 2009; </w:t>
      </w:r>
      <w:r w:rsidRPr="000204E8">
        <w:t xml:space="preserve">Knecht, 2011; Janko, 2013; Hanus &amp; Marada, 2013; Knecht &amp; Hofmann, 2013 aj.) a výstupy vzdělávání (Kubiatko, Mrázková, &amp; Janko 2011; Řezníčková et al., 2013 aj.). </w:t>
      </w:r>
      <w:r w:rsidR="004363E8" w:rsidRPr="000204E8">
        <w:t>Empiricko-výzkumné</w:t>
      </w:r>
      <w:r w:rsidRPr="000204E8">
        <w:t xml:space="preserve"> reflexe usilující o zmapování procesů didaktického zprostředkování cílů a obsahů g</w:t>
      </w:r>
      <w:r w:rsidR="0022456B">
        <w:t>e</w:t>
      </w:r>
      <w:r w:rsidRPr="000204E8">
        <w:t>ografického vzdělávání</w:t>
      </w:r>
      <w:r w:rsidRPr="00B95EC3">
        <w:t xml:space="preserve"> např. v učebnicích nebo ve výuce jsou poměrně vzácné (</w:t>
      </w:r>
      <w:r w:rsidR="001A55DE">
        <w:t xml:space="preserve">srov. </w:t>
      </w:r>
      <w:r w:rsidRPr="00B95EC3">
        <w:t xml:space="preserve">Hübelová, Janík, &amp; Najvar, 2008; </w:t>
      </w:r>
      <w:r>
        <w:t xml:space="preserve">Hübelová, Najvarová, &amp; Chárová, 2008; </w:t>
      </w:r>
      <w:r w:rsidRPr="00B95EC3">
        <w:t>Knecht</w:t>
      </w:r>
      <w:r>
        <w:t>,</w:t>
      </w:r>
      <w:r w:rsidRPr="00B95EC3">
        <w:t xml:space="preserve"> 2008). Pokud tyto výzkumy existují, mají často podobu menších výzkumných sond prezentovaných v konferenčních sbornících, případně jsou tématem diplomových prací. </w:t>
      </w:r>
    </w:p>
    <w:p w:rsidR="00EB3ECF" w:rsidRDefault="007644E0" w:rsidP="00572C06">
      <w:pPr>
        <w:spacing w:after="120" w:line="276" w:lineRule="auto"/>
        <w:jc w:val="both"/>
        <w:rPr>
          <w:szCs w:val="20"/>
        </w:rPr>
      </w:pPr>
      <w:r w:rsidRPr="00B95EC3">
        <w:t>Předkládaná p</w:t>
      </w:r>
      <w:r>
        <w:t>ublikace</w:t>
      </w:r>
      <w:r w:rsidRPr="00B95EC3">
        <w:t xml:space="preserve"> </w:t>
      </w:r>
      <w:r>
        <w:t>přispívá</w:t>
      </w:r>
      <w:r w:rsidRPr="00B95EC3">
        <w:t xml:space="preserve"> k zaplnění citelné mezery v oblasti didaktiky geografie a snaží se částečně najít odpověď na otázku, co se odehrává mezi vstupy a výstupy geografického vzdělávání. Konkrétně se zaměřuje na procesy didaktického zprostředkování cílů a obsahů geografického vzdělávání prostřednictvím učebních úloh v učebnicích a ve výuce zeměpisu.</w:t>
      </w:r>
      <w:r w:rsidR="00496763">
        <w:t xml:space="preserve"> </w:t>
      </w:r>
      <w:r w:rsidR="00CE75B0" w:rsidRPr="00634154">
        <w:rPr>
          <w:szCs w:val="20"/>
        </w:rPr>
        <w:t>Učební úlohy</w:t>
      </w:r>
      <w:r w:rsidR="000B23D6">
        <w:rPr>
          <w:szCs w:val="20"/>
        </w:rPr>
        <w:t xml:space="preserve"> v souladu s</w:t>
      </w:r>
      <w:r w:rsidR="00EB3ECF">
        <w:rPr>
          <w:szCs w:val="20"/>
        </w:rPr>
        <w:t> konceptuálním modelem příležitostí k učení</w:t>
      </w:r>
      <w:r w:rsidR="004521AF">
        <w:rPr>
          <w:szCs w:val="20"/>
        </w:rPr>
        <w:t xml:space="preserve"> Stevensové (</w:t>
      </w:r>
      <w:r w:rsidR="006B7913">
        <w:rPr>
          <w:szCs w:val="20"/>
        </w:rPr>
        <w:t>1993, s. 233–234)</w:t>
      </w:r>
      <w:r w:rsidR="000B23D6">
        <w:rPr>
          <w:szCs w:val="20"/>
        </w:rPr>
        <w:t xml:space="preserve"> představují</w:t>
      </w:r>
      <w:r w:rsidR="00B77B5E">
        <w:rPr>
          <w:szCs w:val="20"/>
        </w:rPr>
        <w:t xml:space="preserve"> </w:t>
      </w:r>
      <w:r w:rsidR="000B23D6">
        <w:rPr>
          <w:szCs w:val="20"/>
        </w:rPr>
        <w:t>jed</w:t>
      </w:r>
      <w:r w:rsidR="00B77B5E">
        <w:rPr>
          <w:szCs w:val="20"/>
        </w:rPr>
        <w:t>en</w:t>
      </w:r>
      <w:r w:rsidR="000B23D6">
        <w:rPr>
          <w:szCs w:val="20"/>
        </w:rPr>
        <w:t xml:space="preserve"> z dílčích </w:t>
      </w:r>
      <w:r w:rsidR="00B77B5E">
        <w:rPr>
          <w:szCs w:val="20"/>
        </w:rPr>
        <w:t>indikátorů</w:t>
      </w:r>
      <w:r w:rsidR="000B23D6">
        <w:rPr>
          <w:szCs w:val="20"/>
        </w:rPr>
        <w:t xml:space="preserve"> </w:t>
      </w:r>
      <w:r w:rsidR="00CE75B0" w:rsidRPr="00634154">
        <w:rPr>
          <w:szCs w:val="20"/>
        </w:rPr>
        <w:t>příležitost</w:t>
      </w:r>
      <w:r w:rsidR="000B23D6">
        <w:rPr>
          <w:szCs w:val="20"/>
        </w:rPr>
        <w:t xml:space="preserve">í </w:t>
      </w:r>
      <w:r w:rsidR="00CE75B0" w:rsidRPr="00634154">
        <w:rPr>
          <w:szCs w:val="20"/>
        </w:rPr>
        <w:t>k</w:t>
      </w:r>
      <w:r w:rsidR="00C81B6F">
        <w:rPr>
          <w:szCs w:val="20"/>
        </w:rPr>
        <w:t> </w:t>
      </w:r>
      <w:r w:rsidR="00CE75B0" w:rsidRPr="00634154">
        <w:rPr>
          <w:szCs w:val="20"/>
        </w:rPr>
        <w:t>učení</w:t>
      </w:r>
      <w:r w:rsidR="00C81B6F">
        <w:rPr>
          <w:szCs w:val="20"/>
        </w:rPr>
        <w:t xml:space="preserve"> a </w:t>
      </w:r>
      <w:r w:rsidR="004C00C1">
        <w:rPr>
          <w:rFonts w:eastAsia="Calibri"/>
          <w:lang w:eastAsia="en-US"/>
        </w:rPr>
        <w:t>zároveň představují n</w:t>
      </w:r>
      <w:r w:rsidR="004C00C1" w:rsidRPr="00B95EC3">
        <w:rPr>
          <w:rFonts w:eastAsia="Calibri"/>
          <w:lang w:eastAsia="en-US"/>
        </w:rPr>
        <w:t xml:space="preserve">osné výzkumné téma mající potenciál fungovat </w:t>
      </w:r>
      <w:r w:rsidR="004C00C1">
        <w:rPr>
          <w:rFonts w:eastAsia="Calibri"/>
          <w:lang w:eastAsia="en-US"/>
        </w:rPr>
        <w:t xml:space="preserve">také </w:t>
      </w:r>
      <w:r w:rsidR="004C00C1" w:rsidRPr="00B95EC3">
        <w:rPr>
          <w:rFonts w:eastAsia="Calibri"/>
          <w:lang w:eastAsia="en-US"/>
        </w:rPr>
        <w:t xml:space="preserve">v rámci </w:t>
      </w:r>
      <w:r w:rsidR="004C00C1" w:rsidRPr="000204E8">
        <w:rPr>
          <w:rFonts w:eastAsia="Calibri"/>
          <w:lang w:eastAsia="en-US"/>
        </w:rPr>
        <w:t>diskursu o kvalitě kurikula a výuky (srov. Janík, Lokajíčková</w:t>
      </w:r>
      <w:r w:rsidR="005711A1">
        <w:rPr>
          <w:rFonts w:eastAsia="Calibri"/>
          <w:lang w:eastAsia="en-US"/>
        </w:rPr>
        <w:t>,</w:t>
      </w:r>
      <w:r w:rsidR="004C00C1" w:rsidRPr="000204E8">
        <w:rPr>
          <w:rFonts w:eastAsia="Calibri"/>
          <w:lang w:eastAsia="en-US"/>
        </w:rPr>
        <w:t xml:space="preserve"> &amp; Janko, 2012).</w:t>
      </w:r>
    </w:p>
    <w:p w:rsidR="007974F9" w:rsidRPr="00176F8F" w:rsidRDefault="00B77B5E" w:rsidP="001841AB">
      <w:pPr>
        <w:spacing w:after="120" w:line="276" w:lineRule="auto"/>
        <w:jc w:val="both"/>
        <w:rPr>
          <w:highlight w:val="yellow"/>
        </w:rPr>
      </w:pPr>
      <w:r>
        <w:rPr>
          <w:szCs w:val="20"/>
        </w:rPr>
        <w:t xml:space="preserve">Učební úlohy </w:t>
      </w:r>
      <w:r w:rsidR="005711A1">
        <w:rPr>
          <w:szCs w:val="20"/>
        </w:rPr>
        <w:t xml:space="preserve">v této práci </w:t>
      </w:r>
      <w:r>
        <w:rPr>
          <w:szCs w:val="20"/>
        </w:rPr>
        <w:t>chápeme jako tradiční kategorii obecné a oborové didaktiky</w:t>
      </w:r>
      <w:r w:rsidR="004C00C1">
        <w:rPr>
          <w:szCs w:val="20"/>
        </w:rPr>
        <w:t>. V</w:t>
      </w:r>
      <w:r>
        <w:rPr>
          <w:szCs w:val="20"/>
        </w:rPr>
        <w:t>ycházíme z přesvědčení, že</w:t>
      </w:r>
      <w:r w:rsidR="00EB3ECF">
        <w:rPr>
          <w:szCs w:val="20"/>
        </w:rPr>
        <w:t xml:space="preserve"> učební úlohy mohou být v souladu s běžným jazykem chápány jako příležitosti k učení </w:t>
      </w:r>
      <w:r w:rsidR="00EB3ECF" w:rsidRPr="00EB3ECF">
        <w:rPr>
          <w:i/>
          <w:szCs w:val="20"/>
        </w:rPr>
        <w:t>sui genesis</w:t>
      </w:r>
      <w:r w:rsidR="00EB3ECF">
        <w:rPr>
          <w:szCs w:val="20"/>
        </w:rPr>
        <w:t>, neboť</w:t>
      </w:r>
      <w:r>
        <w:rPr>
          <w:szCs w:val="20"/>
        </w:rPr>
        <w:t xml:space="preserve"> </w:t>
      </w:r>
      <w:r w:rsidR="00490FD6">
        <w:rPr>
          <w:szCs w:val="20"/>
        </w:rPr>
        <w:t xml:space="preserve">jsou ve výuce zpravidla </w:t>
      </w:r>
      <w:r w:rsidR="00CE75B0" w:rsidRPr="00634154">
        <w:rPr>
          <w:szCs w:val="20"/>
        </w:rPr>
        <w:t>vytv</w:t>
      </w:r>
      <w:r w:rsidR="00490FD6">
        <w:rPr>
          <w:szCs w:val="20"/>
        </w:rPr>
        <w:t>á</w:t>
      </w:r>
      <w:r w:rsidR="00CE75B0" w:rsidRPr="00634154">
        <w:rPr>
          <w:szCs w:val="20"/>
        </w:rPr>
        <w:t>řeny proto</w:t>
      </w:r>
      <w:r w:rsidR="007F5A68" w:rsidRPr="00634154">
        <w:rPr>
          <w:szCs w:val="20"/>
        </w:rPr>
        <w:t>, aby se určitý vzdělávací obsah předložil žákům jak</w:t>
      </w:r>
      <w:r w:rsidR="00CE75B0" w:rsidRPr="00634154">
        <w:rPr>
          <w:szCs w:val="20"/>
        </w:rPr>
        <w:t>o konkrétní nabídka k činnosti</w:t>
      </w:r>
      <w:r w:rsidR="007F5A68" w:rsidRPr="00634154">
        <w:rPr>
          <w:szCs w:val="20"/>
        </w:rPr>
        <w:t>, jejímž prostřednictvím má být dosaženo určitého vzdělávacího cíle</w:t>
      </w:r>
      <w:r w:rsidR="007F5A68" w:rsidRPr="005B3E7E">
        <w:rPr>
          <w:szCs w:val="20"/>
        </w:rPr>
        <w:t>.</w:t>
      </w:r>
      <w:r w:rsidR="007974F9" w:rsidRPr="005B3E7E">
        <w:t xml:space="preserve"> </w:t>
      </w:r>
      <w:r w:rsidR="005B3E7E" w:rsidRPr="005B3E7E">
        <w:t>Učební</w:t>
      </w:r>
      <w:r w:rsidR="005B3E7E" w:rsidRPr="004500D3">
        <w:t xml:space="preserve"> úlohy jsou</w:t>
      </w:r>
      <w:r w:rsidR="005B3E7E">
        <w:t xml:space="preserve"> v podstatě</w:t>
      </w:r>
      <w:r w:rsidR="005B3E7E" w:rsidRPr="004500D3">
        <w:t xml:space="preserve"> hlavním nástrojem didaktické operacionalizace hlavních poznatků soudobé kultury, které jsou žákům v rámci jednotlivých </w:t>
      </w:r>
      <w:r w:rsidR="005711A1">
        <w:t xml:space="preserve">vyučovacích předmětů </w:t>
      </w:r>
      <w:r w:rsidR="005B3E7E" w:rsidRPr="004500D3">
        <w:t>předávány</w:t>
      </w:r>
      <w:r w:rsidR="005711A1">
        <w:t xml:space="preserve"> ve škole</w:t>
      </w:r>
      <w:r w:rsidR="005B3E7E" w:rsidRPr="004500D3">
        <w:t>.</w:t>
      </w:r>
    </w:p>
    <w:p w:rsidR="00490FD6" w:rsidRPr="00634FC8" w:rsidRDefault="00EB3ECF" w:rsidP="001841AB">
      <w:pPr>
        <w:autoSpaceDE w:val="0"/>
        <w:autoSpaceDN w:val="0"/>
        <w:adjustRightInd w:val="0"/>
        <w:spacing w:after="120" w:line="276" w:lineRule="auto"/>
        <w:jc w:val="both"/>
        <w:rPr>
          <w:szCs w:val="20"/>
        </w:rPr>
      </w:pPr>
      <w:r>
        <w:rPr>
          <w:szCs w:val="20"/>
        </w:rPr>
        <w:t>Poku</w:t>
      </w:r>
      <w:r w:rsidR="00634FC8">
        <w:rPr>
          <w:szCs w:val="20"/>
        </w:rPr>
        <w:t>d</w:t>
      </w:r>
      <w:r>
        <w:rPr>
          <w:szCs w:val="20"/>
        </w:rPr>
        <w:t xml:space="preserve"> se vrátíme zpět k výzkumům </w:t>
      </w:r>
      <w:r w:rsidR="004363E8">
        <w:rPr>
          <w:szCs w:val="20"/>
        </w:rPr>
        <w:t>operujícím</w:t>
      </w:r>
      <w:r>
        <w:rPr>
          <w:szCs w:val="20"/>
        </w:rPr>
        <w:t xml:space="preserve"> v paradigmatu proces-produkt, mnohé z nich pou</w:t>
      </w:r>
      <w:r w:rsidR="00634FC8">
        <w:rPr>
          <w:szCs w:val="20"/>
        </w:rPr>
        <w:t xml:space="preserve">kazují na pozitivní </w:t>
      </w:r>
      <w:r w:rsidR="00634FC8" w:rsidRPr="00634FC8">
        <w:t>efekty</w:t>
      </w:r>
      <w:r w:rsidR="0024275C" w:rsidRPr="00634FC8">
        <w:t xml:space="preserve"> </w:t>
      </w:r>
      <w:r w:rsidR="00634FC8">
        <w:t xml:space="preserve">používání </w:t>
      </w:r>
      <w:r w:rsidR="00B5365A">
        <w:t xml:space="preserve">jistých typů </w:t>
      </w:r>
      <w:r w:rsidR="00634FC8" w:rsidRPr="00634FC8">
        <w:t xml:space="preserve">učebních úloh </w:t>
      </w:r>
      <w:r w:rsidR="00634FC8">
        <w:t>ve školní výuce na výsledky žáků</w:t>
      </w:r>
      <w:r w:rsidR="0024275C" w:rsidRPr="00634FC8">
        <w:t xml:space="preserve"> (</w:t>
      </w:r>
      <w:r w:rsidR="00634FC8">
        <w:t xml:space="preserve">výzkumy shrnují např. </w:t>
      </w:r>
      <w:r w:rsidR="0024275C" w:rsidRPr="00634FC8">
        <w:t xml:space="preserve">Wang, Haertel, </w:t>
      </w:r>
      <w:r w:rsidR="00634FC8">
        <w:t xml:space="preserve">&amp; </w:t>
      </w:r>
      <w:r w:rsidR="0024275C" w:rsidRPr="00634FC8">
        <w:t>Walberg</w:t>
      </w:r>
      <w:r w:rsidR="00634FC8">
        <w:t xml:space="preserve">, </w:t>
      </w:r>
      <w:r w:rsidR="0024275C" w:rsidRPr="00634FC8">
        <w:t>1993</w:t>
      </w:r>
      <w:r w:rsidR="00634FC8">
        <w:t>; Hattie, 2009 aj.</w:t>
      </w:r>
      <w:r w:rsidR="0024275C" w:rsidRPr="00634FC8">
        <w:t xml:space="preserve">). </w:t>
      </w:r>
    </w:p>
    <w:p w:rsidR="004500D3" w:rsidRDefault="0076561B" w:rsidP="001841AB">
      <w:pPr>
        <w:spacing w:after="120" w:line="276" w:lineRule="auto"/>
        <w:jc w:val="both"/>
      </w:pPr>
      <w:r w:rsidRPr="003310FB">
        <w:t xml:space="preserve">Vymezení </w:t>
      </w:r>
      <w:r w:rsidR="000E37B3">
        <w:t>pře</w:t>
      </w:r>
      <w:r w:rsidR="00C71E2D">
        <w:t>d</w:t>
      </w:r>
      <w:r w:rsidR="000E37B3">
        <w:t>mětu našeho výzk</w:t>
      </w:r>
      <w:r w:rsidR="002F7C1F">
        <w:t>umu zachycuje model na obr. 1</w:t>
      </w:r>
      <w:r w:rsidR="000E37B3">
        <w:t>. Z modelu je patrné, že učebnice a výuka hrají klíčovou roli ve zprostředkovávání vzdělávacích obsahů</w:t>
      </w:r>
      <w:r w:rsidR="005B3E7E">
        <w:t xml:space="preserve"> žákům.</w:t>
      </w:r>
      <w:r w:rsidR="0049335F">
        <w:t xml:space="preserve"> Model rovněž ukazuje, že kvalita učebních úloh v učebnicích může do značné míry ovlivnit kvalitu učebních úloh ve školní výuce, neboť učitelé se na školní výuku často připravují právě z</w:t>
      </w:r>
      <w:r w:rsidR="00BC4172">
        <w:t> </w:t>
      </w:r>
      <w:r w:rsidR="0049335F">
        <w:t>učebnic</w:t>
      </w:r>
      <w:r w:rsidR="00BC4172">
        <w:t xml:space="preserve">, a v nemalé míře používají </w:t>
      </w:r>
      <w:r w:rsidR="005B3E7E">
        <w:t xml:space="preserve">učebnice </w:t>
      </w:r>
      <w:r w:rsidR="00BC4172">
        <w:t>také ve výuce</w:t>
      </w:r>
      <w:r w:rsidR="00BF6E32" w:rsidRPr="0049335F">
        <w:t xml:space="preserve"> (</w:t>
      </w:r>
      <w:r w:rsidR="00BC4172">
        <w:t>souhrn výzkumů</w:t>
      </w:r>
      <w:r w:rsidR="00162F12">
        <w:t xml:space="preserve"> viz Sikorová,</w:t>
      </w:r>
      <w:r w:rsidR="00BF6E32" w:rsidRPr="0049335F">
        <w:t xml:space="preserve"> 20</w:t>
      </w:r>
      <w:r w:rsidR="00BC4172">
        <w:t>10</w:t>
      </w:r>
      <w:r w:rsidR="00BF6E32" w:rsidRPr="0049335F">
        <w:t xml:space="preserve">). </w:t>
      </w:r>
    </w:p>
    <w:p w:rsidR="003310FB" w:rsidRDefault="00162F12" w:rsidP="008742F1">
      <w:pPr>
        <w:spacing w:after="120" w:line="276" w:lineRule="auto"/>
        <w:jc w:val="both"/>
      </w:pPr>
      <w:r w:rsidRPr="00BA4E43">
        <w:t>Pokládáme proto za nezbytné</w:t>
      </w:r>
      <w:r w:rsidR="00BA4E43">
        <w:t xml:space="preserve"> se učebními úlohami výzkumně zabývat, a to </w:t>
      </w:r>
      <w:r w:rsidR="005B3E7E">
        <w:t xml:space="preserve">nejen </w:t>
      </w:r>
      <w:r w:rsidR="00BA4E43">
        <w:t xml:space="preserve">v učebnicích, které figurují na kurikulárním vstupu, </w:t>
      </w:r>
      <w:r w:rsidR="005B3E7E">
        <w:t xml:space="preserve">ale také </w:t>
      </w:r>
      <w:r w:rsidR="00BA4E43">
        <w:t xml:space="preserve">ve výuce, </w:t>
      </w:r>
      <w:r w:rsidR="00352F59" w:rsidRPr="00BA4E43">
        <w:t xml:space="preserve">neboť je to právě učitel, který rozhoduje o tom, co se ve třídě odehrává za procesy učení. </w:t>
      </w:r>
      <w:r w:rsidR="00C677C2">
        <w:t xml:space="preserve">Porovnání učebních úloh v učebnicích s učebními úlohami odehrávajících se ve výukových situacích zrcadlících každodenní výukovou praxi na školách, nám umožní, mimo získání cenných </w:t>
      </w:r>
      <w:r w:rsidR="005711A1">
        <w:t>výzkumných poznatků</w:t>
      </w:r>
      <w:r w:rsidR="00C677C2">
        <w:t>, lépe porozumět edukačním procesům.</w:t>
      </w:r>
      <w:r w:rsidR="008742F1">
        <w:t xml:space="preserve"> </w:t>
      </w:r>
      <w:r w:rsidR="00443D5E">
        <w:t xml:space="preserve">Poté, co jsme vymezili výzkumné pole a diskursy, v nichž se pohybujeme, </w:t>
      </w:r>
      <w:r w:rsidR="00080524">
        <w:t>podrobněji přiblížíme související teoretická a konceptuální východiska.</w:t>
      </w:r>
      <w:r w:rsidR="00443D5E">
        <w:t xml:space="preserve"> </w:t>
      </w:r>
    </w:p>
    <w:p w:rsidR="007E079C" w:rsidRPr="001841AB" w:rsidRDefault="007E079C" w:rsidP="008742F1">
      <w:pPr>
        <w:spacing w:after="120" w:line="276" w:lineRule="auto"/>
        <w:jc w:val="both"/>
      </w:pPr>
    </w:p>
    <w:p w:rsidR="001818AE" w:rsidRPr="00EA76A3" w:rsidRDefault="001818AE" w:rsidP="0010497B">
      <w:pPr>
        <w:pStyle w:val="Nadpis2"/>
      </w:pPr>
      <w:bookmarkStart w:id="8" w:name="_Toc399775378"/>
      <w:r w:rsidRPr="00EA76A3">
        <w:t xml:space="preserve">Nová kultura </w:t>
      </w:r>
      <w:r>
        <w:t>vyučování a učení</w:t>
      </w:r>
      <w:bookmarkEnd w:id="8"/>
    </w:p>
    <w:p w:rsidR="001818AE" w:rsidRPr="00370CD8" w:rsidRDefault="001818AE" w:rsidP="00370CD8">
      <w:pPr>
        <w:spacing w:line="276" w:lineRule="auto"/>
        <w:jc w:val="both"/>
      </w:pPr>
      <w:r>
        <w:t xml:space="preserve">Pojem „kultura“ zahrnuje všechny produkty, životní projevy a vůdčí představy lidské společnosti. Kultura je tvořena lidmi, kteří se podílejí na dodržování aktuálně upřednostňovaných hodnot, norem a způsobů myšlení (srov. </w:t>
      </w:r>
      <w:r w:rsidR="005F47CC">
        <w:t>Damen, 1987, s. 367</w:t>
      </w:r>
      <w:r>
        <w:t xml:space="preserve">). Tyto hodnoty, normy a způsoby myšlení nejsou konstantní, ale zpravidla se proměňují v důsledku změn prostředí a požadavků na život, případně je akutnost proměny kultury vyvolávána zvyšující se nespokojeností a disproporcí mezi reálným stavem a </w:t>
      </w:r>
      <w:r w:rsidRPr="00370CD8">
        <w:t>vlastními subjektivními vizemi o ideálním stavu.</w:t>
      </w:r>
      <w:r w:rsidR="00496763">
        <w:t xml:space="preserve"> </w:t>
      </w:r>
      <w:r w:rsidRPr="00370CD8">
        <w:t xml:space="preserve">Nejinak je tomu v oblasti vzdělávání, která představuje specifickou </w:t>
      </w:r>
      <w:r w:rsidR="005F47CC">
        <w:t>složku</w:t>
      </w:r>
      <w:r w:rsidRPr="00370CD8">
        <w:t xml:space="preserve"> kultury. </w:t>
      </w:r>
    </w:p>
    <w:p w:rsidR="001818AE" w:rsidRDefault="001818AE" w:rsidP="00370CD8">
      <w:pPr>
        <w:spacing w:line="276" w:lineRule="auto"/>
        <w:jc w:val="both"/>
      </w:pPr>
      <w:r w:rsidRPr="00370CD8">
        <w:rPr>
          <w:i/>
        </w:rPr>
        <w:t>Kultura vyučování a učení</w:t>
      </w:r>
      <w:r w:rsidRPr="00370CD8">
        <w:t xml:space="preserve"> je vymezována jako „časově ohraničený souhrn určitých forem učení a vyučovacích stylů a s nimi souvisejících antropologických, psychologických, společenských a pedagogických orientací“ (Weinert</w:t>
      </w:r>
      <w:r w:rsidR="001D60CE">
        <w:t>,</w:t>
      </w:r>
      <w:r w:rsidRPr="00370CD8">
        <w:t xml:space="preserve"> 1997, s. 12</w:t>
      </w:r>
      <w:r w:rsidR="00DB50D5" w:rsidRPr="00370CD8">
        <w:t>; srov. také Schubert</w:t>
      </w:r>
      <w:r w:rsidR="001D60CE">
        <w:t>,</w:t>
      </w:r>
      <w:r w:rsidR="00DB50D5" w:rsidRPr="00370CD8">
        <w:t xml:space="preserve"> 1999; Weinberg</w:t>
      </w:r>
      <w:r w:rsidR="001D60CE">
        <w:t>,</w:t>
      </w:r>
      <w:r w:rsidR="00DB50D5" w:rsidRPr="00370CD8">
        <w:t xml:space="preserve"> 1999 aj.)</w:t>
      </w:r>
      <w:r w:rsidR="00DB50D5" w:rsidRPr="00370CD8">
        <w:rPr>
          <w:rStyle w:val="Znakapoznpodarou"/>
        </w:rPr>
        <w:footnoteReference w:id="3"/>
      </w:r>
      <w:r w:rsidRPr="00370CD8">
        <w:t>. Čas od času „nová“ kultura střídá „starou“. Pätzold a Lang (1999, s. 33) uvádějí, že kultura vyučování a učení závisí na tom, jaký společnost klade důraz na vyučování a učení. V tomto ohledu</w:t>
      </w:r>
      <w:r>
        <w:t xml:space="preserve"> je možné v různých časových epochách hovořit o příklonu k zájmu o vyučování a odklonu od zájmu o učení a naopak. Pro současnost jsou charakteristický zájem o učení, a to patrně v souvislosti s neoliberálně chápaným školním vzděláváním, ve kterém je škola pojímána jako dodavatel </w:t>
      </w:r>
      <w:r w:rsidRPr="001818AE">
        <w:t xml:space="preserve">flexibilních pracovních sil připravených k celoživotnímu učení. </w:t>
      </w:r>
      <w:r w:rsidR="00DB50D5">
        <w:t xml:space="preserve">Zavedení </w:t>
      </w:r>
      <w:r w:rsidR="00DB50D5" w:rsidRPr="001818AE">
        <w:t>(staro)nových pojmů</w:t>
      </w:r>
      <w:r w:rsidR="00DB50D5">
        <w:t xml:space="preserve"> do odborného diskursu, </w:t>
      </w:r>
      <w:r w:rsidR="00DB50D5" w:rsidRPr="001818AE">
        <w:t xml:space="preserve">jako jsou </w:t>
      </w:r>
      <w:r w:rsidR="00DB50D5" w:rsidRPr="001818AE">
        <w:rPr>
          <w:i/>
        </w:rPr>
        <w:t>kompetence, kognitivní aktivizace, strategie učení, metakognice</w:t>
      </w:r>
      <w:r w:rsidR="00DB50D5" w:rsidRPr="001818AE">
        <w:t xml:space="preserve"> apod. (srov. Janík et al., 2010)</w:t>
      </w:r>
      <w:r w:rsidR="00DB50D5">
        <w:t xml:space="preserve">, </w:t>
      </w:r>
      <w:r w:rsidRPr="001818AE">
        <w:t xml:space="preserve">lze chápat jako příslib toho, že na scénu přichází nová </w:t>
      </w:r>
      <w:r w:rsidRPr="001818AE">
        <w:rPr>
          <w:i/>
        </w:rPr>
        <w:t>kultura vyučování a učení</w:t>
      </w:r>
      <w:r w:rsidR="005B6358">
        <w:rPr>
          <w:i/>
        </w:rPr>
        <w:t>.</w:t>
      </w:r>
      <w:r w:rsidRPr="001818AE">
        <w:rPr>
          <w:i/>
        </w:rPr>
        <w:t xml:space="preserve"> </w:t>
      </w:r>
      <w:r w:rsidRPr="001818AE">
        <w:t>V tomto kontextu je pro ni</w:t>
      </w:r>
      <w:r w:rsidRPr="001818AE">
        <w:rPr>
          <w:i/>
        </w:rPr>
        <w:t xml:space="preserve"> </w:t>
      </w:r>
      <w:r w:rsidRPr="001818AE">
        <w:t>charakteristické „aktivní, konstruktivní, samostatné, motivované a celostní učení; učení bez tlaku na dosahované výsledky, které se odehrává ve společenství učících se jedinců, kteří jsou v přibývající míře nezávislí na vyučujícím – vzdělávají se pro situace každodenního života a jejich prostřednictvím“ (Weinert</w:t>
      </w:r>
      <w:r w:rsidR="00D303A7">
        <w:t>,</w:t>
      </w:r>
      <w:r w:rsidRPr="001818AE">
        <w:t xml:space="preserve"> 1997, s. 12</w:t>
      </w:r>
      <w:r w:rsidR="00A00E83">
        <w:t xml:space="preserve">). </w:t>
      </w:r>
      <w:r w:rsidRPr="001818AE">
        <w:t xml:space="preserve">V našem prostředí k tomu viz pojem </w:t>
      </w:r>
      <w:r w:rsidRPr="001818AE">
        <w:rPr>
          <w:i/>
        </w:rPr>
        <w:t>edukační kultura obratu</w:t>
      </w:r>
      <w:r w:rsidRPr="001818AE">
        <w:t>, který rozpracovává Helus (2009).</w:t>
      </w:r>
      <w:r w:rsidR="001E1202" w:rsidRPr="001E1202">
        <w:rPr>
          <w:color w:val="7030A0"/>
        </w:rPr>
        <w:t xml:space="preserve"> </w:t>
      </w:r>
    </w:p>
    <w:p w:rsidR="001818AE" w:rsidRDefault="001818AE" w:rsidP="001818AE"/>
    <w:p w:rsidR="001A4000" w:rsidRPr="001A4000" w:rsidRDefault="001A4000" w:rsidP="001A4000">
      <w:pPr>
        <w:pStyle w:val="Titulek"/>
        <w:keepNext/>
        <w:rPr>
          <w:b w:val="0"/>
          <w:sz w:val="24"/>
        </w:rPr>
      </w:pPr>
      <w:bookmarkStart w:id="9" w:name="_Toc399013065"/>
      <w:r w:rsidRPr="001A4000">
        <w:rPr>
          <w:b w:val="0"/>
          <w:sz w:val="24"/>
        </w:rPr>
        <w:t xml:space="preserve">Tabulka </w:t>
      </w:r>
      <w:r w:rsidR="003818A1" w:rsidRPr="001A4000">
        <w:rPr>
          <w:b w:val="0"/>
          <w:sz w:val="24"/>
        </w:rPr>
        <w:fldChar w:fldCharType="begin"/>
      </w:r>
      <w:r w:rsidRPr="001A4000">
        <w:rPr>
          <w:b w:val="0"/>
          <w:sz w:val="24"/>
        </w:rPr>
        <w:instrText xml:space="preserve"> SEQ Tabulka \* ARABIC </w:instrText>
      </w:r>
      <w:r w:rsidR="003818A1" w:rsidRPr="001A4000">
        <w:rPr>
          <w:b w:val="0"/>
          <w:sz w:val="24"/>
        </w:rPr>
        <w:fldChar w:fldCharType="separate"/>
      </w:r>
      <w:r w:rsidR="00FB20B9">
        <w:rPr>
          <w:b w:val="0"/>
          <w:noProof/>
          <w:sz w:val="24"/>
        </w:rPr>
        <w:t>1</w:t>
      </w:r>
      <w:bookmarkEnd w:id="9"/>
      <w:r w:rsidR="003818A1" w:rsidRPr="001A4000">
        <w:rPr>
          <w:b w:val="0"/>
          <w:sz w:val="24"/>
        </w:rPr>
        <w:fldChar w:fldCharType="end"/>
      </w:r>
    </w:p>
    <w:p w:rsidR="001818AE" w:rsidRPr="003B6097" w:rsidRDefault="001818AE" w:rsidP="00497C76">
      <w:pPr>
        <w:spacing w:after="120"/>
        <w:rPr>
          <w:i/>
        </w:rPr>
      </w:pPr>
      <w:r w:rsidRPr="003B6097">
        <w:rPr>
          <w:i/>
        </w:rPr>
        <w:t>Rozdíly mezi tradiční a novou kulturou učení</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5"/>
        <w:gridCol w:w="4605"/>
      </w:tblGrid>
      <w:tr w:rsidR="001818AE" w:rsidTr="00A00E83">
        <w:tc>
          <w:tcPr>
            <w:tcW w:w="4605" w:type="dxa"/>
          </w:tcPr>
          <w:p w:rsidR="001818AE" w:rsidRPr="004049E5" w:rsidRDefault="001818AE" w:rsidP="00A00E83">
            <w:pPr>
              <w:rPr>
                <w:b/>
              </w:rPr>
            </w:pPr>
            <w:r w:rsidRPr="004049E5">
              <w:rPr>
                <w:b/>
              </w:rPr>
              <w:t>Tradiční</w:t>
            </w:r>
            <w:r w:rsidR="001A55DE">
              <w:rPr>
                <w:b/>
              </w:rPr>
              <w:t xml:space="preserve"> kultura učení</w:t>
            </w:r>
          </w:p>
        </w:tc>
        <w:tc>
          <w:tcPr>
            <w:tcW w:w="4605" w:type="dxa"/>
          </w:tcPr>
          <w:p w:rsidR="001818AE" w:rsidRPr="004049E5" w:rsidRDefault="001818AE" w:rsidP="00A00E83">
            <w:pPr>
              <w:rPr>
                <w:b/>
              </w:rPr>
            </w:pPr>
            <w:r w:rsidRPr="004049E5">
              <w:rPr>
                <w:b/>
              </w:rPr>
              <w:t>Nová</w:t>
            </w:r>
            <w:r w:rsidR="001A55DE">
              <w:rPr>
                <w:b/>
              </w:rPr>
              <w:t xml:space="preserve"> kultura učení</w:t>
            </w:r>
          </w:p>
        </w:tc>
      </w:tr>
      <w:tr w:rsidR="001818AE" w:rsidTr="00A00E83">
        <w:tc>
          <w:tcPr>
            <w:tcW w:w="4605" w:type="dxa"/>
          </w:tcPr>
          <w:p w:rsidR="001818AE" w:rsidRPr="00497C76" w:rsidRDefault="001818AE" w:rsidP="00A00E83">
            <w:pPr>
              <w:rPr>
                <w:sz w:val="20"/>
                <w:szCs w:val="20"/>
              </w:rPr>
            </w:pPr>
            <w:r w:rsidRPr="00497C76">
              <w:rPr>
                <w:sz w:val="20"/>
                <w:szCs w:val="20"/>
              </w:rPr>
              <w:t>Vyučování jako poučování</w:t>
            </w:r>
            <w:r w:rsidR="009311A3" w:rsidRPr="00497C76">
              <w:rPr>
                <w:sz w:val="20"/>
                <w:szCs w:val="20"/>
              </w:rPr>
              <w:t>.</w:t>
            </w:r>
          </w:p>
        </w:tc>
        <w:tc>
          <w:tcPr>
            <w:tcW w:w="4605" w:type="dxa"/>
          </w:tcPr>
          <w:p w:rsidR="001818AE" w:rsidRPr="00497C76" w:rsidRDefault="001818AE" w:rsidP="00A00E83">
            <w:pPr>
              <w:rPr>
                <w:sz w:val="20"/>
                <w:szCs w:val="20"/>
              </w:rPr>
            </w:pPr>
            <w:r w:rsidRPr="00497C76">
              <w:rPr>
                <w:sz w:val="20"/>
                <w:szCs w:val="20"/>
              </w:rPr>
              <w:t>Zájem o reálné životní situace a návaznost na předchozí vědomosti žáků.</w:t>
            </w:r>
          </w:p>
        </w:tc>
      </w:tr>
      <w:tr w:rsidR="001818AE" w:rsidTr="00A00E83">
        <w:tc>
          <w:tcPr>
            <w:tcW w:w="4605" w:type="dxa"/>
          </w:tcPr>
          <w:p w:rsidR="001818AE" w:rsidRPr="00497C76" w:rsidRDefault="001818AE" w:rsidP="00A00E83">
            <w:pPr>
              <w:rPr>
                <w:sz w:val="20"/>
                <w:szCs w:val="20"/>
              </w:rPr>
            </w:pPr>
            <w:r w:rsidRPr="00497C76">
              <w:rPr>
                <w:sz w:val="20"/>
                <w:szCs w:val="20"/>
              </w:rPr>
              <w:t>Řešení abstraktních problémů</w:t>
            </w:r>
            <w:r w:rsidR="003B6097" w:rsidRPr="00497C76">
              <w:rPr>
                <w:sz w:val="20"/>
                <w:szCs w:val="20"/>
              </w:rPr>
              <w:t>.</w:t>
            </w:r>
          </w:p>
        </w:tc>
        <w:tc>
          <w:tcPr>
            <w:tcW w:w="4605" w:type="dxa"/>
          </w:tcPr>
          <w:p w:rsidR="001818AE" w:rsidRPr="00497C76" w:rsidRDefault="001818AE" w:rsidP="00A00E83">
            <w:pPr>
              <w:rPr>
                <w:sz w:val="20"/>
                <w:szCs w:val="20"/>
              </w:rPr>
            </w:pPr>
            <w:r w:rsidRPr="00497C76">
              <w:rPr>
                <w:sz w:val="20"/>
                <w:szCs w:val="20"/>
              </w:rPr>
              <w:t>Řešení komplexních problémů</w:t>
            </w:r>
            <w:r w:rsidR="003B6097" w:rsidRPr="00497C76">
              <w:rPr>
                <w:sz w:val="20"/>
                <w:szCs w:val="20"/>
              </w:rPr>
              <w:t>.</w:t>
            </w:r>
          </w:p>
        </w:tc>
      </w:tr>
      <w:tr w:rsidR="001818AE" w:rsidTr="00A00E83">
        <w:tc>
          <w:tcPr>
            <w:tcW w:w="4605" w:type="dxa"/>
          </w:tcPr>
          <w:p w:rsidR="001818AE" w:rsidRPr="00497C76" w:rsidRDefault="001818AE" w:rsidP="00A00E83">
            <w:pPr>
              <w:rPr>
                <w:sz w:val="20"/>
                <w:szCs w:val="20"/>
              </w:rPr>
            </w:pPr>
            <w:r w:rsidRPr="00497C76">
              <w:rPr>
                <w:sz w:val="20"/>
                <w:szCs w:val="20"/>
              </w:rPr>
              <w:t>Aditivní utváření znalostí</w:t>
            </w:r>
            <w:r w:rsidR="003B6097" w:rsidRPr="00497C76">
              <w:rPr>
                <w:sz w:val="20"/>
                <w:szCs w:val="20"/>
              </w:rPr>
              <w:t>.</w:t>
            </w:r>
          </w:p>
        </w:tc>
        <w:tc>
          <w:tcPr>
            <w:tcW w:w="4605" w:type="dxa"/>
          </w:tcPr>
          <w:p w:rsidR="001818AE" w:rsidRPr="00497C76" w:rsidRDefault="00B2495B" w:rsidP="00A00E83">
            <w:pPr>
              <w:rPr>
                <w:sz w:val="20"/>
                <w:szCs w:val="20"/>
              </w:rPr>
            </w:pPr>
            <w:r w:rsidRPr="00497C76">
              <w:rPr>
                <w:sz w:val="20"/>
                <w:szCs w:val="20"/>
              </w:rPr>
              <w:t>Metakogni</w:t>
            </w:r>
            <w:r w:rsidR="001818AE" w:rsidRPr="00497C76">
              <w:rPr>
                <w:sz w:val="20"/>
                <w:szCs w:val="20"/>
              </w:rPr>
              <w:t>ce</w:t>
            </w:r>
            <w:r w:rsidR="003B6097" w:rsidRPr="00497C76">
              <w:rPr>
                <w:sz w:val="20"/>
                <w:szCs w:val="20"/>
              </w:rPr>
              <w:t>.</w:t>
            </w:r>
          </w:p>
        </w:tc>
      </w:tr>
      <w:tr w:rsidR="001818AE" w:rsidTr="00A00E83">
        <w:tc>
          <w:tcPr>
            <w:tcW w:w="4605" w:type="dxa"/>
          </w:tcPr>
          <w:p w:rsidR="001818AE" w:rsidRPr="00497C76" w:rsidRDefault="001818AE" w:rsidP="00A00E83">
            <w:pPr>
              <w:rPr>
                <w:sz w:val="20"/>
                <w:szCs w:val="20"/>
              </w:rPr>
            </w:pPr>
            <w:r w:rsidRPr="00497C76">
              <w:rPr>
                <w:sz w:val="20"/>
                <w:szCs w:val="20"/>
              </w:rPr>
              <w:t>Předávání hotových produktů</w:t>
            </w:r>
            <w:r w:rsidR="003B6097" w:rsidRPr="00497C76">
              <w:rPr>
                <w:sz w:val="20"/>
                <w:szCs w:val="20"/>
              </w:rPr>
              <w:t>.</w:t>
            </w:r>
          </w:p>
        </w:tc>
        <w:tc>
          <w:tcPr>
            <w:tcW w:w="4605" w:type="dxa"/>
          </w:tcPr>
          <w:p w:rsidR="001818AE" w:rsidRPr="00497C76" w:rsidRDefault="001818AE" w:rsidP="00A00E83">
            <w:pPr>
              <w:rPr>
                <w:sz w:val="20"/>
                <w:szCs w:val="20"/>
              </w:rPr>
            </w:pPr>
            <w:r w:rsidRPr="00497C76">
              <w:rPr>
                <w:sz w:val="20"/>
                <w:szCs w:val="20"/>
              </w:rPr>
              <w:t>Znalosti jsou konstruovány v komplexních učebních situacích</w:t>
            </w:r>
            <w:r w:rsidR="003B6097" w:rsidRPr="00497C76">
              <w:rPr>
                <w:sz w:val="20"/>
                <w:szCs w:val="20"/>
              </w:rPr>
              <w:t>.</w:t>
            </w:r>
          </w:p>
        </w:tc>
      </w:tr>
      <w:tr w:rsidR="001818AE" w:rsidTr="00A00E83">
        <w:tc>
          <w:tcPr>
            <w:tcW w:w="4605" w:type="dxa"/>
          </w:tcPr>
          <w:p w:rsidR="001818AE" w:rsidRPr="00497C76" w:rsidRDefault="001818AE" w:rsidP="00A00E83">
            <w:pPr>
              <w:rPr>
                <w:sz w:val="20"/>
                <w:szCs w:val="20"/>
              </w:rPr>
            </w:pPr>
            <w:r w:rsidRPr="00497C76">
              <w:rPr>
                <w:sz w:val="20"/>
                <w:szCs w:val="20"/>
              </w:rPr>
              <w:t>Žák je připravován na přesnou reprodukci znalostí</w:t>
            </w:r>
            <w:r w:rsidR="003B6097" w:rsidRPr="00497C76">
              <w:rPr>
                <w:sz w:val="20"/>
                <w:szCs w:val="20"/>
              </w:rPr>
              <w:t>.</w:t>
            </w:r>
          </w:p>
        </w:tc>
        <w:tc>
          <w:tcPr>
            <w:tcW w:w="4605" w:type="dxa"/>
          </w:tcPr>
          <w:p w:rsidR="001818AE" w:rsidRPr="00497C76" w:rsidRDefault="001818AE" w:rsidP="00A00E83">
            <w:pPr>
              <w:rPr>
                <w:sz w:val="20"/>
                <w:szCs w:val="20"/>
              </w:rPr>
            </w:pPr>
            <w:r w:rsidRPr="00497C76">
              <w:rPr>
                <w:sz w:val="20"/>
                <w:szCs w:val="20"/>
              </w:rPr>
              <w:t>Žák je připravován na transfer, aplikování a využívání znalostí v nových nebo pozměněných situacích.</w:t>
            </w:r>
          </w:p>
        </w:tc>
      </w:tr>
      <w:tr w:rsidR="001818AE" w:rsidTr="00A00E83">
        <w:trPr>
          <w:trHeight w:val="155"/>
        </w:trPr>
        <w:tc>
          <w:tcPr>
            <w:tcW w:w="4605" w:type="dxa"/>
          </w:tcPr>
          <w:p w:rsidR="001818AE" w:rsidRPr="00497C76" w:rsidRDefault="001818AE" w:rsidP="00A00E83">
            <w:pPr>
              <w:rPr>
                <w:sz w:val="20"/>
                <w:szCs w:val="20"/>
              </w:rPr>
            </w:pPr>
            <w:r w:rsidRPr="00497C76">
              <w:rPr>
                <w:sz w:val="20"/>
                <w:szCs w:val="20"/>
              </w:rPr>
              <w:t>Žák je primárně odběratelem informací</w:t>
            </w:r>
            <w:r w:rsidR="003B6097" w:rsidRPr="00497C76">
              <w:rPr>
                <w:sz w:val="20"/>
                <w:szCs w:val="20"/>
              </w:rPr>
              <w:t>.</w:t>
            </w:r>
          </w:p>
        </w:tc>
        <w:tc>
          <w:tcPr>
            <w:tcW w:w="4605" w:type="dxa"/>
          </w:tcPr>
          <w:p w:rsidR="001818AE" w:rsidRPr="00497C76" w:rsidRDefault="001818AE" w:rsidP="00A00E83">
            <w:pPr>
              <w:rPr>
                <w:sz w:val="20"/>
                <w:szCs w:val="20"/>
              </w:rPr>
            </w:pPr>
            <w:r w:rsidRPr="00497C76">
              <w:rPr>
                <w:sz w:val="20"/>
                <w:szCs w:val="20"/>
              </w:rPr>
              <w:t>Žáci si sami řídí vlastní učební procesy</w:t>
            </w:r>
            <w:r w:rsidR="00B2495B" w:rsidRPr="00497C76">
              <w:rPr>
                <w:sz w:val="20"/>
                <w:szCs w:val="20"/>
              </w:rPr>
              <w:t>.</w:t>
            </w:r>
          </w:p>
        </w:tc>
      </w:tr>
      <w:tr w:rsidR="001818AE" w:rsidTr="00A00E83">
        <w:tc>
          <w:tcPr>
            <w:tcW w:w="4605" w:type="dxa"/>
          </w:tcPr>
          <w:p w:rsidR="001818AE" w:rsidRPr="00497C76" w:rsidRDefault="001818AE" w:rsidP="00A00E83">
            <w:pPr>
              <w:rPr>
                <w:sz w:val="20"/>
                <w:szCs w:val="20"/>
              </w:rPr>
            </w:pPr>
            <w:r w:rsidRPr="00497C76">
              <w:rPr>
                <w:sz w:val="20"/>
                <w:szCs w:val="20"/>
              </w:rPr>
              <w:t>Učitel je primárně zprostředkovatelem objektivního vědění.</w:t>
            </w:r>
          </w:p>
        </w:tc>
        <w:tc>
          <w:tcPr>
            <w:tcW w:w="4605" w:type="dxa"/>
          </w:tcPr>
          <w:p w:rsidR="001818AE" w:rsidRPr="00497C76" w:rsidRDefault="001818AE" w:rsidP="00A00E83">
            <w:pPr>
              <w:rPr>
                <w:sz w:val="20"/>
                <w:szCs w:val="20"/>
              </w:rPr>
            </w:pPr>
            <w:r w:rsidRPr="00497C76">
              <w:rPr>
                <w:sz w:val="20"/>
                <w:szCs w:val="20"/>
              </w:rPr>
              <w:t>Žáci jsou schopni sami zvládnout učební a myšlenkové předpoklady k vyřešení určitého problému.</w:t>
            </w:r>
          </w:p>
        </w:tc>
      </w:tr>
    </w:tbl>
    <w:p w:rsidR="001818AE" w:rsidRDefault="001818AE" w:rsidP="001818AE">
      <w:r>
        <w:t xml:space="preserve"> Pozn. Volně </w:t>
      </w:r>
      <w:r w:rsidR="00497C76">
        <w:t>po</w:t>
      </w:r>
      <w:r>
        <w:t>dle Pätzold</w:t>
      </w:r>
      <w:r w:rsidR="00497C76">
        <w:t xml:space="preserve"> </w:t>
      </w:r>
      <w:r>
        <w:t>&amp; Lang (1999, s. 37).</w:t>
      </w:r>
    </w:p>
    <w:p w:rsidR="001818AE" w:rsidRDefault="001818AE" w:rsidP="001818AE">
      <w:pPr>
        <w:rPr>
          <w:color w:val="7030A0"/>
        </w:rPr>
      </w:pPr>
    </w:p>
    <w:p w:rsidR="00B2495B" w:rsidRDefault="005B6358" w:rsidP="00370CD8">
      <w:pPr>
        <w:spacing w:line="276" w:lineRule="auto"/>
        <w:jc w:val="both"/>
      </w:pPr>
      <w:r>
        <w:t xml:space="preserve">Z tabulky </w:t>
      </w:r>
      <w:r w:rsidR="002F7C1F">
        <w:t>1</w:t>
      </w:r>
      <w:r>
        <w:t xml:space="preserve"> vyplývá, že </w:t>
      </w:r>
      <w:r w:rsidR="007B2A1C">
        <w:t>nová kultura vyučování a učení vychází především z tradiční kritiky tzv. transmisivní výuky založené na předkládání hotového učiva a jeho následné reprodukci. N</w:t>
      </w:r>
      <w:r>
        <w:t>ová kultura vyučování a učení je oproti kultuře staré postavena</w:t>
      </w:r>
      <w:r w:rsidR="00366EF7">
        <w:t xml:space="preserve"> na předpokladu, že k učení dochází pouze skrze poznávání smyslu toho, s čím se setkáváme během aktivního konstruování v</w:t>
      </w:r>
      <w:r w:rsidR="00B35654">
        <w:t>la</w:t>
      </w:r>
      <w:r w:rsidR="00366EF7">
        <w:t xml:space="preserve">stního světa. Nová kultura vyučování a učení se snaží překonat rozdíly mezi </w:t>
      </w:r>
      <w:r>
        <w:t xml:space="preserve">školním </w:t>
      </w:r>
      <w:r w:rsidR="004363E8">
        <w:t>věděním</w:t>
      </w:r>
      <w:r>
        <w:t xml:space="preserve"> </w:t>
      </w:r>
      <w:r w:rsidR="00366EF7">
        <w:t>definovaným kurikulem</w:t>
      </w:r>
      <w:r>
        <w:t xml:space="preserve"> a reprezentovaným učitelem </w:t>
      </w:r>
      <w:r w:rsidR="00366EF7">
        <w:t>a každodenním věděním</w:t>
      </w:r>
      <w:r>
        <w:t xml:space="preserve"> </w:t>
      </w:r>
      <w:r w:rsidR="00366EF7">
        <w:t xml:space="preserve">definovaným </w:t>
      </w:r>
      <w:r>
        <w:t xml:space="preserve">a reprezentovaným </w:t>
      </w:r>
      <w:r w:rsidR="00366EF7">
        <w:t>individuálními zkušenostmi</w:t>
      </w:r>
      <w:r w:rsidR="007B2A1C">
        <w:t xml:space="preserve"> žáků</w:t>
      </w:r>
      <w:r>
        <w:t xml:space="preserve">. </w:t>
      </w:r>
    </w:p>
    <w:p w:rsidR="00B2495B" w:rsidRDefault="00B2495B" w:rsidP="00366EF7"/>
    <w:p w:rsidR="00782990" w:rsidRPr="001841AB" w:rsidRDefault="004E11FF" w:rsidP="0010497B">
      <w:pPr>
        <w:pStyle w:val="Nadpis2"/>
      </w:pPr>
      <w:bookmarkStart w:id="10" w:name="_Toc399775379"/>
      <w:r w:rsidRPr="001841AB">
        <w:t>Teoretická východiska</w:t>
      </w:r>
      <w:bookmarkEnd w:id="10"/>
      <w:r w:rsidR="00782990" w:rsidRPr="001841AB">
        <w:t xml:space="preserve"> </w:t>
      </w:r>
    </w:p>
    <w:p w:rsidR="00C63F77" w:rsidRPr="00EF217A" w:rsidRDefault="00C63F77" w:rsidP="00772466">
      <w:pPr>
        <w:autoSpaceDE w:val="0"/>
        <w:autoSpaceDN w:val="0"/>
        <w:adjustRightInd w:val="0"/>
        <w:spacing w:after="120" w:line="276" w:lineRule="auto"/>
        <w:jc w:val="both"/>
      </w:pPr>
      <w:r w:rsidRPr="001818AE">
        <w:t>Aktuálně „nová“</w:t>
      </w:r>
      <w:r w:rsidRPr="001818AE">
        <w:rPr>
          <w:i/>
        </w:rPr>
        <w:t xml:space="preserve"> kultura vyučování a učení </w:t>
      </w:r>
      <w:r w:rsidRPr="001818AE">
        <w:t>nachází svůj teoretický fundament v teoriích pedagogického a psychologického konstruktivismu</w:t>
      </w:r>
      <w:r w:rsidRPr="001818AE">
        <w:rPr>
          <w:color w:val="FF0000"/>
        </w:rPr>
        <w:t>.</w:t>
      </w:r>
      <w:r w:rsidRPr="001818AE">
        <w:t xml:space="preserve"> </w:t>
      </w:r>
      <w:r w:rsidR="00772466" w:rsidRPr="001841AB">
        <w:t xml:space="preserve">Konstruktivismus zpravidla zastřešuje úsilí o individualizaci učebních procesů, kognitivní aktivizaci, užívání učebních úloh vyžadujících transfer poznatků do nových kontextů a řešení autentických životních problémů. Konstruktivisticky orientovaný výzkum v pedagogických a psychologických vědách vychází především z prací J. Piageta. Dle Piageta je </w:t>
      </w:r>
      <w:r w:rsidR="00772466" w:rsidRPr="00EF217A">
        <w:t>vědění chápáno jako nástroj k provádění cílově orientovaného jednání v reálném světě.</w:t>
      </w:r>
      <w:r w:rsidR="00772466" w:rsidRPr="00EF217A">
        <w:rPr>
          <w:rStyle w:val="Znakapoznpodarou"/>
        </w:rPr>
        <w:footnoteReference w:id="4"/>
      </w:r>
      <w:r w:rsidR="00772466" w:rsidRPr="00EF217A">
        <w:t xml:space="preserve"> </w:t>
      </w:r>
      <w:r w:rsidRPr="00EF217A">
        <w:t>V teoretických pojednáních z posledních let se popisuje, jakými charakteristikami se nová</w:t>
      </w:r>
      <w:r w:rsidRPr="00EF217A">
        <w:rPr>
          <w:i/>
        </w:rPr>
        <w:t xml:space="preserve"> kultura vyučování a učení</w:t>
      </w:r>
      <w:r w:rsidRPr="00EF217A">
        <w:t xml:space="preserve"> vyznačuje, a uvažuje se o tom, jak by mohlo či mělo být vedeno </w:t>
      </w:r>
      <w:r w:rsidRPr="00EF217A">
        <w:rPr>
          <w:i/>
        </w:rPr>
        <w:t>vyučování</w:t>
      </w:r>
      <w:r w:rsidRPr="00EF217A">
        <w:t>, aby směřovalo k jejímu rozvíjení.</w:t>
      </w:r>
      <w:r w:rsidRPr="00EF217A">
        <w:rPr>
          <w:i/>
        </w:rPr>
        <w:t xml:space="preserve"> </w:t>
      </w:r>
      <w:r w:rsidRPr="00EF217A">
        <w:t>Důraz je kladen zejména na individualizaci učebních procesů, kognitivní aktivizaci žáků, zavádění autentických učebních úloh vyžadujících transfer naučeného do nových kontextů, generativní řešení problémů, verbalizaci procesu řešení úloh, podporu metakognitivních procesů např. prostřednictvím rekapitulace učebního procesu apod. (srov. Reusser, 2001; Wiater, 2005)</w:t>
      </w:r>
      <w:r w:rsidRPr="00EF217A">
        <w:rPr>
          <w:i/>
        </w:rPr>
        <w:t>.</w:t>
      </w:r>
      <w:r w:rsidRPr="00EF217A">
        <w:t xml:space="preserve"> Za osvojením vědění se zpravidla skrývá proces myšlení (analýzy, syntézy, zobecnění). K aktivizaci žákovy myšlenkové činnosti zpravidla dochází v těch situacích, kdy žák řeší určité úlohy, které mají problémový ráz.</w:t>
      </w:r>
    </w:p>
    <w:p w:rsidR="00B62085" w:rsidRPr="001841AB" w:rsidRDefault="00825B9E" w:rsidP="001841AB">
      <w:pPr>
        <w:spacing w:after="120" w:line="276" w:lineRule="auto"/>
        <w:jc w:val="both"/>
      </w:pPr>
      <w:r w:rsidRPr="001841AB">
        <w:t>Z pohledu v současnosti preferovaných teorií učení se</w:t>
      </w:r>
      <w:r w:rsidR="00772466">
        <w:t xml:space="preserve"> </w:t>
      </w:r>
      <w:r w:rsidR="00772466" w:rsidRPr="001841AB">
        <w:t>může</w:t>
      </w:r>
      <w:r w:rsidR="00772466">
        <w:t xml:space="preserve"> kompetenčně orientovaná</w:t>
      </w:r>
      <w:r w:rsidRPr="001841AB">
        <w:t xml:space="preserve"> </w:t>
      </w:r>
      <w:r w:rsidR="00772466">
        <w:t xml:space="preserve">nová kultura vyučování a učení </w:t>
      </w:r>
      <w:r w:rsidR="009D4E48" w:rsidRPr="001841AB">
        <w:t xml:space="preserve">opírat o </w:t>
      </w:r>
      <w:r w:rsidR="006244DE" w:rsidRPr="001841AB">
        <w:t>teori</w:t>
      </w:r>
      <w:r w:rsidR="009D4E48" w:rsidRPr="001841AB">
        <w:t>e</w:t>
      </w:r>
      <w:r w:rsidR="006244DE" w:rsidRPr="001841AB">
        <w:t xml:space="preserve"> situovaného učení</w:t>
      </w:r>
      <w:r w:rsidR="00B60651" w:rsidRPr="001841AB">
        <w:t xml:space="preserve"> (</w:t>
      </w:r>
      <w:r w:rsidR="009A6D85">
        <w:t xml:space="preserve">angl. </w:t>
      </w:r>
      <w:r w:rsidR="009A6D85" w:rsidRPr="009A6D85">
        <w:rPr>
          <w:i/>
        </w:rPr>
        <w:t>situated learning</w:t>
      </w:r>
      <w:r w:rsidR="009A6D85">
        <w:t xml:space="preserve">; </w:t>
      </w:r>
      <w:r w:rsidR="004600D1" w:rsidRPr="001841AB">
        <w:t xml:space="preserve">srov. </w:t>
      </w:r>
      <w:r w:rsidR="00E2053B" w:rsidRPr="001841AB">
        <w:t>Lave &amp; Wenger, 1991</w:t>
      </w:r>
      <w:r w:rsidR="00B60651" w:rsidRPr="001841AB">
        <w:t>)</w:t>
      </w:r>
      <w:r w:rsidR="00F40743" w:rsidRPr="001841AB">
        <w:t xml:space="preserve">. </w:t>
      </w:r>
      <w:r w:rsidR="007070F8" w:rsidRPr="001841AB">
        <w:t>Tyto teorie zároveň na konci 80. letech 20. století stály v pozadí změn</w:t>
      </w:r>
      <w:r w:rsidR="001F4929" w:rsidRPr="001841AB">
        <w:t xml:space="preserve">y </w:t>
      </w:r>
      <w:r w:rsidR="007070F8" w:rsidRPr="001841AB">
        <w:t>dominantních paradigmat v pedagogické psychologii, která zaznamenávala odklon</w:t>
      </w:r>
      <w:r w:rsidR="00AB7E8C">
        <w:t xml:space="preserve"> </w:t>
      </w:r>
      <w:r w:rsidR="007070F8" w:rsidRPr="001841AB">
        <w:t>od kognitivismu směrem k tzv. slabému konstruktivismu, zejména tzv. situované kognici</w:t>
      </w:r>
      <w:r w:rsidR="003454D3">
        <w:t>.</w:t>
      </w:r>
      <w:r w:rsidR="007070F8" w:rsidRPr="001841AB">
        <w:t xml:space="preserve"> </w:t>
      </w:r>
      <w:r w:rsidR="00F40743" w:rsidRPr="001841AB">
        <w:t xml:space="preserve">Teorie situovaného učení upřednostňují </w:t>
      </w:r>
      <w:r w:rsidR="006244DE" w:rsidRPr="001841AB">
        <w:t xml:space="preserve">učení, které je na jednu stranu teoreticky fundované a zároveň </w:t>
      </w:r>
      <w:r w:rsidR="0004445F" w:rsidRPr="001841AB">
        <w:t xml:space="preserve">aplikačně </w:t>
      </w:r>
      <w:r w:rsidR="006244DE" w:rsidRPr="001841AB">
        <w:t>situovan</w:t>
      </w:r>
      <w:r w:rsidR="0004445F" w:rsidRPr="001841AB">
        <w:t>é do prostředí praxe nebo do prostředí blízkého praxi.</w:t>
      </w:r>
      <w:r w:rsidR="00F40743" w:rsidRPr="001841AB">
        <w:t xml:space="preserve"> </w:t>
      </w:r>
      <w:r w:rsidR="003454D3" w:rsidRPr="001841AB">
        <w:t>Cílem je, aby žáci nedisponovali pouze kontext</w:t>
      </w:r>
      <w:r w:rsidR="003454D3">
        <w:t xml:space="preserve">ově </w:t>
      </w:r>
      <w:r w:rsidR="003454D3" w:rsidRPr="001841AB">
        <w:t>ohraničenými znalostmi, ale aby byli schopni tyto znalosti využívat také v</w:t>
      </w:r>
      <w:r w:rsidR="003454D3">
        <w:t> situacích odehrávajících se</w:t>
      </w:r>
      <w:r w:rsidR="003454D3" w:rsidRPr="001841AB">
        <w:t xml:space="preserve"> mimo prostředí školní výuky </w:t>
      </w:r>
      <w:r w:rsidR="003454D3" w:rsidRPr="009A6D85">
        <w:t>(</w:t>
      </w:r>
      <w:r w:rsidR="00975321">
        <w:t xml:space="preserve">k tématu </w:t>
      </w:r>
      <w:r w:rsidR="003454D3">
        <w:t>podrobněji viz Minaříková, 2011, s. 47–48</w:t>
      </w:r>
      <w:r w:rsidR="003454D3" w:rsidRPr="009A6D85">
        <w:t>).</w:t>
      </w:r>
      <w:r w:rsidR="003454D3">
        <w:t xml:space="preserve"> Ž</w:t>
      </w:r>
      <w:r w:rsidR="00B742D9" w:rsidRPr="001841AB">
        <w:t>ivotu blízk</w:t>
      </w:r>
      <w:r w:rsidR="003454D3">
        <w:t>é</w:t>
      </w:r>
      <w:r w:rsidR="00B742D9" w:rsidRPr="001841AB">
        <w:t xml:space="preserve"> situac</w:t>
      </w:r>
      <w:r w:rsidR="003454D3">
        <w:t>e</w:t>
      </w:r>
      <w:r w:rsidR="00B742D9" w:rsidRPr="001841AB">
        <w:t xml:space="preserve"> </w:t>
      </w:r>
      <w:r w:rsidR="003454D3">
        <w:t xml:space="preserve">by měly být navozovány </w:t>
      </w:r>
      <w:r w:rsidR="00B742D9" w:rsidRPr="001841AB">
        <w:t xml:space="preserve">zejména pomocí autentických učebních úloh. </w:t>
      </w:r>
      <w:r w:rsidR="004F03B6">
        <w:t>T</w:t>
      </w:r>
      <w:r w:rsidR="004F03B6" w:rsidRPr="001841AB">
        <w:t xml:space="preserve">eorie situovaného učení </w:t>
      </w:r>
      <w:r w:rsidR="004F03B6">
        <w:t xml:space="preserve">byla pro didaktické účely rozpracovaná do několika teorií situovaného vyučování. </w:t>
      </w:r>
      <w:r w:rsidR="007111CE" w:rsidRPr="001841AB">
        <w:t xml:space="preserve">Mezi nejznámější patří </w:t>
      </w:r>
      <w:r w:rsidR="009A6D85" w:rsidRPr="009A6D85">
        <w:rPr>
          <w:i/>
        </w:rPr>
        <w:t xml:space="preserve">teorie zakotveného </w:t>
      </w:r>
      <w:r w:rsidR="004F03B6">
        <w:rPr>
          <w:i/>
        </w:rPr>
        <w:t>vyučování</w:t>
      </w:r>
      <w:r w:rsidR="009A6D85" w:rsidRPr="009A6D85">
        <w:rPr>
          <w:i/>
        </w:rPr>
        <w:t xml:space="preserve">, teorie kognitivní flexibility </w:t>
      </w:r>
      <w:r w:rsidR="009A6D85" w:rsidRPr="003454D3">
        <w:t>a</w:t>
      </w:r>
      <w:r w:rsidR="009A6D85" w:rsidRPr="009A6D85">
        <w:rPr>
          <w:i/>
        </w:rPr>
        <w:t xml:space="preserve"> teorie kognitivního učňovství</w:t>
      </w:r>
      <w:r w:rsidR="009A6D85" w:rsidRPr="009A6D85">
        <w:t xml:space="preserve">, kterým se </w:t>
      </w:r>
      <w:r w:rsidR="009A6D85">
        <w:t>nyní budeme věnovat podrobněji</w:t>
      </w:r>
      <w:r w:rsidR="007111CE" w:rsidRPr="009A6D85">
        <w:t>.</w:t>
      </w:r>
    </w:p>
    <w:p w:rsidR="007111CE" w:rsidRPr="001841AB" w:rsidRDefault="007111CE" w:rsidP="001841AB">
      <w:pPr>
        <w:spacing w:after="120" w:line="276" w:lineRule="auto"/>
        <w:jc w:val="both"/>
        <w:rPr>
          <w:i/>
        </w:rPr>
      </w:pPr>
    </w:p>
    <w:p w:rsidR="009A6D85" w:rsidRDefault="009A6D85" w:rsidP="009A6D85">
      <w:pPr>
        <w:pStyle w:val="Nadpis3"/>
      </w:pPr>
      <w:bookmarkStart w:id="11" w:name="_Toc399775380"/>
      <w:r w:rsidRPr="009A6D85">
        <w:t>Teorie zakotveného učení</w:t>
      </w:r>
      <w:bookmarkEnd w:id="11"/>
      <w:r w:rsidRPr="009A6D85">
        <w:t xml:space="preserve"> </w:t>
      </w:r>
    </w:p>
    <w:p w:rsidR="00B71F47" w:rsidRDefault="00717F45" w:rsidP="001841AB">
      <w:pPr>
        <w:spacing w:after="120" w:line="276" w:lineRule="auto"/>
        <w:jc w:val="both"/>
      </w:pPr>
      <w:r w:rsidRPr="009A6D85">
        <w:rPr>
          <w:i/>
        </w:rPr>
        <w:t xml:space="preserve">Teorie (místně) zakotveného </w:t>
      </w:r>
      <w:r w:rsidR="006617AD">
        <w:rPr>
          <w:i/>
        </w:rPr>
        <w:t>vyučování</w:t>
      </w:r>
      <w:r w:rsidRPr="009A6D85">
        <w:t xml:space="preserve"> </w:t>
      </w:r>
      <w:r w:rsidR="001B0DAE" w:rsidRPr="009A6D85">
        <w:t>(</w:t>
      </w:r>
      <w:r w:rsidR="009A6D85">
        <w:t xml:space="preserve">angl. </w:t>
      </w:r>
      <w:r w:rsidR="009A6D85" w:rsidRPr="009A6D85">
        <w:rPr>
          <w:i/>
        </w:rPr>
        <w:t>anchored instruction</w:t>
      </w:r>
      <w:r w:rsidR="009A6D85">
        <w:t xml:space="preserve">; </w:t>
      </w:r>
      <w:r w:rsidR="004600D1" w:rsidRPr="001841AB">
        <w:t xml:space="preserve">podrobněji viz </w:t>
      </w:r>
      <w:r w:rsidR="001B0DAE" w:rsidRPr="001841AB">
        <w:t>CTGV, 1990</w:t>
      </w:r>
      <w:r w:rsidR="004600D1" w:rsidRPr="001841AB">
        <w:t>; Bransford et al., 1990</w:t>
      </w:r>
      <w:r w:rsidR="009A6D85">
        <w:t xml:space="preserve"> aj.</w:t>
      </w:r>
      <w:r w:rsidR="001B0DAE" w:rsidRPr="001841AB">
        <w:t xml:space="preserve">) </w:t>
      </w:r>
      <w:r w:rsidR="007111CE" w:rsidRPr="001841AB">
        <w:t>poukazuje na problém</w:t>
      </w:r>
      <w:r w:rsidR="00C5620A" w:rsidRPr="001841AB">
        <w:t xml:space="preserve">, že školní výuka selhává zejména v tom, aby žáky motivovala přemýšlet o </w:t>
      </w:r>
      <w:r w:rsidR="00C5620A" w:rsidRPr="003454D3">
        <w:t xml:space="preserve">realistických životních situacích. </w:t>
      </w:r>
      <w:r w:rsidR="00B02089">
        <w:t xml:space="preserve">Teorie usiluje o překonání problému tzv. </w:t>
      </w:r>
      <w:r w:rsidR="007111CE" w:rsidRPr="003454D3">
        <w:t>inertní</w:t>
      </w:r>
      <w:r w:rsidR="00B02089">
        <w:t>ch</w:t>
      </w:r>
      <w:r w:rsidR="007111CE" w:rsidRPr="003454D3">
        <w:t xml:space="preserve"> znalost</w:t>
      </w:r>
      <w:r w:rsidR="00B02089">
        <w:t>í</w:t>
      </w:r>
      <w:r w:rsidR="001A79BB" w:rsidRPr="003454D3">
        <w:rPr>
          <w:rStyle w:val="Znakapoznpodarou"/>
        </w:rPr>
        <w:footnoteReference w:id="5"/>
      </w:r>
      <w:r w:rsidR="001A79BB" w:rsidRPr="003454D3">
        <w:t xml:space="preserve"> a </w:t>
      </w:r>
      <w:r w:rsidR="00B02089">
        <w:t>zaměřuje se</w:t>
      </w:r>
      <w:r w:rsidR="001A79BB" w:rsidRPr="003454D3">
        <w:t xml:space="preserve"> </w:t>
      </w:r>
      <w:r w:rsidR="004B11CE" w:rsidRPr="003454D3">
        <w:t>pomocí narativního</w:t>
      </w:r>
      <w:r w:rsidR="004B11CE" w:rsidRPr="001841AB">
        <w:t xml:space="preserve"> ukotvování na aplikaci znalostí v komplexních a autentických problémových situacích. Tyto situace jsou součástí nějakého souvisejícího příběhu. Cílem „kotvy“</w:t>
      </w:r>
      <w:r w:rsidR="004B11CE" w:rsidRPr="001841AB">
        <w:rPr>
          <w:color w:val="FF0000"/>
        </w:rPr>
        <w:t xml:space="preserve"> </w:t>
      </w:r>
      <w:r w:rsidRPr="001841AB">
        <w:t>je obohatit výuku o kontext b</w:t>
      </w:r>
      <w:r w:rsidR="00B56BAD" w:rsidRPr="001841AB">
        <w:t>lízký</w:t>
      </w:r>
      <w:r w:rsidR="002C335E" w:rsidRPr="001841AB">
        <w:t xml:space="preserve"> každodenním životním situacím</w:t>
      </w:r>
      <w:r w:rsidR="00B56BAD" w:rsidRPr="001841AB">
        <w:t xml:space="preserve"> a vzbudit tím pozornost žáků a aktivovat jejich předchozí znalosti. Začátek pří</w:t>
      </w:r>
      <w:r w:rsidR="00B02089">
        <w:t>b</w:t>
      </w:r>
      <w:r w:rsidR="00B56BAD" w:rsidRPr="001841AB">
        <w:t xml:space="preserve">ěhu je zpravidla otevřený a mění se v závislosti na kvalitě řešení dílčích souvisejících problémů. Všechny informace, které žák k úspěšnému řešení problému </w:t>
      </w:r>
      <w:r w:rsidR="002C335E" w:rsidRPr="001841AB">
        <w:t xml:space="preserve">potřebuje, jsou „ukotveny“ v příběhu. Aby se zamezilo fixaci </w:t>
      </w:r>
      <w:r w:rsidR="00B71F47" w:rsidRPr="001841AB">
        <w:t>znalostí pouze na kontext jednoho příběhu, doporučuje se prezentovat žákům více příběhů a procvičovat tak jejich schopnost aplikovat znalosti v odlišných kontextech.</w:t>
      </w:r>
    </w:p>
    <w:p w:rsidR="009A6D85" w:rsidRPr="001841AB" w:rsidRDefault="009A6D85" w:rsidP="001841AB">
      <w:pPr>
        <w:spacing w:after="120" w:line="276" w:lineRule="auto"/>
        <w:jc w:val="both"/>
      </w:pPr>
    </w:p>
    <w:p w:rsidR="00B71F47" w:rsidRPr="001841AB" w:rsidRDefault="009A6D85" w:rsidP="00D053A8">
      <w:pPr>
        <w:pStyle w:val="Nadpis3"/>
        <w:rPr>
          <w:color w:val="FF0000"/>
        </w:rPr>
      </w:pPr>
      <w:bookmarkStart w:id="12" w:name="_Toc399775381"/>
      <w:r>
        <w:t>Teorie kognitivní flexibility</w:t>
      </w:r>
      <w:bookmarkEnd w:id="12"/>
    </w:p>
    <w:p w:rsidR="004C0779" w:rsidRPr="001841AB" w:rsidRDefault="00B71F47" w:rsidP="001841AB">
      <w:pPr>
        <w:spacing w:after="120" w:line="276" w:lineRule="auto"/>
        <w:jc w:val="both"/>
      </w:pPr>
      <w:r w:rsidRPr="009A6D85">
        <w:rPr>
          <w:i/>
        </w:rPr>
        <w:t>Teorie kognitivní flexibility</w:t>
      </w:r>
      <w:r w:rsidRPr="009A6D85">
        <w:t xml:space="preserve"> </w:t>
      </w:r>
      <w:r w:rsidR="00002951" w:rsidRPr="009A6D85">
        <w:t>(</w:t>
      </w:r>
      <w:r w:rsidR="009A6D85">
        <w:t xml:space="preserve">angl. </w:t>
      </w:r>
      <w:r w:rsidR="009A6D85" w:rsidRPr="009A6D85">
        <w:rPr>
          <w:i/>
        </w:rPr>
        <w:t>cognitive flexibility</w:t>
      </w:r>
      <w:r w:rsidR="009A6D85">
        <w:t xml:space="preserve">; podrobněji </w:t>
      </w:r>
      <w:r w:rsidR="00B02089">
        <w:t>viz Spiro</w:t>
      </w:r>
      <w:r w:rsidR="00002951">
        <w:t xml:space="preserve"> e</w:t>
      </w:r>
      <w:r w:rsidR="00FA25A0" w:rsidRPr="001841AB">
        <w:t>t al., 1992)</w:t>
      </w:r>
      <w:r w:rsidR="00BB0105" w:rsidRPr="001841AB">
        <w:t xml:space="preserve"> </w:t>
      </w:r>
      <w:r w:rsidRPr="001841AB">
        <w:t xml:space="preserve">vychází </w:t>
      </w:r>
      <w:r w:rsidR="008E490C" w:rsidRPr="001841AB">
        <w:t>z předpokladu, že problémy předkládané žákům k učení by nem</w:t>
      </w:r>
      <w:r w:rsidR="00B02089">
        <w:t>ě</w:t>
      </w:r>
      <w:r w:rsidR="008E490C" w:rsidRPr="001841AB">
        <w:t>ly být nikterak zjednodušovány. Měly by být od začátku prezentovány v takové podobě a komplexitě, v</w:t>
      </w:r>
      <w:r w:rsidR="002D14DD" w:rsidRPr="001841AB">
        <w:t> </w:t>
      </w:r>
      <w:r w:rsidR="008E490C" w:rsidRPr="001841AB">
        <w:t>jak</w:t>
      </w:r>
      <w:r w:rsidR="002D14DD" w:rsidRPr="001841AB">
        <w:t xml:space="preserve">ých </w:t>
      </w:r>
      <w:r w:rsidR="008E490C" w:rsidRPr="001841AB">
        <w:t>je možné se s nimi konfrontovat v reálných životních situacích.</w:t>
      </w:r>
      <w:r w:rsidR="002D14DD" w:rsidRPr="001841AB">
        <w:t xml:space="preserve"> </w:t>
      </w:r>
      <w:r w:rsidR="00B02089">
        <w:t>Teorie kognitivní flexibility doporučuje často</w:t>
      </w:r>
      <w:r w:rsidR="00455D78" w:rsidRPr="001841AB">
        <w:t xml:space="preserve"> </w:t>
      </w:r>
      <w:r w:rsidR="00B02089">
        <w:t>měnit</w:t>
      </w:r>
      <w:r w:rsidR="002D14DD" w:rsidRPr="001841AB">
        <w:t xml:space="preserve"> úhly pohledu na předkládané problémy s cílem </w:t>
      </w:r>
      <w:r w:rsidR="004C0779" w:rsidRPr="001841AB">
        <w:t xml:space="preserve">naučit žáky aplikovat znalosti v proměnlivých kontextech. </w:t>
      </w:r>
      <w:r w:rsidR="00455D78" w:rsidRPr="001841AB">
        <w:t xml:space="preserve">Ve výuce se pracuje s případovými studiemi nebo technikou </w:t>
      </w:r>
      <w:r w:rsidR="00455D78" w:rsidRPr="00B02089">
        <w:rPr>
          <w:i/>
        </w:rPr>
        <w:t>Landscape Criss-Crossing</w:t>
      </w:r>
      <w:r w:rsidR="00FA50B2" w:rsidRPr="001841AB">
        <w:t xml:space="preserve"> (Spiro &amp; Jehng, 1990, s. 170). </w:t>
      </w:r>
      <w:r w:rsidR="00672853" w:rsidRPr="001841AB">
        <w:t>Te</w:t>
      </w:r>
      <w:r w:rsidR="00FA50B2" w:rsidRPr="001841AB">
        <w:t>chni</w:t>
      </w:r>
      <w:r w:rsidR="00672853" w:rsidRPr="001841AB">
        <w:t>ka</w:t>
      </w:r>
      <w:r w:rsidR="00FA50B2" w:rsidRPr="001841AB">
        <w:t xml:space="preserve"> Land</w:t>
      </w:r>
      <w:r w:rsidR="00672853" w:rsidRPr="001841AB">
        <w:t>s</w:t>
      </w:r>
      <w:r w:rsidR="00FA50B2" w:rsidRPr="001841AB">
        <w:t>cape</w:t>
      </w:r>
      <w:r w:rsidR="00672853" w:rsidRPr="001841AB">
        <w:t xml:space="preserve"> Criss-Crossing spočívá v tom, že určitý koncept je ve výuce pojednáván v </w:t>
      </w:r>
      <w:r w:rsidR="009E2A4A" w:rsidRPr="001841AB">
        <w:t>odlišných</w:t>
      </w:r>
      <w:r w:rsidR="00672853" w:rsidRPr="001841AB">
        <w:t xml:space="preserve"> </w:t>
      </w:r>
      <w:r w:rsidR="009E2A4A" w:rsidRPr="001841AB">
        <w:t>časových obdobích</w:t>
      </w:r>
      <w:r w:rsidR="00672853" w:rsidRPr="001841AB">
        <w:t xml:space="preserve">, </w:t>
      </w:r>
      <w:r w:rsidR="009E2A4A" w:rsidRPr="001841AB">
        <w:t>kontextech</w:t>
      </w:r>
      <w:r w:rsidR="00672853" w:rsidRPr="001841AB">
        <w:t xml:space="preserve"> </w:t>
      </w:r>
      <w:r w:rsidR="009E2A4A" w:rsidRPr="001841AB">
        <w:t xml:space="preserve">a perspektivách. Teorii kognitivní flexibility je často vytýkáno, že nepracuje s jasnou </w:t>
      </w:r>
      <w:r w:rsidR="00641BD6" w:rsidRPr="001841AB">
        <w:t xml:space="preserve">a propracovanou </w:t>
      </w:r>
      <w:r w:rsidR="009E2A4A" w:rsidRPr="001841AB">
        <w:t xml:space="preserve">strukturou učiva, která </w:t>
      </w:r>
      <w:r w:rsidR="00641BD6" w:rsidRPr="001841AB">
        <w:t xml:space="preserve">by měla být základním stavebním </w:t>
      </w:r>
      <w:r w:rsidR="004363E8" w:rsidRPr="001841AB">
        <w:t>prvkem</w:t>
      </w:r>
      <w:r w:rsidR="00641BD6" w:rsidRPr="001841AB">
        <w:t xml:space="preserve"> výuky na nižších stupních vzdělávání.</w:t>
      </w:r>
      <w:r w:rsidR="009E2A4A" w:rsidRPr="001841AB">
        <w:t xml:space="preserve"> </w:t>
      </w:r>
      <w:r w:rsidR="00641BD6" w:rsidRPr="001841AB">
        <w:t>Proto bývá tato technika využívána spíše p</w:t>
      </w:r>
      <w:r w:rsidR="002B23E2" w:rsidRPr="001841AB">
        <w:t xml:space="preserve">ro potřeby dalšího vzdělávání </w:t>
      </w:r>
      <w:r w:rsidR="00641BD6" w:rsidRPr="001841AB">
        <w:t>pracovníků různých profesí</w:t>
      </w:r>
      <w:r w:rsidR="002B23E2" w:rsidRPr="001841AB">
        <w:t xml:space="preserve"> (srov. Ullrich, </w:t>
      </w:r>
      <w:r w:rsidR="00C632A1" w:rsidRPr="001841AB">
        <w:t>2005, s. 27).</w:t>
      </w:r>
    </w:p>
    <w:p w:rsidR="00C632A1" w:rsidRPr="001841AB" w:rsidRDefault="00C632A1" w:rsidP="001841AB">
      <w:pPr>
        <w:spacing w:after="120" w:line="276" w:lineRule="auto"/>
      </w:pPr>
    </w:p>
    <w:p w:rsidR="00C632A1" w:rsidRPr="001841AB" w:rsidRDefault="003454D3" w:rsidP="00D053A8">
      <w:pPr>
        <w:pStyle w:val="Nadpis3"/>
      </w:pPr>
      <w:bookmarkStart w:id="13" w:name="_Toc399775382"/>
      <w:r>
        <w:t>Teorie kognitivního učňovství</w:t>
      </w:r>
      <w:bookmarkEnd w:id="13"/>
    </w:p>
    <w:p w:rsidR="00B71F47" w:rsidRPr="001841AB" w:rsidRDefault="00C632A1" w:rsidP="00271701">
      <w:pPr>
        <w:spacing w:after="120" w:line="276" w:lineRule="auto"/>
        <w:jc w:val="both"/>
      </w:pPr>
      <w:r w:rsidRPr="005711A1">
        <w:rPr>
          <w:i/>
        </w:rPr>
        <w:t xml:space="preserve">Teorie </w:t>
      </w:r>
      <w:r w:rsidR="003454D3">
        <w:rPr>
          <w:i/>
        </w:rPr>
        <w:t xml:space="preserve">kognitivního učňovství </w:t>
      </w:r>
      <w:r w:rsidR="00BB0105" w:rsidRPr="001841AB">
        <w:t>(</w:t>
      </w:r>
      <w:r w:rsidR="009A6D85">
        <w:t xml:space="preserve">angl. </w:t>
      </w:r>
      <w:r w:rsidR="009A6D85" w:rsidRPr="009A6D85">
        <w:rPr>
          <w:i/>
        </w:rPr>
        <w:t>cognitive apprenticeship;</w:t>
      </w:r>
      <w:r w:rsidR="009A6D85" w:rsidRPr="001841AB">
        <w:t xml:space="preserve"> </w:t>
      </w:r>
      <w:r w:rsidR="00166AA2">
        <w:t xml:space="preserve">podrobněji viz </w:t>
      </w:r>
      <w:r w:rsidR="00BB0105" w:rsidRPr="001841AB">
        <w:t>Brown, Collins</w:t>
      </w:r>
      <w:r w:rsidR="007142EC" w:rsidRPr="001841AB">
        <w:t>,</w:t>
      </w:r>
      <w:r w:rsidR="00BB0105" w:rsidRPr="001841AB">
        <w:t xml:space="preserve"> &amp; Duguid, 1989</w:t>
      </w:r>
      <w:r w:rsidR="003454D3">
        <w:t>; Collins, 2006</w:t>
      </w:r>
      <w:r w:rsidR="00BB0105" w:rsidRPr="001841AB">
        <w:t>)</w:t>
      </w:r>
      <w:r w:rsidRPr="001841AB">
        <w:t xml:space="preserve"> vychází z poznatků o odlišném charakter</w:t>
      </w:r>
      <w:r w:rsidR="0024275C" w:rsidRPr="001841AB">
        <w:t>u</w:t>
      </w:r>
      <w:r w:rsidRPr="001841AB">
        <w:t xml:space="preserve"> znalostí noviců a expertů</w:t>
      </w:r>
      <w:r w:rsidR="00494974" w:rsidRPr="001841AB">
        <w:t xml:space="preserve">. </w:t>
      </w:r>
      <w:r w:rsidR="007142EC" w:rsidRPr="001841AB">
        <w:t xml:space="preserve">Expertnost je založena na vysoce organizované a propracované znalostní bázi, která umožňuje přesnější a hlubší percepci jevů a dává okamžitý přístup k optimálním variantám řešení problémových situací. </w:t>
      </w:r>
      <w:r w:rsidR="00B43B62" w:rsidRPr="001841AB">
        <w:t>Vychází se z předpokladu, že k úspěšnému učení dochází tehdy, když probíhá ve spolupráci</w:t>
      </w:r>
      <w:r w:rsidR="00BC27B9" w:rsidRPr="001841AB">
        <w:t xml:space="preserve"> </w:t>
      </w:r>
      <w:r w:rsidR="00B43B62" w:rsidRPr="001841AB">
        <w:t>(vědoucího) experta a (nevědoucího) novice</w:t>
      </w:r>
      <w:r w:rsidR="000F1C6D" w:rsidRPr="001841AB">
        <w:t xml:space="preserve">, přičemž </w:t>
      </w:r>
      <w:r w:rsidR="00BC27B9" w:rsidRPr="001841AB">
        <w:t>k utváření a aplikaci znalostí dochází v sociálních interakcích a aktivitách blízkých praxi</w:t>
      </w:r>
      <w:r w:rsidR="000F1C6D" w:rsidRPr="001841AB">
        <w:t xml:space="preserve">. Komplexita sociálních interakcí i aktivit </w:t>
      </w:r>
      <w:r w:rsidR="00107E92" w:rsidRPr="001841AB">
        <w:t>by měla být n</w:t>
      </w:r>
      <w:r w:rsidR="00271701">
        <w:t>e</w:t>
      </w:r>
      <w:r w:rsidR="00107E92" w:rsidRPr="001841AB">
        <w:t>ustále zvyšována</w:t>
      </w:r>
      <w:r w:rsidR="000F1C6D" w:rsidRPr="001841AB">
        <w:t xml:space="preserve">. Nejprve žáci pozorují experta/učitele při řešení </w:t>
      </w:r>
      <w:r w:rsidR="004D2647">
        <w:t>(profesnímu) životu blízkých</w:t>
      </w:r>
      <w:r w:rsidR="000F1C6D" w:rsidRPr="001841AB">
        <w:t xml:space="preserve"> problémových situací, následně </w:t>
      </w:r>
      <w:r w:rsidR="00AC7A9C" w:rsidRPr="001841AB">
        <w:t>pracují společně</w:t>
      </w:r>
      <w:r w:rsidR="000F1C6D" w:rsidRPr="001841AB">
        <w:t xml:space="preserve"> s expertem/učitelem</w:t>
      </w:r>
      <w:r w:rsidR="00AC7A9C" w:rsidRPr="001841AB">
        <w:t xml:space="preserve">, aby </w:t>
      </w:r>
      <w:r w:rsidR="004D2647">
        <w:t xml:space="preserve">v konečné fázi </w:t>
      </w:r>
      <w:r w:rsidR="00AC7A9C" w:rsidRPr="001841AB">
        <w:t>mohli řešit problémové situace zcela samostatně.</w:t>
      </w:r>
      <w:r w:rsidR="00E81730" w:rsidRPr="001841AB">
        <w:rPr>
          <w:rStyle w:val="Znakapoznpodarou"/>
        </w:rPr>
        <w:footnoteReference w:id="6"/>
      </w:r>
      <w:r w:rsidR="00E81730" w:rsidRPr="001841AB">
        <w:t xml:space="preserve"> </w:t>
      </w:r>
      <w:r w:rsidR="004D2647">
        <w:t>Nutno podotknout, že e</w:t>
      </w:r>
      <w:r w:rsidR="004D2647" w:rsidRPr="001841AB">
        <w:t xml:space="preserve">xpertní znalosti jsou vázané na </w:t>
      </w:r>
      <w:r w:rsidR="004D2647">
        <w:t xml:space="preserve">doménově </w:t>
      </w:r>
      <w:r w:rsidR="004D2647" w:rsidRPr="001841AB">
        <w:t xml:space="preserve">specifický kontext – jejich součástí </w:t>
      </w:r>
      <w:r w:rsidR="004D2647">
        <w:t>je popis</w:t>
      </w:r>
      <w:r w:rsidR="004D2647" w:rsidRPr="001841AB">
        <w:t xml:space="preserve"> situace, v níž jsou využitelné (</w:t>
      </w:r>
      <w:r w:rsidR="004D2647">
        <w:t xml:space="preserve">angl. </w:t>
      </w:r>
      <w:r w:rsidR="004D2647" w:rsidRPr="001841AB">
        <w:rPr>
          <w:i/>
        </w:rPr>
        <w:t>conditionalized knowledge</w:t>
      </w:r>
      <w:r w:rsidR="004D2647" w:rsidRPr="001841AB">
        <w:t xml:space="preserve">, </w:t>
      </w:r>
      <w:r w:rsidR="00975321">
        <w:t xml:space="preserve">srov. </w:t>
      </w:r>
      <w:r w:rsidR="004D2647" w:rsidRPr="001841AB">
        <w:t>Bransford et al., 1999, s. 31–33).</w:t>
      </w:r>
    </w:p>
    <w:p w:rsidR="002E1586" w:rsidRPr="001841AB" w:rsidRDefault="00107E92" w:rsidP="001841AB">
      <w:pPr>
        <w:spacing w:after="120" w:line="276" w:lineRule="auto"/>
        <w:jc w:val="both"/>
      </w:pPr>
      <w:r w:rsidRPr="001841AB">
        <w:t xml:space="preserve">Poté, co jsme představili teorie učení podpírající kompetenci k řešení problémů, je nutné </w:t>
      </w:r>
      <w:r w:rsidR="00DE6C20" w:rsidRPr="001841AB">
        <w:t>pou</w:t>
      </w:r>
      <w:r w:rsidR="000C04C6" w:rsidRPr="001841AB">
        <w:t xml:space="preserve">kázat </w:t>
      </w:r>
      <w:r w:rsidRPr="001841AB">
        <w:t xml:space="preserve">také </w:t>
      </w:r>
      <w:r w:rsidR="000C04C6" w:rsidRPr="001841AB">
        <w:t xml:space="preserve">na </w:t>
      </w:r>
      <w:r w:rsidRPr="001841AB">
        <w:t xml:space="preserve">některé jejich </w:t>
      </w:r>
      <w:r w:rsidR="000C04C6" w:rsidRPr="001841AB">
        <w:t xml:space="preserve">deficity. </w:t>
      </w:r>
      <w:r w:rsidR="004D2647" w:rsidRPr="001841AB">
        <w:t>Vzhledem ke složitosti procesu řešení problémů a odlišnému charakteru jednotlivých problémů předkládaných žákům k řešení je ve školní výuce téměř nemožné optimálně rozvíjet kompetenci k řešení problémů u všech žáků jednotným způsobem. Proto jsou některé kognitivně-psychologické přístupy a teorie obtížně využitelné ve školní výuce.</w:t>
      </w:r>
      <w:r w:rsidR="004D2647">
        <w:t xml:space="preserve"> </w:t>
      </w:r>
      <w:r w:rsidR="00B02089">
        <w:t>A</w:t>
      </w:r>
      <w:r w:rsidR="00CF236A" w:rsidRPr="001841AB">
        <w:t xml:space="preserve">plikace </w:t>
      </w:r>
      <w:r w:rsidR="00B02089">
        <w:t xml:space="preserve">teorií situovaného učení </w:t>
      </w:r>
      <w:r w:rsidR="00CF236A" w:rsidRPr="001841AB">
        <w:t xml:space="preserve">tak někdy sklouzává k intuitivně řízenému </w:t>
      </w:r>
      <w:r w:rsidR="00D35434" w:rsidRPr="001841AB">
        <w:t>využívání nap</w:t>
      </w:r>
      <w:r w:rsidR="00B62085" w:rsidRPr="001841AB">
        <w:t>ř.</w:t>
      </w:r>
      <w:r w:rsidR="00932FAB" w:rsidRPr="001841AB">
        <w:t xml:space="preserve"> </w:t>
      </w:r>
      <w:r w:rsidR="00B62085" w:rsidRPr="001841AB">
        <w:t>simulací</w:t>
      </w:r>
      <w:r w:rsidR="00CF236A" w:rsidRPr="001841AB">
        <w:t xml:space="preserve"> </w:t>
      </w:r>
      <w:r w:rsidR="00B62085" w:rsidRPr="001841AB">
        <w:t>a</w:t>
      </w:r>
      <w:r w:rsidR="00CF236A" w:rsidRPr="001841AB">
        <w:t xml:space="preserve"> </w:t>
      </w:r>
      <w:r w:rsidR="00D35434" w:rsidRPr="001841AB">
        <w:t>simula</w:t>
      </w:r>
      <w:r w:rsidR="00B62085" w:rsidRPr="001841AB">
        <w:t>čních her</w:t>
      </w:r>
      <w:r w:rsidR="008C2479" w:rsidRPr="001841AB">
        <w:t xml:space="preserve"> </w:t>
      </w:r>
      <w:r w:rsidR="00D35434" w:rsidRPr="001841AB">
        <w:t>(hraní rol</w:t>
      </w:r>
      <w:r w:rsidR="00CF236A" w:rsidRPr="001841AB">
        <w:t>í</w:t>
      </w:r>
      <w:r w:rsidR="00B62085" w:rsidRPr="001841AB">
        <w:t>),</w:t>
      </w:r>
      <w:r w:rsidR="00932FAB" w:rsidRPr="001841AB">
        <w:t xml:space="preserve"> </w:t>
      </w:r>
      <w:r w:rsidR="00B62085" w:rsidRPr="001841AB">
        <w:t>řešení problémových úloh</w:t>
      </w:r>
      <w:r w:rsidR="00D35434" w:rsidRPr="001841AB">
        <w:t xml:space="preserve"> p</w:t>
      </w:r>
      <w:r w:rsidR="00B62085" w:rsidRPr="001841AB">
        <w:t>ř</w:t>
      </w:r>
      <w:r w:rsidR="00D35434" w:rsidRPr="001841AB">
        <w:t>ípravu a provád</w:t>
      </w:r>
      <w:r w:rsidR="00B62085" w:rsidRPr="001841AB">
        <w:t>ění</w:t>
      </w:r>
      <w:r w:rsidR="004973B6" w:rsidRPr="001841AB">
        <w:t xml:space="preserve"> </w:t>
      </w:r>
      <w:r w:rsidR="00932FAB" w:rsidRPr="001841AB">
        <w:t xml:space="preserve">činností </w:t>
      </w:r>
      <w:r w:rsidR="004973B6" w:rsidRPr="001841AB">
        <w:t xml:space="preserve">dle předem připravených </w:t>
      </w:r>
      <w:r w:rsidR="00932FAB" w:rsidRPr="001841AB">
        <w:t xml:space="preserve">otevřených </w:t>
      </w:r>
      <w:r w:rsidR="00B62085" w:rsidRPr="001841AB">
        <w:t>scénářů.</w:t>
      </w:r>
      <w:r w:rsidR="004D2647">
        <w:t xml:space="preserve"> Jako potenciálně nejvíce přínosná se nám jeví teorie zakotveného učení, jež má velmi blízko k pojetí vzdělávání a učení založenému na utváření a rozvíjení kompetencí. Kompetencím se podrobněji věnujeme v následující kapitole.</w:t>
      </w:r>
    </w:p>
    <w:p w:rsidR="00CD25AB" w:rsidRPr="00BF4108" w:rsidRDefault="00CD25AB" w:rsidP="00BF4108">
      <w:pPr>
        <w:spacing w:after="120" w:line="276" w:lineRule="auto"/>
      </w:pPr>
    </w:p>
    <w:p w:rsidR="005607D1" w:rsidRPr="00BF4108" w:rsidRDefault="005607D1" w:rsidP="0010497B">
      <w:pPr>
        <w:pStyle w:val="Nadpis2"/>
      </w:pPr>
      <w:bookmarkStart w:id="14" w:name="_Toc399775383"/>
      <w:r w:rsidRPr="00BF4108">
        <w:t>Kompetence</w:t>
      </w:r>
      <w:bookmarkEnd w:id="14"/>
      <w:r w:rsidRPr="00BF4108">
        <w:t xml:space="preserve"> </w:t>
      </w:r>
    </w:p>
    <w:p w:rsidR="005239F9" w:rsidRPr="00BF4108" w:rsidRDefault="004573BD" w:rsidP="00BF4108">
      <w:pPr>
        <w:spacing w:after="120" w:line="276" w:lineRule="auto"/>
        <w:jc w:val="both"/>
      </w:pPr>
      <w:r w:rsidRPr="00BF4108">
        <w:t>Termín kompetence původně pochází z lingvistiky (srov. např. Chomsky, 1965</w:t>
      </w:r>
      <w:r w:rsidR="00B53212">
        <w:t>; podrobněji k</w:t>
      </w:r>
      <w:r w:rsidR="00817EAB">
        <w:t xml:space="preserve">e genezi používání </w:t>
      </w:r>
      <w:r w:rsidR="00B53212">
        <w:t>termínu viz Taylor, 1988</w:t>
      </w:r>
      <w:r w:rsidRPr="00BF4108">
        <w:t>) a v masovém měřítku se</w:t>
      </w:r>
      <w:r w:rsidR="005F3120" w:rsidRPr="00BF4108">
        <w:t xml:space="preserve"> začal </w:t>
      </w:r>
      <w:r w:rsidR="004B2BCF">
        <w:t xml:space="preserve">v přeneseném významu </w:t>
      </w:r>
      <w:r w:rsidR="00F74246" w:rsidRPr="00BF4108">
        <w:t>po</w:t>
      </w:r>
      <w:r w:rsidR="005F3120" w:rsidRPr="00BF4108">
        <w:t>užívat v ekonomických a politických kruzích na konc</w:t>
      </w:r>
      <w:r w:rsidRPr="00BF4108">
        <w:t>i</w:t>
      </w:r>
      <w:r w:rsidR="005F3120" w:rsidRPr="00BF4108">
        <w:t xml:space="preserve"> 90. let 20. století</w:t>
      </w:r>
      <w:r w:rsidR="00F74246" w:rsidRPr="00BF4108">
        <w:t xml:space="preserve">. </w:t>
      </w:r>
      <w:r w:rsidR="005F3120" w:rsidRPr="00BF4108">
        <w:t>Organizace pro ekonomickou spolupráci a rozvoj (OECD), začala do dokumentů vzdělávací politiky zavádět</w:t>
      </w:r>
      <w:r w:rsidR="00F74246" w:rsidRPr="00BF4108">
        <w:t xml:space="preserve"> spolu s kompetencemi</w:t>
      </w:r>
      <w:r w:rsidR="005F3120" w:rsidRPr="00BF4108">
        <w:t xml:space="preserve"> také další termíny </w:t>
      </w:r>
      <w:r w:rsidR="005F3120" w:rsidRPr="00BF4108">
        <w:rPr>
          <w:i/>
        </w:rPr>
        <w:t>znalosti a dovednosti pro život</w:t>
      </w:r>
      <w:r w:rsidR="005F3120" w:rsidRPr="00BF4108">
        <w:t xml:space="preserve">, </w:t>
      </w:r>
      <w:r w:rsidR="005F3120" w:rsidRPr="00BF4108">
        <w:rPr>
          <w:i/>
        </w:rPr>
        <w:t>znalostní ekonomika, znalostní společnost, celoživotní učení</w:t>
      </w:r>
      <w:r w:rsidR="005F3120" w:rsidRPr="00BF4108">
        <w:t xml:space="preserve"> aj. (podrobněji viz Ball, 2008).</w:t>
      </w:r>
      <w:r w:rsidR="00F74246" w:rsidRPr="00BF4108">
        <w:t xml:space="preserve"> Poté, co byly kompetence politiky a ekonomy dosazeny do dokumentů vzdělávací politiky, se následně se objevily také v kurikulu a staly se vůdčí ideou vzdělávacích reforem. Kompetence se mimo jiné staly v</w:t>
      </w:r>
      <w:r w:rsidR="005239F9" w:rsidRPr="00BF4108">
        <w:t xml:space="preserve">ůdčím konceptem nové </w:t>
      </w:r>
      <w:r w:rsidR="005239F9" w:rsidRPr="00BF4108">
        <w:rPr>
          <w:i/>
        </w:rPr>
        <w:t>kultury vyučování a učení</w:t>
      </w:r>
      <w:r w:rsidR="005239F9" w:rsidRPr="00BF4108">
        <w:t xml:space="preserve"> (Erpenbeck &amp; Sauer, 2001)</w:t>
      </w:r>
      <w:r w:rsidR="00AB6747" w:rsidRPr="00BF4108">
        <w:t>. Postupně se kompetence staly</w:t>
      </w:r>
      <w:r w:rsidR="004363E8">
        <w:t xml:space="preserve"> předmětem mnoha teoretických s</w:t>
      </w:r>
      <w:r w:rsidR="00AB6747" w:rsidRPr="00BF4108">
        <w:t>tudií i empirických výzkum</w:t>
      </w:r>
      <w:r w:rsidRPr="00BF4108">
        <w:t>ů</w:t>
      </w:r>
      <w:r w:rsidR="00AB6747" w:rsidRPr="00BF4108">
        <w:t>, které postupně zpřesňují je</w:t>
      </w:r>
      <w:r w:rsidR="004A72F5">
        <w:t xml:space="preserve">jich obsahové vymezení (Rychen &amp; </w:t>
      </w:r>
      <w:r w:rsidR="00AB6747" w:rsidRPr="00BF4108">
        <w:t>Salganik</w:t>
      </w:r>
      <w:r w:rsidR="004A72F5">
        <w:t>,</w:t>
      </w:r>
      <w:r w:rsidR="00AB6747" w:rsidRPr="00BF4108">
        <w:t xml:space="preserve"> 2003</w:t>
      </w:r>
      <w:r w:rsidR="00C16F6D">
        <w:t>a</w:t>
      </w:r>
      <w:r w:rsidR="00AB6747" w:rsidRPr="00BF4108">
        <w:t xml:space="preserve">; Klieme, Maag-Merki, &amp; Hartig, 2007), hodnocení (Hartig, Klieme, &amp; Leutner, 2008) a </w:t>
      </w:r>
      <w:r w:rsidR="00A14816">
        <w:t>modelování (Hartig</w:t>
      </w:r>
      <w:r w:rsidR="00AB6747" w:rsidRPr="00BF4108">
        <w:t xml:space="preserve"> &amp; Klieme, 2006). </w:t>
      </w:r>
      <w:r w:rsidR="005239F9" w:rsidRPr="00BF4108">
        <w:t>Jakkoliv je shledávána určitá míra nekompatibility výkladu tohoto pojmu v</w:t>
      </w:r>
      <w:r w:rsidR="004363E8">
        <w:t> </w:t>
      </w:r>
      <w:r w:rsidRPr="00BF4108">
        <w:t>ekonomicko</w:t>
      </w:r>
      <w:r w:rsidR="004363E8">
        <w:t>-</w:t>
      </w:r>
      <w:r w:rsidRPr="00BF4108">
        <w:t>politickém a v</w:t>
      </w:r>
      <w:r w:rsidR="005239F9" w:rsidRPr="00BF4108">
        <w:t xml:space="preserve">ědeckém diskursu, je zřejmé, že pojem </w:t>
      </w:r>
      <w:r w:rsidR="005239F9" w:rsidRPr="00BF4108">
        <w:rPr>
          <w:i/>
        </w:rPr>
        <w:t>kompetence</w:t>
      </w:r>
      <w:r w:rsidR="005239F9" w:rsidRPr="00BF4108">
        <w:t xml:space="preserve"> má potenciál stimulovat diskusi o pojetí a cílech vzdělávání. Tímto prizmatem kompetence nahlížíme také v této knize.</w:t>
      </w:r>
    </w:p>
    <w:p w:rsidR="00B947B0" w:rsidRPr="00BF4108" w:rsidRDefault="00B947B0" w:rsidP="00BF4108">
      <w:pPr>
        <w:spacing w:after="120" w:line="276" w:lineRule="auto"/>
        <w:jc w:val="both"/>
      </w:pPr>
    </w:p>
    <w:p w:rsidR="005F3120" w:rsidRPr="00BF4108" w:rsidRDefault="003F11E1" w:rsidP="00D053A8">
      <w:pPr>
        <w:pStyle w:val="Nadpis3"/>
      </w:pPr>
      <w:bookmarkStart w:id="15" w:name="_Toc399775384"/>
      <w:r w:rsidRPr="00BF4108">
        <w:t>Širší souvislosti</w:t>
      </w:r>
      <w:bookmarkEnd w:id="15"/>
    </w:p>
    <w:p w:rsidR="004E1994" w:rsidRPr="00BF4108" w:rsidRDefault="00A50ABD" w:rsidP="00BF4108">
      <w:pPr>
        <w:spacing w:after="120" w:line="276" w:lineRule="auto"/>
        <w:jc w:val="both"/>
      </w:pPr>
      <w:r w:rsidRPr="00BF4108">
        <w:t>Z</w:t>
      </w:r>
      <w:r w:rsidR="006C591C" w:rsidRPr="00BF4108">
        <w:t xml:space="preserve">ájem o kompetence ve vzdělávání je možné vysvětlovat zejména z pohledu makroperspektivistických sociologických teorií (Parsons &amp; Jones, 1960; Luhmann, 1995 aj.), které počítají se stálými změnami na straně jedné a trvale udržitelným rozvojem lidské společnosti jako celku na straně druhé. V pojetí OECD je udržitelný rozvoj chápán spíše v duchu neoklasické ekonomie jako důraz zvyšování ekonomického růstu při současném zachování únosné míry zaměstnanosti a zvyšování životní úrovně. Předpokládá se, že zmíněné ekonomické imperativy jsou nezávislé na jednotlivých národních státech. </w:t>
      </w:r>
      <w:r w:rsidR="004E1994" w:rsidRPr="00BF4108">
        <w:t>Vliv národních vzdělávacích systémů oslabuje a začínají se etablovat nadnárodní (mezinárodní) vzdělávací prostory, jejichž vzdělávací politika a inovační aspekty jsou interpretovány na pozadí internacionalizačních tendencí a globalizačních tlaků, které jsou mnohdy zúženy pouze na ekonomické aspekty problematiky, např. na tvorbu zisku, udržitelný růst, zaměstnanost apod.</w:t>
      </w:r>
    </w:p>
    <w:p w:rsidR="00FA0408" w:rsidRPr="00BF4108" w:rsidRDefault="004E1994" w:rsidP="00BF4108">
      <w:pPr>
        <w:spacing w:after="120" w:line="276" w:lineRule="auto"/>
        <w:jc w:val="both"/>
      </w:pPr>
      <w:r w:rsidRPr="00BF4108">
        <w:t>Vzdělávání by mělo vést k univerzálním kompetencím, které se budou projevovat jako způsobilost k jednání ve specifických situacích a kontextech. Nemělo by tedy jít pouze o ovládnutí základního kánonu všeobecné kultury (obecná vzdělanost), ale spíše o utilitárně a pragmaticky pojatou přípravu pro úspěšný život v postmoderní společnosti (uspět na trhu práce, sehnat si bydlení, založit rodinu, pracovat s dostupnými informacemi, žít zdravě, disponovat právním vědomím apod.). V pozadí tohoto pojetí vzdělávání jsou zejména ekonomické teorie lidského kapitálu, které chápou vzdělá</w:t>
      </w:r>
      <w:r w:rsidR="005711A1">
        <w:t>ní jako investici (srov. Keller</w:t>
      </w:r>
      <w:r w:rsidRPr="00BF4108">
        <w:t xml:space="preserve"> </w:t>
      </w:r>
      <w:r w:rsidR="00A50ABD" w:rsidRPr="00BF4108">
        <w:t xml:space="preserve">&amp; </w:t>
      </w:r>
      <w:r w:rsidRPr="00BF4108">
        <w:t>Tvrdý</w:t>
      </w:r>
      <w:r w:rsidR="00201FE4">
        <w:t>,</w:t>
      </w:r>
      <w:r w:rsidRPr="00BF4108">
        <w:t xml:space="preserve"> 2008). Úspěšné ukončení studia na určitém stupni či typu školy je pro zaměstnavatele signálem nejen toho, že absolvent ovládl určité množství vědomostí, ale také zárukou, že disponuje dalšími prakticky využitelnými schopnostmi (kompetencemi). </w:t>
      </w:r>
      <w:r w:rsidR="00FA0408" w:rsidRPr="00BF4108">
        <w:t xml:space="preserve">Prakticky ihned poté, co se termín kompetence objevil v dokumentech vzdělávací politiky, se v zahraničí i u nás začalo diskutovat o jeho reálném vzdělávacím potenciálu a o jeho dopadech na vzdělávání. Poukazovalo se zejména na skutečnost, že kompetence nejsou teoreticky ani empiricky rozpracovány natolik, aby bylo možné je prohlásit za vůdčí cílovou kategorii vzdělávání </w:t>
      </w:r>
      <w:r w:rsidR="001F0B96" w:rsidRPr="00BF4108">
        <w:t xml:space="preserve">(Štech, 2007; Kaščák &amp; Pupala, </w:t>
      </w:r>
      <w:r w:rsidR="00714E41">
        <w:t>2012</w:t>
      </w:r>
      <w:r w:rsidR="001F0B96" w:rsidRPr="00BF4108">
        <w:t xml:space="preserve"> a další), </w:t>
      </w:r>
      <w:r w:rsidR="00FA0408" w:rsidRPr="00BF4108">
        <w:t>případně na to, že důraz na rozvíjení (a měření) kompetencí může podněcovat zvyšování vzdělanostních nerovností a rozdílů mezi žáky (viz např. Takayama, 2013).</w:t>
      </w:r>
      <w:r w:rsidR="00496763">
        <w:t xml:space="preserve"> </w:t>
      </w:r>
    </w:p>
    <w:p w:rsidR="000979DA" w:rsidRPr="00BF4108" w:rsidRDefault="00FA0408" w:rsidP="00572C06">
      <w:pPr>
        <w:spacing w:after="120" w:line="276" w:lineRule="auto"/>
        <w:jc w:val="both"/>
      </w:pPr>
      <w:r w:rsidRPr="00BF4108">
        <w:t xml:space="preserve">Kromě výše zmiňované </w:t>
      </w:r>
      <w:r w:rsidR="004363E8" w:rsidRPr="00BF4108">
        <w:t>kritiky</w:t>
      </w:r>
      <w:r w:rsidRPr="00BF4108">
        <w:t xml:space="preserve"> jsou i</w:t>
      </w:r>
      <w:r w:rsidR="000979DA" w:rsidRPr="00BF4108">
        <w:t xml:space="preserve">nternacionalizační </w:t>
      </w:r>
      <w:r w:rsidR="001F0B96" w:rsidRPr="00BF4108">
        <w:t xml:space="preserve">a globalizační vzdělávací </w:t>
      </w:r>
      <w:r w:rsidR="000979DA" w:rsidRPr="00BF4108">
        <w:t xml:space="preserve">tendence do jisté míry oslabovány relativní autonomií a odlišností jednotlivých vzdělávacích systémů. Na tento jev upozornili již Bourdieu a Passeron (1974, s. 246) svým teorémem relativní pedagogické autonomie vzdělávacích systémů. Vzdělávací systém nikdy není přesným odrazem požadavků, které jsou na něj kladeny, ať již na národní nebo na mezinárodní úrovni. Vždy </w:t>
      </w:r>
      <w:r w:rsidR="00AF71CD" w:rsidRPr="00BF4108">
        <w:t>by měla být</w:t>
      </w:r>
      <w:r w:rsidR="000979DA" w:rsidRPr="00BF4108">
        <w:t xml:space="preserve"> zohledněna vlastní kulturní specifičnost a uspořádání a potřeby konkrétní společnosti. S tím je spojen problém omezených možností bezproblémového kopírování, přenosu a adaptace externích prvků z jednoho kulturního kontextu do druhého (konkrétní problémy na příkladu Německa popisuje Bank, 2012). Často tak dochází k situaci, kdy jednotlivé prvky nadnárodních vzdělávacích systémů nejsou přejímány ve své původní podobě. Dochází ke zkreslením, modifikacím, nejrůznějším subjektivním či mylným interpretacím atd.</w:t>
      </w:r>
      <w:r w:rsidR="004E1994" w:rsidRPr="00BF4108">
        <w:t>, což činí problematiku kompetencí ve vzdělávání značně nepřehlednou, fluidní a v mnoha ohledech chaotickou.</w:t>
      </w:r>
      <w:r w:rsidR="00E87E38">
        <w:rPr>
          <w:rStyle w:val="Znakapoznpodarou"/>
        </w:rPr>
        <w:footnoteReference w:id="7"/>
      </w:r>
      <w:r w:rsidR="00E03173" w:rsidRPr="00BF4108">
        <w:t xml:space="preserve"> Pokud např. porovnáme soubory a definice jednotlivých klíčových kompetencí v kurikulárních dokumentech v různých zemích, je možné konstatovat, že v každém z kurikulárních dokumentů jsou klíčové kompetence vymezovány odlišně (srov. Trier, 2003). U nás se setkáváme s také s odlišnostmi ve vymezení souboru klíčových kompetencí platných pro jednotlivé stupně vzdělávání. Například pokud porovnáme klíčové kompetence pro základní a gymnaziální vzdělávání, </w:t>
      </w:r>
      <w:r w:rsidR="006617AD">
        <w:t xml:space="preserve">na úrovni </w:t>
      </w:r>
      <w:r w:rsidR="00E03173" w:rsidRPr="00BF4108">
        <w:t>gymnaziální</w:t>
      </w:r>
      <w:r w:rsidR="006617AD">
        <w:t>ho</w:t>
      </w:r>
      <w:r w:rsidR="00E03173" w:rsidRPr="00BF4108">
        <w:t xml:space="preserve"> vzdělávání nenajdeme kompetence pracovní, ale místo nich nalezneme kompetence k podnikavosti (podrobněji viz Janík </w:t>
      </w:r>
      <w:r w:rsidR="004A72F5">
        <w:t>et al</w:t>
      </w:r>
      <w:r w:rsidR="00E03173" w:rsidRPr="00BF4108">
        <w:t>., 2010, s. 13).</w:t>
      </w:r>
    </w:p>
    <w:p w:rsidR="003F11E1" w:rsidRPr="00BF4108" w:rsidRDefault="003F11E1" w:rsidP="00BF4108">
      <w:pPr>
        <w:spacing w:after="120" w:line="276" w:lineRule="auto"/>
      </w:pPr>
    </w:p>
    <w:p w:rsidR="003F11E1" w:rsidRPr="00BF4108" w:rsidRDefault="003F11E1" w:rsidP="00D053A8">
      <w:pPr>
        <w:pStyle w:val="Nadpis3"/>
      </w:pPr>
      <w:bookmarkStart w:id="16" w:name="_Toc399775385"/>
      <w:r w:rsidRPr="00BF4108">
        <w:t>Pokusy o definování kompetencí</w:t>
      </w:r>
      <w:bookmarkEnd w:id="16"/>
    </w:p>
    <w:p w:rsidR="00FE4C07" w:rsidRPr="00BF4108" w:rsidRDefault="00F007A5" w:rsidP="00BF4108">
      <w:pPr>
        <w:spacing w:after="120" w:line="276" w:lineRule="auto"/>
        <w:jc w:val="both"/>
      </w:pPr>
      <w:r w:rsidRPr="00BF4108">
        <w:t>Jak uvádíme výše, termín kompetence byl do vzdělávání zaveden, aniž by byl</w:t>
      </w:r>
      <w:r w:rsidR="00FE4C07" w:rsidRPr="00BF4108">
        <w:t xml:space="preserve"> masivněji </w:t>
      </w:r>
      <w:r w:rsidR="0058086E" w:rsidRPr="00BF4108">
        <w:t>rozpracován v</w:t>
      </w:r>
      <w:r w:rsidRPr="00BF4108">
        <w:t> pedagogických, psychologických aj. teoriích.</w:t>
      </w:r>
      <w:r w:rsidR="00FE4C07" w:rsidRPr="00BF4108">
        <w:t xml:space="preserve"> Přesto přibližně již od 70. let 20. stol. je možné v psychologické literatuře pozorovat zvýšený zájem o konstrukty, které by umožňovaly bez přímé vazby na širší kontext empiricky zkoumat schopnost jedince obstát v náročných životních situacích (McClelland, 1973). Následný vývoj ukázal, že pro schopnost jedince zvládat náročné životní situace je klíčová role kontextu. Bandura (1990, s. 315) proto navrhl používat </w:t>
      </w:r>
      <w:r w:rsidR="004363E8" w:rsidRPr="00BF4108">
        <w:t>termín</w:t>
      </w:r>
      <w:r w:rsidR="00FE4C07" w:rsidRPr="00BF4108">
        <w:t xml:space="preserve"> kompetence vždy s ohledem na obsahovou specifičnost zkoumané oblasti.</w:t>
      </w:r>
    </w:p>
    <w:p w:rsidR="003B7C56" w:rsidRPr="00BF4108" w:rsidRDefault="00AE16F5" w:rsidP="00BF4108">
      <w:pPr>
        <w:spacing w:after="120" w:line="276" w:lineRule="auto"/>
        <w:jc w:val="both"/>
      </w:pPr>
      <w:r w:rsidRPr="00BF4108">
        <w:t xml:space="preserve">První návrhy na měření kompetencí </w:t>
      </w:r>
      <w:r w:rsidR="0058086E" w:rsidRPr="00BF4108">
        <w:t xml:space="preserve">v kontextu vzdělávání </w:t>
      </w:r>
      <w:r w:rsidRPr="00BF4108">
        <w:t>vypracovala OECD (</w:t>
      </w:r>
      <w:r w:rsidRPr="00BF4108">
        <w:rPr>
          <w:color w:val="222222"/>
          <w:shd w:val="clear" w:color="auto" w:fill="FFFFFF"/>
        </w:rPr>
        <w:t>Peschar &amp; Waslander,</w:t>
      </w:r>
      <w:r w:rsidRPr="00BF4108">
        <w:t xml:space="preserve"> 1997)</w:t>
      </w:r>
      <w:r w:rsidR="00084359" w:rsidRPr="00BF4108">
        <w:t xml:space="preserve">, neboť se kompetence staly centrálním konceptem mezinárodních srovnávacích výzkumů (např. PISA). </w:t>
      </w:r>
      <w:r w:rsidRPr="00BF4108">
        <w:t>Tyto návrhy byly vytvořeny ad hoc, bez přímé návaznosti na pedagogickou nebo psychologickou teorii, vzbudily mezi odbornou veřejností bouřlivou diskusi.</w:t>
      </w:r>
      <w:r w:rsidR="003B7C56" w:rsidRPr="00BF4108">
        <w:t xml:space="preserve"> </w:t>
      </w:r>
      <w:r w:rsidR="00727DC2" w:rsidRPr="00BF4108">
        <w:t xml:space="preserve">Zejména v Německu bylo investováno mnoho úsilí do konceptualizace, modelování, operacionalizace a měření kompetencí, neboť odborníci na vzdělávání si nemohli dovolit ignorovat změny, kterými kurikulum prochází. Zjednodušeně je možné konstatovat, že účelem čilého vědeckého ruchu, který byl nastartován, byla hlubší interpretace kompetencí a jejich povýšení na teoretickou kategorii. Toho bylo dosaženo zasazením kompetencí do </w:t>
      </w:r>
      <w:r w:rsidR="00023B35" w:rsidRPr="00BF4108">
        <w:t xml:space="preserve">stávajících teoretických rámců, což jim umožnilo zpětně dodat </w:t>
      </w:r>
      <w:r w:rsidR="00727DC2" w:rsidRPr="00BF4108">
        <w:t xml:space="preserve">nějaký </w:t>
      </w:r>
      <w:r w:rsidR="00023B35" w:rsidRPr="00BF4108">
        <w:t xml:space="preserve">z pohledu pedagogické teorie a praxe </w:t>
      </w:r>
      <w:r w:rsidR="00727DC2" w:rsidRPr="00BF4108">
        <w:t xml:space="preserve">reálný </w:t>
      </w:r>
      <w:r w:rsidR="00023B35" w:rsidRPr="00BF4108">
        <w:t xml:space="preserve">a relevantní </w:t>
      </w:r>
      <w:r w:rsidR="00727DC2" w:rsidRPr="00BF4108">
        <w:t xml:space="preserve">obsah. </w:t>
      </w:r>
      <w:r w:rsidR="003B7C56" w:rsidRPr="00BF4108">
        <w:t>Bez zpětného navázání kompetencí na teorii hrozilo nebezpečí, že se kompetence do značné míry stanou teoreticky neukotveným sociálně konstruovaným kontejnerovým termínem.</w:t>
      </w:r>
      <w:r w:rsidR="003B7C56" w:rsidRPr="00BF4108">
        <w:rPr>
          <w:rStyle w:val="Znakapoznpodarou"/>
        </w:rPr>
        <w:footnoteReference w:id="8"/>
      </w:r>
      <w:r w:rsidR="003B7C56" w:rsidRPr="00BF4108">
        <w:t xml:space="preserve"> Přes značné úsilí investované především v německy hovořící jazykové oblasti do konceptuálního ujasnění a teoretického ukotvení kompetencí se kompetence staly termínem, jehož význam je značně neujasněný, a to také v</w:t>
      </w:r>
      <w:r w:rsidR="006617AD">
        <w:t>e vědeckém a</w:t>
      </w:r>
      <w:r w:rsidR="003B7C56" w:rsidRPr="00BF4108">
        <w:t xml:space="preserve"> odborném diskursu. </w:t>
      </w:r>
    </w:p>
    <w:p w:rsidR="005F2FF1" w:rsidRPr="00BF4108" w:rsidRDefault="005F2FF1" w:rsidP="00BF4108">
      <w:pPr>
        <w:spacing w:after="120" w:line="276" w:lineRule="auto"/>
        <w:jc w:val="both"/>
      </w:pPr>
      <w:r w:rsidRPr="00BF4108">
        <w:t xml:space="preserve">Weinert (1999 in Klieme et al., 2000, s. 182) rozlišil následující konceptualizace termínu kompetence: </w:t>
      </w:r>
    </w:p>
    <w:p w:rsidR="005F2FF1" w:rsidRPr="00BF4108" w:rsidRDefault="005F2FF1" w:rsidP="00FE68D6">
      <w:pPr>
        <w:numPr>
          <w:ilvl w:val="0"/>
          <w:numId w:val="13"/>
        </w:numPr>
        <w:spacing w:after="120" w:line="276" w:lineRule="auto"/>
        <w:jc w:val="both"/>
      </w:pPr>
      <w:r w:rsidRPr="00BF4108">
        <w:t>Kompetence jako obecná intelektuální schopnost ve smyslu dispozic, prostřednictvím kterých může určitá osoba zvládat náročné úlohy v odlišných situacích.</w:t>
      </w:r>
    </w:p>
    <w:p w:rsidR="005F2FF1" w:rsidRPr="00BF4108" w:rsidRDefault="005F2FF1" w:rsidP="00FE68D6">
      <w:pPr>
        <w:numPr>
          <w:ilvl w:val="0"/>
          <w:numId w:val="13"/>
        </w:numPr>
        <w:spacing w:after="120" w:line="276" w:lineRule="auto"/>
        <w:jc w:val="both"/>
      </w:pPr>
      <w:r w:rsidRPr="00BF4108">
        <w:t>Kompetence jako funkčně orientované k určitým situacím a požadavkům vztažené specifické výkonové dispozice, psychology označované jako znalosti, dovednosti, strategie, rutiny (návyky) nebo oborově specifické schopnosti.</w:t>
      </w:r>
    </w:p>
    <w:p w:rsidR="005F2FF1" w:rsidRPr="00BF4108" w:rsidRDefault="005F2FF1" w:rsidP="00FE68D6">
      <w:pPr>
        <w:numPr>
          <w:ilvl w:val="0"/>
          <w:numId w:val="13"/>
        </w:numPr>
        <w:spacing w:after="120" w:line="276" w:lineRule="auto"/>
        <w:jc w:val="both"/>
      </w:pPr>
      <w:r w:rsidRPr="00BF4108">
        <w:t>Kompetence jako motivační orientace, které jsou předpokladem pro zvládání náročných úloh.</w:t>
      </w:r>
    </w:p>
    <w:p w:rsidR="005F2FF1" w:rsidRPr="00BF4108" w:rsidRDefault="005F2FF1" w:rsidP="00FE68D6">
      <w:pPr>
        <w:numPr>
          <w:ilvl w:val="0"/>
          <w:numId w:val="13"/>
        </w:numPr>
        <w:spacing w:after="120" w:line="276" w:lineRule="auto"/>
        <w:jc w:val="both"/>
      </w:pPr>
      <w:r w:rsidRPr="00BF4108">
        <w:t>Termín, který zahrnuje tři výše uvedená vymezen</w:t>
      </w:r>
      <w:r w:rsidR="004363E8">
        <w:t>í</w:t>
      </w:r>
      <w:r w:rsidRPr="00BF4108">
        <w:t xml:space="preserve"> kompetencí a vztahuje se k požadavkům a úlohám vymezených určitým jednacím polem, např. povoláním. </w:t>
      </w:r>
    </w:p>
    <w:p w:rsidR="005F2FF1" w:rsidRPr="00BF4108" w:rsidRDefault="005F2FF1" w:rsidP="00FE68D6">
      <w:pPr>
        <w:numPr>
          <w:ilvl w:val="0"/>
          <w:numId w:val="13"/>
        </w:numPr>
        <w:spacing w:after="120" w:line="276" w:lineRule="auto"/>
        <w:jc w:val="both"/>
      </w:pPr>
      <w:r w:rsidRPr="00BF4108">
        <w:t>Znalosti, strategie, případně také motivace, které usnadňují utváření a používání kompetencí v různých obsahových doménách.</w:t>
      </w:r>
    </w:p>
    <w:p w:rsidR="00D367F1" w:rsidRPr="00BF4108" w:rsidRDefault="005F2FF1" w:rsidP="00BF4108">
      <w:pPr>
        <w:spacing w:after="120" w:line="276" w:lineRule="auto"/>
        <w:jc w:val="both"/>
      </w:pPr>
      <w:r w:rsidRPr="00BF4108">
        <w:t xml:space="preserve">Weinert následně doporučil se přiklánět ke druhé ze zmiňovaných konceptualizací. S touto definicí je spojeno </w:t>
      </w:r>
      <w:r w:rsidR="00E12F97">
        <w:t>trojí</w:t>
      </w:r>
      <w:r w:rsidRPr="00BF4108">
        <w:t xml:space="preserve"> omezení: (1) Kompetence jsou funkcionáln</w:t>
      </w:r>
      <w:r w:rsidR="003B7C56" w:rsidRPr="00BF4108">
        <w:t>ě určené</w:t>
      </w:r>
      <w:r w:rsidRPr="00BF4108">
        <w:t>, a tím doménov</w:t>
      </w:r>
      <w:r w:rsidR="003B7C56" w:rsidRPr="00BF4108">
        <w:t>ě</w:t>
      </w:r>
      <w:r w:rsidRPr="00BF4108">
        <w:t xml:space="preserve"> specifické – vztažené</w:t>
      </w:r>
      <w:r w:rsidR="005533C8" w:rsidRPr="00BF4108">
        <w:t xml:space="preserve"> </w:t>
      </w:r>
      <w:r w:rsidR="00E12F97">
        <w:t>k určitému omezenému okruhu kontextů a situací</w:t>
      </w:r>
      <w:r w:rsidRPr="00BF4108">
        <w:t xml:space="preserve">. </w:t>
      </w:r>
      <w:r w:rsidR="00E12F97">
        <w:t xml:space="preserve">(2) </w:t>
      </w:r>
      <w:r w:rsidR="00B87545">
        <w:t>M</w:t>
      </w:r>
      <w:r w:rsidR="00E12F97">
        <w:t xml:space="preserve">usí existovat </w:t>
      </w:r>
      <w:r w:rsidR="00E12F97">
        <w:rPr>
          <w:bCs/>
        </w:rPr>
        <w:t>funkční definice, která stanovuje, že splnění určitých požadavků indikuje tuto kompetenci</w:t>
      </w:r>
      <w:r w:rsidR="00B87545">
        <w:rPr>
          <w:bCs/>
        </w:rPr>
        <w:t>.</w:t>
      </w:r>
      <w:r w:rsidR="00E12F97" w:rsidRPr="00BF4108">
        <w:t xml:space="preserve"> </w:t>
      </w:r>
      <w:r w:rsidR="006617AD">
        <w:t>(</w:t>
      </w:r>
      <w:r w:rsidR="00B87545">
        <w:t>3</w:t>
      </w:r>
      <w:r w:rsidRPr="00BF4108">
        <w:t>) Význam pojmu je redukován na kognitivní oblast; motivační či afektivní předpoklady úspěšného jednání zde nejsou explicitně zahrnuty</w:t>
      </w:r>
      <w:r w:rsidR="0058086E" w:rsidRPr="00BF4108">
        <w:t>. Touto redukcí Weinert vyšel pragmaticky vstříc požadavku na měřitelnost kompetencí.</w:t>
      </w:r>
      <w:r w:rsidR="006D69E0" w:rsidRPr="00BF4108">
        <w:t xml:space="preserve"> </w:t>
      </w:r>
      <w:r w:rsidR="00D367F1" w:rsidRPr="00BF4108">
        <w:t xml:space="preserve">Na základě uvedené </w:t>
      </w:r>
      <w:r w:rsidR="00A42394">
        <w:t xml:space="preserve">redukce </w:t>
      </w:r>
      <w:r w:rsidR="00D367F1" w:rsidRPr="00BF4108">
        <w:t>odpadají některé důležité proměnné ovlivňující proces učení, např. motivace, schopnost samostatně řídit své učení, hodnotová orientace, sociální jednání, osobnostní charakteristiky, aj. Uvedená definice také striktně odděluje dispozice k jednání od skutečného jednání.</w:t>
      </w:r>
    </w:p>
    <w:p w:rsidR="0058086E" w:rsidRPr="00BF4108" w:rsidRDefault="005F2FF1" w:rsidP="00BF4108">
      <w:pPr>
        <w:spacing w:after="120" w:line="276" w:lineRule="auto"/>
        <w:jc w:val="both"/>
      </w:pPr>
      <w:r w:rsidRPr="00BF4108">
        <w:t xml:space="preserve">Souhrnem řečeno, kompetence jsou zde vymezovány jako </w:t>
      </w:r>
      <w:r w:rsidRPr="00BF4108">
        <w:rPr>
          <w:i/>
          <w:iCs/>
        </w:rPr>
        <w:t>kontextově specifické kognitivní výkonové dispozice</w:t>
      </w:r>
      <w:r w:rsidRPr="00BF4108">
        <w:t>, které se funkcionálně vztahují na situace a požadavky v určité doméně (podrobněji viz Klieme, Maag Merki, &amp; Hartig, 2010).</w:t>
      </w:r>
      <w:r w:rsidR="0038407C">
        <w:rPr>
          <w:rStyle w:val="Znakapoznpodarou"/>
        </w:rPr>
        <w:footnoteReference w:id="9"/>
      </w:r>
      <w:r w:rsidR="006D69E0" w:rsidRPr="00BF4108">
        <w:t xml:space="preserve"> V návaznosti na uvedenou definici je možné termín kompetence p</w:t>
      </w:r>
      <w:r w:rsidR="00E03173" w:rsidRPr="00BF4108">
        <w:t xml:space="preserve">ro účely empirického výzkumu a diagnostiky operačně </w:t>
      </w:r>
      <w:r w:rsidR="006D69E0" w:rsidRPr="00BF4108">
        <w:t>upřesnit</w:t>
      </w:r>
      <w:r w:rsidR="00E03173" w:rsidRPr="00BF4108">
        <w:t xml:space="preserve"> jako </w:t>
      </w:r>
      <w:r w:rsidR="008B0617">
        <w:rPr>
          <w:bCs/>
        </w:rPr>
        <w:t xml:space="preserve">systémy specifických </w:t>
      </w:r>
      <w:r w:rsidR="00E8775E">
        <w:rPr>
          <w:bCs/>
        </w:rPr>
        <w:t>a</w:t>
      </w:r>
      <w:r w:rsidR="008B0617">
        <w:rPr>
          <w:bCs/>
        </w:rPr>
        <w:t xml:space="preserve"> naučitelných znalostí, schopností,</w:t>
      </w:r>
      <w:r w:rsidR="00E8775E">
        <w:t xml:space="preserve"> způsobilostí či dispozic</w:t>
      </w:r>
      <w:r w:rsidR="00E03173" w:rsidRPr="00BF4108">
        <w:t xml:space="preserve"> </w:t>
      </w:r>
      <w:r w:rsidR="00E8775E">
        <w:t>umožňujících</w:t>
      </w:r>
      <w:r w:rsidR="00E03173" w:rsidRPr="00BF4108">
        <w:t> </w:t>
      </w:r>
      <w:r w:rsidR="00E8775E">
        <w:rPr>
          <w:bCs/>
        </w:rPr>
        <w:t xml:space="preserve">ovládnout určitou skupinu požadavků </w:t>
      </w:r>
      <w:r w:rsidR="00E03173" w:rsidRPr="00BF4108">
        <w:t xml:space="preserve">v určitém vymezeném kontextu, který je blízký situacím </w:t>
      </w:r>
      <w:r w:rsidR="00E8775E">
        <w:t>každodenního</w:t>
      </w:r>
      <w:r w:rsidR="00E03173" w:rsidRPr="00BF4108">
        <w:t xml:space="preserve"> soukromého a pracovního života, tedy situacím, které se odehrávají mimo školu (srov. Weinert</w:t>
      </w:r>
      <w:r w:rsidR="00D303A7">
        <w:t>,</w:t>
      </w:r>
      <w:r w:rsidR="00E03173" w:rsidRPr="00BF4108">
        <w:t xml:space="preserve"> 2001</w:t>
      </w:r>
      <w:r w:rsidR="00EE4D9E">
        <w:t>a</w:t>
      </w:r>
      <w:r w:rsidR="00E03173" w:rsidRPr="00BF4108">
        <w:t xml:space="preserve">, s. </w:t>
      </w:r>
      <w:r w:rsidR="006D69E0" w:rsidRPr="00BF4108">
        <w:t>57</w:t>
      </w:r>
      <w:r w:rsidR="00E8775E">
        <w:t>; Klieme et al., 2001, s. 82</w:t>
      </w:r>
      <w:r w:rsidR="00E03173" w:rsidRPr="00BF4108">
        <w:t>).</w:t>
      </w:r>
      <w:r w:rsidR="00C34521" w:rsidRPr="00BF4108">
        <w:rPr>
          <w:rStyle w:val="Znakapoznpodarou"/>
        </w:rPr>
        <w:footnoteReference w:id="10"/>
      </w:r>
      <w:r w:rsidR="00E03173" w:rsidRPr="00BF4108">
        <w:t xml:space="preserve"> </w:t>
      </w:r>
    </w:p>
    <w:p w:rsidR="00EC3398" w:rsidRPr="00BF4108" w:rsidRDefault="00EC3398" w:rsidP="00BF4108">
      <w:pPr>
        <w:spacing w:after="120" w:line="276" w:lineRule="auto"/>
        <w:jc w:val="both"/>
      </w:pPr>
      <w:r w:rsidRPr="00BF4108">
        <w:t xml:space="preserve">Z hlediska oborového zázemí lze rozlišovat další různé přístupy k vymezování kompetencí: (a) v lingvistice se uplatňuje generický přístup, který vymezuje </w:t>
      </w:r>
      <w:r w:rsidRPr="00BF4108">
        <w:rPr>
          <w:i/>
        </w:rPr>
        <w:t>kompetenci</w:t>
      </w:r>
      <w:r w:rsidRPr="00BF4108">
        <w:t xml:space="preserve"> jako obecnější vnitřní dispozici (schopnost, dovednost, vlastnost) k určitému jednání či výkonu, jež je označován termínem </w:t>
      </w:r>
      <w:r w:rsidRPr="00BF4108">
        <w:rPr>
          <w:i/>
        </w:rPr>
        <w:t>performance</w:t>
      </w:r>
      <w:r w:rsidRPr="00BF4108">
        <w:t xml:space="preserve">; (b) v pedagogice dominuje normativní přístup, který vymezuje </w:t>
      </w:r>
      <w:r w:rsidRPr="00BF4108">
        <w:rPr>
          <w:i/>
        </w:rPr>
        <w:t xml:space="preserve">kompetence </w:t>
      </w:r>
      <w:r w:rsidRPr="00BF4108">
        <w:t>jako jednu z cílových kategorií vzdělávání; (c) v psychologii se uplatňuje především pragmatický přístup, ve kterém jsou kompetence chápány jako kognitivní dispozice k úspěšnému jednání v určitých situacích (podrobněji viz Klieme, Hartig, &amp; Rauch</w:t>
      </w:r>
      <w:r w:rsidR="000574E2">
        <w:t>,</w:t>
      </w:r>
      <w:r w:rsidRPr="00BF4108">
        <w:t xml:space="preserve"> 2008; Eraut, 1994, s. 160 aj.).</w:t>
      </w:r>
    </w:p>
    <w:p w:rsidR="00E03173" w:rsidRPr="00BF4108" w:rsidRDefault="00E03173" w:rsidP="00BF4108">
      <w:pPr>
        <w:spacing w:after="120" w:line="276" w:lineRule="auto"/>
        <w:jc w:val="both"/>
      </w:pPr>
      <w:r w:rsidRPr="00BF4108">
        <w:t>Pokládáme za užitečné poukázat na zaměnitelnost a nejednoznačnost pojmu kompetence a jeho obsahové překrývání s jinými pojmy (přehled viz Eraut</w:t>
      </w:r>
      <w:r w:rsidR="00BC7DCD">
        <w:t>,</w:t>
      </w:r>
      <w:r w:rsidRPr="00BF4108">
        <w:t xml:space="preserve"> 1994, s. 179–180; Píšová</w:t>
      </w:r>
      <w:r w:rsidR="00BC7DCD">
        <w:t>,</w:t>
      </w:r>
      <w:r w:rsidRPr="00BF4108">
        <w:t xml:space="preserve"> 2005, s. 37–45 aj). Angličtina umožňuje odlišit pojem </w:t>
      </w:r>
      <w:r w:rsidRPr="00BF4108">
        <w:rPr>
          <w:i/>
        </w:rPr>
        <w:t>competence</w:t>
      </w:r>
      <w:r w:rsidRPr="00BF4108">
        <w:t xml:space="preserve">, který je užíván v holistickém významu k označení komplexních schopností jedince (např. kompetence číst), od </w:t>
      </w:r>
      <w:r w:rsidRPr="00BF4108">
        <w:rPr>
          <w:i/>
        </w:rPr>
        <w:t>competency</w:t>
      </w:r>
      <w:r w:rsidRPr="00BF4108">
        <w:t xml:space="preserve">, tj. dílčího požadavku ve vztahu k výkonu (např. kompetence používat s porozuměním symbolická i grafická vyjádření informací). Plurálový tvar </w:t>
      </w:r>
      <w:r w:rsidRPr="00BF4108">
        <w:rPr>
          <w:i/>
        </w:rPr>
        <w:t xml:space="preserve">competencies – </w:t>
      </w:r>
      <w:r w:rsidRPr="00BF4108">
        <w:t xml:space="preserve">odvozený od singuláru </w:t>
      </w:r>
      <w:r w:rsidRPr="00BF4108">
        <w:rPr>
          <w:i/>
        </w:rPr>
        <w:t>compentency</w:t>
      </w:r>
      <w:r w:rsidRPr="00BF4108">
        <w:t xml:space="preserve"> – se vztahuje k jednotlivým dílčím složkám situovaných „dovnitř“ celostně pojaté </w:t>
      </w:r>
      <w:r w:rsidRPr="00BF4108">
        <w:rPr>
          <w:i/>
        </w:rPr>
        <w:t>competence</w:t>
      </w:r>
      <w:r w:rsidRPr="00BF4108">
        <w:t>. Český pojmový aparát tento rozdíl nereflektuje. Četné nejasnosti pramení z toho, že jednou je termín kompetence používán v singuláru jako pojem obecný a nadřazený, jindy je užíván v plurálu pro označení různých dílčích složek (srov. Píšová</w:t>
      </w:r>
      <w:r w:rsidR="00BC7DCD">
        <w:t>,</w:t>
      </w:r>
      <w:r w:rsidRPr="00BF4108">
        <w:t xml:space="preserve"> 2005, s. 39). </w:t>
      </w:r>
    </w:p>
    <w:p w:rsidR="00862C15" w:rsidRPr="00067DAE" w:rsidRDefault="00862C15" w:rsidP="00067DAE">
      <w:pPr>
        <w:rPr>
          <w:i/>
          <w:color w:val="7030A0"/>
        </w:rPr>
      </w:pPr>
    </w:p>
    <w:p w:rsidR="00067DAE" w:rsidRPr="00067DAE" w:rsidRDefault="00067DAE" w:rsidP="00D053A8">
      <w:pPr>
        <w:pStyle w:val="Nadpis3"/>
      </w:pPr>
      <w:bookmarkStart w:id="17" w:name="_Toc399775386"/>
      <w:r w:rsidRPr="00067DAE">
        <w:t>Klíčové (nadoborové) kompetence</w:t>
      </w:r>
      <w:r w:rsidR="00180099">
        <w:rPr>
          <w:rStyle w:val="Znakapoznpodarou"/>
        </w:rPr>
        <w:footnoteReference w:id="11"/>
      </w:r>
      <w:bookmarkEnd w:id="17"/>
    </w:p>
    <w:p w:rsidR="00067DAE" w:rsidRPr="00EF2239" w:rsidRDefault="00067DAE" w:rsidP="00651999">
      <w:pPr>
        <w:shd w:val="clear" w:color="auto" w:fill="FFFFFF"/>
        <w:spacing w:after="120" w:line="276" w:lineRule="auto"/>
        <w:jc w:val="both"/>
      </w:pPr>
      <w:r w:rsidRPr="00EF2239">
        <w:t>Jako klíčové je možné označit takové kompetence, které lze hodnotit kvalitativně výše, než kompetence ostatní.</w:t>
      </w:r>
      <w:r w:rsidRPr="00EF2239">
        <w:rPr>
          <w:vertAlign w:val="superscript"/>
        </w:rPr>
        <w:footnoteReference w:id="12"/>
      </w:r>
      <w:r w:rsidRPr="00EF2239">
        <w:t xml:space="preserve"> Uvádí se, že vybavenost klíčovými kompetencemi je relevantní a přínosná pro všechny členy společnosti – bez závislosti na pohlaví, společenské třídě, kultuře, rodině nebo mateřském jazyku a s ohledem na etické, ekonomické a kulturní hodnoty dané společnosti (srov. </w:t>
      </w:r>
      <w:r w:rsidRPr="009960B5">
        <w:rPr>
          <w:i/>
        </w:rPr>
        <w:t>Key competencies</w:t>
      </w:r>
      <w:r w:rsidRPr="00EF2239">
        <w:t>…</w:t>
      </w:r>
      <w:r w:rsidR="00EF2239">
        <w:t>,</w:t>
      </w:r>
      <w:r w:rsidRPr="00EF2239">
        <w:t xml:space="preserve"> 2002, s. 12). Toto vymezení však přináší určité problémy – jednak neexistuje jedna obecně akceptovaná definice kompetencí a jednak není k dispozici sjednocující teorie, která by kompetence legitimizovala jako relativně ustálený teoretický konstrukt (srov. Weinert</w:t>
      </w:r>
      <w:r w:rsidR="00D303A7">
        <w:t>,</w:t>
      </w:r>
      <w:r w:rsidRPr="00EF2239">
        <w:t xml:space="preserve"> 2001</w:t>
      </w:r>
      <w:r w:rsidR="00EE4D9E">
        <w:t>a</w:t>
      </w:r>
      <w:r w:rsidRPr="00EF2239">
        <w:t>, s. 45–46). Weinert dále připomíná, že jen v německy psané literatuře týkající se odborného vzdělávání je možné identifikovat více než 650 různých kompetencí, které jsou označovány jako klíčové. Je ovšem otázkou, zda je možné o klíčových kompetencích hovořit jako o kategoriích, které lze označit za stejně relevantní pro všechny občany žijící v různých zemích, resp. kulturách. Je pravděpodobné, že důraz na odlišné hodnoty souvisí s odlišným vnímáním „klíčovosti“ těch či oněch kompetencí. Tyto odlišnosti vystoupí do popředí v okamžiku, kdy se pokusíme hledat a vymezovat klíčové kompetence z epistemologických pozic různých oborů, jako jsou např. filozofie, sociologie, ekonomie, psychologie, antro</w:t>
      </w:r>
      <w:r w:rsidR="004A72F5">
        <w:t xml:space="preserve">pologie (podrobněji viz Rychen &amp; </w:t>
      </w:r>
      <w:r w:rsidRPr="00EF2239">
        <w:t>Salganik</w:t>
      </w:r>
      <w:r w:rsidR="004A72F5">
        <w:t>,</w:t>
      </w:r>
      <w:r w:rsidRPr="00EF2239">
        <w:t xml:space="preserve"> </w:t>
      </w:r>
      <w:r w:rsidRPr="00C16F6D">
        <w:t>2003b).</w:t>
      </w:r>
    </w:p>
    <w:p w:rsidR="00067DAE" w:rsidRPr="00EF2239" w:rsidRDefault="00067DAE" w:rsidP="00651999">
      <w:pPr>
        <w:shd w:val="clear" w:color="auto" w:fill="FFFFFF"/>
        <w:spacing w:after="120" w:line="276" w:lineRule="auto"/>
        <w:jc w:val="both"/>
      </w:pPr>
      <w:r w:rsidRPr="00EF2239">
        <w:t>Pokud připustíme, že je možné identifikovat soubor kulturně a společensky nezávislých, nadoborově pojatých klíčových kompetencí, jež umožní každému jedinci úspěšně řešit situace v různých oblastech pracovního i soukromého života, neubráníme se otázce, které to jsou... Nejčastěji se v této souvislosti hovoří o kompetencích souvisejících s rozvojem následujících schopností: komunikovat, řešit problémy, argumentovat, týmově pracovat, být kreativní, motivovat a vést lidi a schopností vzdělávat se (srov. Rychen</w:t>
      </w:r>
      <w:r w:rsidR="004A72F5">
        <w:t xml:space="preserve"> &amp;</w:t>
      </w:r>
      <w:r w:rsidRPr="00EF2239">
        <w:t xml:space="preserve"> Salganik</w:t>
      </w:r>
      <w:r w:rsidR="004A72F5">
        <w:t>,</w:t>
      </w:r>
      <w:r w:rsidRPr="00EF2239">
        <w:t xml:space="preserve"> </w:t>
      </w:r>
      <w:r w:rsidRPr="00C16F6D">
        <w:t>2003b).</w:t>
      </w:r>
      <w:r w:rsidRPr="00EF2239">
        <w:t xml:space="preserve"> Na základě konsensu mezinárodního transdisciplinárního panelu expertů sdružených v projektu </w:t>
      </w:r>
      <w:r w:rsidRPr="008F321F">
        <w:rPr>
          <w:i/>
        </w:rPr>
        <w:t>Defining and Selecting Key Competencies</w:t>
      </w:r>
      <w:r w:rsidRPr="00EF2239">
        <w:t xml:space="preserve"> (DeSeCo</w:t>
      </w:r>
      <w:r w:rsidR="00A14816">
        <w:t>,</w:t>
      </w:r>
      <w:r w:rsidRPr="00EF2239">
        <w:t xml:space="preserve"> 2005)</w:t>
      </w:r>
      <w:r w:rsidRPr="00EF2239">
        <w:rPr>
          <w:vertAlign w:val="superscript"/>
        </w:rPr>
        <w:footnoteReference w:id="13"/>
      </w:r>
      <w:r w:rsidRPr="00EF2239">
        <w:t xml:space="preserve"> byly stanoveny vzájemně propojené zastřešující kategorie klíčových kompetencí (obr. </w:t>
      </w:r>
      <w:r w:rsidR="002F7C1F">
        <w:t>2</w:t>
      </w:r>
      <w:r w:rsidRPr="00EF2239">
        <w:t>), které kladou důraz na tři základní konstrukty (Rychen</w:t>
      </w:r>
      <w:r w:rsidR="006E7193">
        <w:t>,</w:t>
      </w:r>
      <w:r w:rsidRPr="00EF2239">
        <w:t xml:space="preserve"> 2003, s. 83):</w:t>
      </w:r>
    </w:p>
    <w:p w:rsidR="00067DAE" w:rsidRPr="006E7193" w:rsidRDefault="00067DAE" w:rsidP="00FE68D6">
      <w:pPr>
        <w:pStyle w:val="Odstavecseseznamem"/>
        <w:numPr>
          <w:ilvl w:val="0"/>
          <w:numId w:val="29"/>
        </w:numPr>
        <w:shd w:val="clear" w:color="auto" w:fill="FFFFFF"/>
        <w:spacing w:after="120"/>
        <w:jc w:val="both"/>
        <w:rPr>
          <w:rFonts w:ascii="Times New Roman" w:hAnsi="Times New Roman"/>
          <w:sz w:val="24"/>
        </w:rPr>
      </w:pPr>
      <w:r w:rsidRPr="006E7193">
        <w:rPr>
          <w:rFonts w:ascii="Times New Roman" w:hAnsi="Times New Roman"/>
          <w:sz w:val="24"/>
        </w:rPr>
        <w:t>Interaktivní zacházení s nástroji – důraz je kladen na ovládání základních materiálních i sociokulturních prostředků a nástrojů současného světa, jako jsou například informační a komunikační technologie, jazyk a další oborově specifické znalosti a dovednosti.</w:t>
      </w:r>
    </w:p>
    <w:p w:rsidR="00067DAE" w:rsidRPr="006E7193" w:rsidRDefault="00067DAE" w:rsidP="00FE68D6">
      <w:pPr>
        <w:pStyle w:val="Odstavecseseznamem"/>
        <w:numPr>
          <w:ilvl w:val="0"/>
          <w:numId w:val="29"/>
        </w:numPr>
        <w:shd w:val="clear" w:color="auto" w:fill="FFFFFF"/>
        <w:spacing w:after="120"/>
        <w:jc w:val="both"/>
        <w:rPr>
          <w:rFonts w:ascii="Times New Roman" w:hAnsi="Times New Roman"/>
          <w:sz w:val="24"/>
        </w:rPr>
      </w:pPr>
      <w:r w:rsidRPr="006E7193">
        <w:rPr>
          <w:rFonts w:ascii="Times New Roman" w:hAnsi="Times New Roman"/>
          <w:sz w:val="24"/>
        </w:rPr>
        <w:t xml:space="preserve">Interakci v heterogenních skupinách – důraz je kladen na schopnost spolupracovat s jinými lidmi, zejména s lidmi z různého sociálního a kulturního prostředí. </w:t>
      </w:r>
    </w:p>
    <w:p w:rsidR="00067DAE" w:rsidRPr="006E7193" w:rsidRDefault="00067DAE" w:rsidP="00FE68D6">
      <w:pPr>
        <w:pStyle w:val="Odstavecseseznamem"/>
        <w:numPr>
          <w:ilvl w:val="0"/>
          <w:numId w:val="29"/>
        </w:numPr>
        <w:shd w:val="clear" w:color="auto" w:fill="FFFFFF"/>
        <w:spacing w:after="120"/>
        <w:jc w:val="both"/>
        <w:rPr>
          <w:rFonts w:ascii="Times New Roman" w:hAnsi="Times New Roman"/>
          <w:sz w:val="24"/>
        </w:rPr>
      </w:pPr>
      <w:r w:rsidRPr="006E7193">
        <w:rPr>
          <w:rFonts w:ascii="Times New Roman" w:hAnsi="Times New Roman"/>
          <w:sz w:val="24"/>
        </w:rPr>
        <w:t>Autonomní jednání v situacích každodenního života – důraz je kladen na utváření vlastní identity.</w:t>
      </w:r>
    </w:p>
    <w:p w:rsidR="00067DAE" w:rsidRPr="00067DAE" w:rsidRDefault="00F33511" w:rsidP="00067DAE">
      <w:pPr>
        <w:rPr>
          <w:color w:val="7030A0"/>
        </w:rPr>
      </w:pPr>
      <w:r>
        <w:rPr>
          <w:noProof/>
          <w:color w:val="7030A0"/>
        </w:rPr>
        <w:drawing>
          <wp:inline distT="0" distB="0" distL="0" distR="0">
            <wp:extent cx="2990850" cy="2295525"/>
            <wp:effectExtent l="19050" t="0" r="0" b="0"/>
            <wp:docPr id="3" name="obrázek 3" descr="obr1_ZastresujiciKategor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br1_ZastresujiciKategorie"/>
                    <pic:cNvPicPr>
                      <a:picLocks noChangeAspect="1" noChangeArrowheads="1"/>
                    </pic:cNvPicPr>
                  </pic:nvPicPr>
                  <pic:blipFill>
                    <a:blip r:embed="rId13" cstate="print"/>
                    <a:srcRect/>
                    <a:stretch>
                      <a:fillRect/>
                    </a:stretch>
                  </pic:blipFill>
                  <pic:spPr bwMode="auto">
                    <a:xfrm>
                      <a:off x="0" y="0"/>
                      <a:ext cx="2990850" cy="2295525"/>
                    </a:xfrm>
                    <a:prstGeom prst="rect">
                      <a:avLst/>
                    </a:prstGeom>
                    <a:noFill/>
                    <a:ln w="9525">
                      <a:noFill/>
                      <a:miter lim="800000"/>
                      <a:headEnd/>
                      <a:tailEnd/>
                    </a:ln>
                  </pic:spPr>
                </pic:pic>
              </a:graphicData>
            </a:graphic>
          </wp:inline>
        </w:drawing>
      </w:r>
    </w:p>
    <w:p w:rsidR="001A4000" w:rsidRDefault="001A4000" w:rsidP="001A4000">
      <w:pPr>
        <w:pStyle w:val="Titulek"/>
        <w:jc w:val="both"/>
        <w:rPr>
          <w:b w:val="0"/>
          <w:sz w:val="24"/>
        </w:rPr>
      </w:pPr>
      <w:bookmarkStart w:id="18" w:name="_Toc399789140"/>
      <w:r w:rsidRPr="001A4000">
        <w:rPr>
          <w:b w:val="0"/>
          <w:i/>
          <w:sz w:val="24"/>
        </w:rPr>
        <w:t xml:space="preserve">Obrázek </w:t>
      </w:r>
      <w:r w:rsidR="003818A1" w:rsidRPr="001A4000">
        <w:rPr>
          <w:b w:val="0"/>
          <w:i/>
          <w:sz w:val="24"/>
        </w:rPr>
        <w:fldChar w:fldCharType="begin"/>
      </w:r>
      <w:r w:rsidRPr="001A4000">
        <w:rPr>
          <w:b w:val="0"/>
          <w:i/>
          <w:sz w:val="24"/>
        </w:rPr>
        <w:instrText xml:space="preserve"> SEQ Obrázek \* ARABIC </w:instrText>
      </w:r>
      <w:r w:rsidR="003818A1" w:rsidRPr="001A4000">
        <w:rPr>
          <w:b w:val="0"/>
          <w:i/>
          <w:sz w:val="24"/>
        </w:rPr>
        <w:fldChar w:fldCharType="separate"/>
      </w:r>
      <w:r w:rsidR="00FB20B9">
        <w:rPr>
          <w:b w:val="0"/>
          <w:i/>
          <w:noProof/>
          <w:sz w:val="24"/>
        </w:rPr>
        <w:t>2</w:t>
      </w:r>
      <w:r w:rsidR="003818A1" w:rsidRPr="001A4000">
        <w:rPr>
          <w:b w:val="0"/>
          <w:i/>
          <w:sz w:val="24"/>
        </w:rPr>
        <w:fldChar w:fldCharType="end"/>
      </w:r>
      <w:r w:rsidRPr="001A4000">
        <w:rPr>
          <w:b w:val="0"/>
          <w:sz w:val="24"/>
        </w:rPr>
        <w:t xml:space="preserve">. </w:t>
      </w:r>
      <w:r w:rsidR="00067DAE" w:rsidRPr="001A4000">
        <w:rPr>
          <w:b w:val="0"/>
          <w:sz w:val="24"/>
        </w:rPr>
        <w:t>Zastřešující kategorie klíčových kompetencí</w:t>
      </w:r>
      <w:r>
        <w:rPr>
          <w:b w:val="0"/>
          <w:sz w:val="24"/>
        </w:rPr>
        <w:t>.</w:t>
      </w:r>
      <w:bookmarkEnd w:id="18"/>
      <w:r w:rsidR="00067DAE" w:rsidRPr="001A4000">
        <w:rPr>
          <w:b w:val="0"/>
          <w:sz w:val="24"/>
        </w:rPr>
        <w:t xml:space="preserve"> </w:t>
      </w:r>
    </w:p>
    <w:p w:rsidR="00067DAE" w:rsidRPr="001A4000" w:rsidRDefault="001A4000" w:rsidP="001A4000">
      <w:pPr>
        <w:pStyle w:val="Titulek"/>
        <w:jc w:val="both"/>
        <w:rPr>
          <w:b w:val="0"/>
        </w:rPr>
      </w:pPr>
      <w:r w:rsidRPr="001A4000">
        <w:rPr>
          <w:b w:val="0"/>
        </w:rPr>
        <w:t>Pozn. V</w:t>
      </w:r>
      <w:r w:rsidR="00EF2239" w:rsidRPr="001A4000">
        <w:rPr>
          <w:b w:val="0"/>
        </w:rPr>
        <w:t xml:space="preserve">olně podle </w:t>
      </w:r>
      <w:r w:rsidR="00067DAE" w:rsidRPr="001A4000">
        <w:rPr>
          <w:b w:val="0"/>
        </w:rPr>
        <w:t>DeSeCo</w:t>
      </w:r>
      <w:r w:rsidRPr="001A4000">
        <w:rPr>
          <w:b w:val="0"/>
        </w:rPr>
        <w:t xml:space="preserve"> (2005, s. 5)</w:t>
      </w:r>
      <w:r w:rsidR="006E7193" w:rsidRPr="001A4000">
        <w:rPr>
          <w:b w:val="0"/>
        </w:rPr>
        <w:t>.</w:t>
      </w:r>
    </w:p>
    <w:p w:rsidR="00067DAE" w:rsidRPr="00067DAE" w:rsidRDefault="00067DAE" w:rsidP="00A379BB">
      <w:pPr>
        <w:jc w:val="both"/>
        <w:rPr>
          <w:color w:val="7030A0"/>
        </w:rPr>
      </w:pPr>
    </w:p>
    <w:p w:rsidR="00067DAE" w:rsidRPr="00651999" w:rsidRDefault="00067DAE" w:rsidP="00651999">
      <w:pPr>
        <w:spacing w:after="120" w:line="276" w:lineRule="auto"/>
        <w:jc w:val="both"/>
      </w:pPr>
      <w:r w:rsidRPr="00651999">
        <w:t xml:space="preserve">Trier (2003) na základě obsahové analýzy kurikulárních dokumentů ve 12 zemích zapojených do projektu DeSeCo (2005) stanovil soubor klíčových kompetencí, které bylo možné označit za společné pro většinu zkoumaných kurikulárních dokumentů. Ukázalo se, že existuje 10 kompetencí, jejichž důležitost je zdůrazňována napříč jednotlivými zeměmi (obr. </w:t>
      </w:r>
      <w:r w:rsidR="002F7C1F">
        <w:t>3</w:t>
      </w:r>
      <w:r w:rsidRPr="00651999">
        <w:t xml:space="preserve">). </w:t>
      </w:r>
    </w:p>
    <w:p w:rsidR="00067DAE" w:rsidRPr="00651999" w:rsidRDefault="00067DAE" w:rsidP="00651999">
      <w:pPr>
        <w:spacing w:after="120" w:line="276" w:lineRule="auto"/>
        <w:jc w:val="both"/>
        <w:rPr>
          <w:color w:val="7030A0"/>
        </w:rPr>
      </w:pPr>
    </w:p>
    <w:p w:rsidR="00067DAE" w:rsidRPr="00651999" w:rsidRDefault="00F33511" w:rsidP="00651999">
      <w:pPr>
        <w:spacing w:after="120" w:line="276" w:lineRule="auto"/>
        <w:jc w:val="both"/>
        <w:rPr>
          <w:color w:val="7030A0"/>
        </w:rPr>
      </w:pPr>
      <w:r>
        <w:rPr>
          <w:noProof/>
          <w:color w:val="7030A0"/>
        </w:rPr>
        <w:drawing>
          <wp:inline distT="0" distB="0" distL="0" distR="0">
            <wp:extent cx="5200650" cy="2809875"/>
            <wp:effectExtent l="19050" t="0" r="0" b="0"/>
            <wp:docPr id="4" name="obrázek 4" descr="obr2_FrekvenceVyskytu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br2_FrekvenceVyskytuKK"/>
                    <pic:cNvPicPr>
                      <a:picLocks noChangeAspect="1" noChangeArrowheads="1"/>
                    </pic:cNvPicPr>
                  </pic:nvPicPr>
                  <pic:blipFill>
                    <a:blip r:embed="rId14" cstate="print"/>
                    <a:srcRect/>
                    <a:stretch>
                      <a:fillRect/>
                    </a:stretch>
                  </pic:blipFill>
                  <pic:spPr bwMode="auto">
                    <a:xfrm>
                      <a:off x="0" y="0"/>
                      <a:ext cx="5200650" cy="2809875"/>
                    </a:xfrm>
                    <a:prstGeom prst="rect">
                      <a:avLst/>
                    </a:prstGeom>
                    <a:noFill/>
                    <a:ln w="9525">
                      <a:noFill/>
                      <a:miter lim="800000"/>
                      <a:headEnd/>
                      <a:tailEnd/>
                    </a:ln>
                  </pic:spPr>
                </pic:pic>
              </a:graphicData>
            </a:graphic>
          </wp:inline>
        </w:drawing>
      </w:r>
    </w:p>
    <w:p w:rsidR="001A4000" w:rsidRDefault="001A4000" w:rsidP="001A4000">
      <w:pPr>
        <w:pStyle w:val="Titulek"/>
        <w:jc w:val="both"/>
        <w:rPr>
          <w:b w:val="0"/>
          <w:sz w:val="24"/>
        </w:rPr>
      </w:pPr>
      <w:bookmarkStart w:id="19" w:name="_Toc399789141"/>
      <w:r w:rsidRPr="001A4000">
        <w:rPr>
          <w:b w:val="0"/>
          <w:i/>
          <w:sz w:val="24"/>
        </w:rPr>
        <w:t xml:space="preserve">Obrázek </w:t>
      </w:r>
      <w:r w:rsidR="003818A1" w:rsidRPr="001A4000">
        <w:rPr>
          <w:b w:val="0"/>
          <w:i/>
          <w:sz w:val="24"/>
        </w:rPr>
        <w:fldChar w:fldCharType="begin"/>
      </w:r>
      <w:r w:rsidRPr="001A4000">
        <w:rPr>
          <w:b w:val="0"/>
          <w:i/>
          <w:sz w:val="24"/>
        </w:rPr>
        <w:instrText xml:space="preserve"> SEQ Obrázek \* ARABIC </w:instrText>
      </w:r>
      <w:r w:rsidR="003818A1" w:rsidRPr="001A4000">
        <w:rPr>
          <w:b w:val="0"/>
          <w:i/>
          <w:sz w:val="24"/>
        </w:rPr>
        <w:fldChar w:fldCharType="separate"/>
      </w:r>
      <w:r w:rsidR="00FB20B9">
        <w:rPr>
          <w:b w:val="0"/>
          <w:i/>
          <w:noProof/>
          <w:sz w:val="24"/>
        </w:rPr>
        <w:t>3</w:t>
      </w:r>
      <w:r w:rsidR="003818A1" w:rsidRPr="001A4000">
        <w:rPr>
          <w:b w:val="0"/>
          <w:i/>
          <w:sz w:val="24"/>
        </w:rPr>
        <w:fldChar w:fldCharType="end"/>
      </w:r>
      <w:r w:rsidRPr="001A4000">
        <w:rPr>
          <w:b w:val="0"/>
          <w:i/>
          <w:sz w:val="24"/>
        </w:rPr>
        <w:t>.</w:t>
      </w:r>
      <w:r w:rsidRPr="001A4000">
        <w:rPr>
          <w:b w:val="0"/>
          <w:sz w:val="24"/>
        </w:rPr>
        <w:t xml:space="preserve"> </w:t>
      </w:r>
      <w:r w:rsidR="00067DAE" w:rsidRPr="001A4000">
        <w:rPr>
          <w:b w:val="0"/>
          <w:sz w:val="24"/>
        </w:rPr>
        <w:t xml:space="preserve">Frekvence výskytu klíčových kompetencí v kurikulárních dokumentech ve </w:t>
      </w:r>
      <w:r>
        <w:rPr>
          <w:b w:val="0"/>
          <w:sz w:val="24"/>
        </w:rPr>
        <w:t xml:space="preserve">dvanácti </w:t>
      </w:r>
      <w:r w:rsidR="00067DAE" w:rsidRPr="001A4000">
        <w:rPr>
          <w:b w:val="0"/>
          <w:sz w:val="24"/>
        </w:rPr>
        <w:t xml:space="preserve">zemích zapojených do projektu </w:t>
      </w:r>
      <w:r w:rsidR="00067DAE" w:rsidRPr="001A4000">
        <w:rPr>
          <w:b w:val="0"/>
          <w:i/>
          <w:sz w:val="24"/>
        </w:rPr>
        <w:t>DeSeCo</w:t>
      </w:r>
      <w:r>
        <w:rPr>
          <w:b w:val="0"/>
          <w:sz w:val="24"/>
        </w:rPr>
        <w:t>.</w:t>
      </w:r>
      <w:bookmarkEnd w:id="19"/>
      <w:r w:rsidR="00067DAE" w:rsidRPr="001A4000">
        <w:rPr>
          <w:b w:val="0"/>
          <w:sz w:val="24"/>
        </w:rPr>
        <w:t xml:space="preserve"> </w:t>
      </w:r>
    </w:p>
    <w:p w:rsidR="00067DAE" w:rsidRPr="001A4000" w:rsidRDefault="001A4000" w:rsidP="001A4000">
      <w:pPr>
        <w:pStyle w:val="Titulek"/>
        <w:jc w:val="both"/>
        <w:rPr>
          <w:b w:val="0"/>
        </w:rPr>
      </w:pPr>
      <w:r w:rsidRPr="001A4000">
        <w:rPr>
          <w:b w:val="0"/>
        </w:rPr>
        <w:t xml:space="preserve">Pozn.: Volně podle </w:t>
      </w:r>
      <w:r w:rsidR="00067DAE" w:rsidRPr="001A4000">
        <w:rPr>
          <w:b w:val="0"/>
        </w:rPr>
        <w:t>Trier</w:t>
      </w:r>
      <w:r w:rsidRPr="001A4000">
        <w:rPr>
          <w:b w:val="0"/>
        </w:rPr>
        <w:t xml:space="preserve"> (</w:t>
      </w:r>
      <w:r w:rsidR="00067DAE" w:rsidRPr="001A4000">
        <w:rPr>
          <w:b w:val="0"/>
        </w:rPr>
        <w:t>2003)</w:t>
      </w:r>
      <w:r w:rsidR="006E7193" w:rsidRPr="001A4000">
        <w:rPr>
          <w:b w:val="0"/>
        </w:rPr>
        <w:t>.</w:t>
      </w:r>
    </w:p>
    <w:p w:rsidR="009323FE" w:rsidRDefault="009323FE" w:rsidP="00651999">
      <w:pPr>
        <w:spacing w:after="120" w:line="276" w:lineRule="auto"/>
        <w:jc w:val="both"/>
      </w:pPr>
    </w:p>
    <w:p w:rsidR="00067DAE" w:rsidRPr="00651999" w:rsidRDefault="00067DAE" w:rsidP="00651999">
      <w:pPr>
        <w:spacing w:after="120" w:line="276" w:lineRule="auto"/>
        <w:jc w:val="both"/>
      </w:pPr>
      <w:r w:rsidRPr="00651999">
        <w:t>Diskuse nad stanovením souboru klíčových kompetencí probíhají také u nás. Pokud např. porovnáme klíčové kompetence uváděné v </w:t>
      </w:r>
      <w:r w:rsidRPr="00651999">
        <w:rPr>
          <w:i/>
        </w:rPr>
        <w:t>Rámcovém vzdělávacím programu pro základní vzdělávání</w:t>
      </w:r>
      <w:r w:rsidRPr="00651999">
        <w:t xml:space="preserve"> </w:t>
      </w:r>
      <w:r w:rsidRPr="00651999">
        <w:rPr>
          <w:rStyle w:val="Znakapoznpodarou"/>
        </w:rPr>
        <w:footnoteReference w:id="14"/>
      </w:r>
      <w:r w:rsidRPr="00651999">
        <w:t xml:space="preserve"> (RVP ZV</w:t>
      </w:r>
      <w:r w:rsidR="0050764E">
        <w:t>,</w:t>
      </w:r>
      <w:r w:rsidRPr="00651999">
        <w:t xml:space="preserve"> 200</w:t>
      </w:r>
      <w:r w:rsidR="00CC3EEA">
        <w:t>7</w:t>
      </w:r>
      <w:r w:rsidRPr="00651999">
        <w:t xml:space="preserve">) se souborem klíčových kompetencí uváděných v kurikulárních dokumentech v jiných zemích (viz obr. 2), je patrné, že některé z klíčových kompetencí jsou v našich dokumentech vymezovány odlišně. </w:t>
      </w:r>
    </w:p>
    <w:p w:rsidR="00067DAE" w:rsidRPr="00651999" w:rsidRDefault="00067DAE" w:rsidP="00651999">
      <w:pPr>
        <w:spacing w:after="120" w:line="276" w:lineRule="auto"/>
        <w:jc w:val="both"/>
      </w:pPr>
      <w:r w:rsidRPr="00651999">
        <w:t>Klíčové kompetence jsou většinou prezentovány v tzv. silném pojetí, kdy představují ideální stav, k němuž jedinec směřuje v průběhu svého života. Není tudíž reálné očekávat, že všichni budou mít po ukončení povinné školní docházky klíčové kompetence rozvinuty v nejvyšší možné míře. Goody (2001, s. 188) upozorňuje, že koncept klíčových kompetencí nelze přeceňovat, neboť úspěšný pracovní i soukromý život je možné vést, aniž by jedinec měl některé z klíčových kompetencí patřičně rozvinuty. Některé empirické studie udávají, že více než polovina populace nemá některé klíčové kompetence (např. samostatné rozhodování) rozvinuté v doporučované míře (</w:t>
      </w:r>
      <w:r w:rsidR="008F321F">
        <w:t xml:space="preserve">viz např. </w:t>
      </w:r>
      <w:r w:rsidRPr="00651999">
        <w:t>Torbert in Kegan</w:t>
      </w:r>
      <w:r w:rsidR="00714E41">
        <w:t>,</w:t>
      </w:r>
      <w:r w:rsidRPr="00651999">
        <w:t xml:space="preserve"> 2001, s. 202). Klíčovou kompetenci je tedy možné chápat jako dispozici, která může nabývat různých úrovní. V souvislosti s tímto předpokladem hovoříme o možnostech a míře rozvinutí určité kompetence.</w:t>
      </w:r>
    </w:p>
    <w:p w:rsidR="00E75F0F" w:rsidRPr="00651999" w:rsidRDefault="00067DAE" w:rsidP="00651999">
      <w:pPr>
        <w:spacing w:after="120" w:line="276" w:lineRule="auto"/>
        <w:jc w:val="both"/>
      </w:pPr>
      <w:r w:rsidRPr="00651999">
        <w:t>Důraz na nadoborově pojaté klíčové kompetence nemůže sám o sobě zaručit, že žáci budou ovládat nezbytné oborově specifické kompetence (srov. Weinert</w:t>
      </w:r>
      <w:r w:rsidR="00D303A7">
        <w:t>,</w:t>
      </w:r>
      <w:r w:rsidRPr="00651999">
        <w:t xml:space="preserve"> 2001</w:t>
      </w:r>
      <w:r w:rsidR="00EE4D9E">
        <w:t>a</w:t>
      </w:r>
      <w:r w:rsidRPr="00651999">
        <w:t xml:space="preserve">, s. 53). </w:t>
      </w:r>
      <w:r w:rsidR="006E7193">
        <w:t>„</w:t>
      </w:r>
      <w:r w:rsidRPr="00651999">
        <w:t xml:space="preserve">Klíčovost“ kompetencí je dána především jejich nadoborovostí – jedná se o takové kompetence, které lze uplatňovat a rozvíjet napříč jednotlivými obory zastoupenými ve vzdělávání či mimo jeho sféru. Konstruktem kompetencí se „nadoborovost“ nadřazuje nad „oborovost“, čímž v praxi může být přechod mezi nadoborovými a oborovými a kompetencemi neznatelný. Klíčové kompetence samy o sobě nejsou přímo prakticky využitelné, neboť každodenní problémy jsou vždy zasazeny do určitého (oborově) specifického kontextu. Kromě toho kognitivní operace nemohou být rozvíjeny jinak než prostřednictvím zcela určitého obsahu, který může být ve školní výuce reprezentován minimálně ve trojím pojetí: a) pojetí nadoborové, b) pojetí mezioborové, c) pojetí oborové. Kompetence v nadoborovém pojetí (reprezentovány konceptem klíčových kompetencí – sociální kompetence aj.) vytváří spíše ideální cílovou kategorii školního vzdělávání, ke které je možné směřovat prostřednictvím rozvíjení mezioborových kompetencí (kompetence k řešení problémů, čtenářská kompetence, přírodovědná kompetence aj.) a kompetencí oborových (fyzikální kompetence, </w:t>
      </w:r>
      <w:r w:rsidR="00E75F0F" w:rsidRPr="00651999">
        <w:t xml:space="preserve">geografické, </w:t>
      </w:r>
      <w:r w:rsidRPr="00651999">
        <w:t xml:space="preserve">matematické kompetence aj.). Z uvedeného je patrné, že kompetence jakožto nadoborové kategorie jsou vždy vázány na určité oborově specifické kontexty. </w:t>
      </w:r>
    </w:p>
    <w:p w:rsidR="00067DAE" w:rsidRPr="00651999" w:rsidRDefault="00067DAE" w:rsidP="00651999">
      <w:pPr>
        <w:spacing w:after="120" w:line="276" w:lineRule="auto"/>
        <w:jc w:val="both"/>
      </w:pPr>
      <w:r w:rsidRPr="00651999">
        <w:t xml:space="preserve">Pro kompetence je stěžejní role kontextu a vázanost na specifické oborové znalosti a dovednosti. </w:t>
      </w:r>
      <w:r w:rsidR="00472910">
        <w:t>P</w:t>
      </w:r>
      <w:r w:rsidR="004F57EC" w:rsidRPr="00651999">
        <w:t>ravděpodobnost úspěšného řešení problému je vyšší, pokud je učební úloha zasazena do kontextu, kterému žák rozumí (</w:t>
      </w:r>
      <w:r w:rsidR="000D20F0">
        <w:t xml:space="preserve">srov. </w:t>
      </w:r>
      <w:r w:rsidR="004F57EC" w:rsidRPr="00651999">
        <w:t xml:space="preserve">Huber, 1995). </w:t>
      </w:r>
      <w:r w:rsidRPr="00651999">
        <w:t>V doméně mezioborové a oborové se vedle deklarativních znalostí (které jsou oborově specifické samy o sobě) klade důraz také na znalosti procedurální</w:t>
      </w:r>
      <w:r w:rsidR="004F57EC" w:rsidRPr="00651999">
        <w:t xml:space="preserve"> a kontextuální,</w:t>
      </w:r>
      <w:r w:rsidRPr="00651999">
        <w:t xml:space="preserve"> a na využití těchto znalostí pro jednání v situacích zasazených do soukromého i budoucího pracovního života žáků. Kompetence (klíčová, mezioborová, oborová) je individuální předpoklad žáka v t</w:t>
      </w:r>
      <w:r w:rsidR="004F57EC" w:rsidRPr="00651999">
        <w:t>ěchto situacích</w:t>
      </w:r>
      <w:r w:rsidR="000D20F0">
        <w:t xml:space="preserve"> obstát (podrobněji viz </w:t>
      </w:r>
      <w:r w:rsidRPr="00651999">
        <w:t xml:space="preserve">Janík, Maňák, </w:t>
      </w:r>
      <w:r w:rsidR="00646C4B">
        <w:t xml:space="preserve">&amp; </w:t>
      </w:r>
      <w:r w:rsidRPr="00651999">
        <w:t>Knecht</w:t>
      </w:r>
      <w:r w:rsidR="001202DF">
        <w:t>,</w:t>
      </w:r>
      <w:r w:rsidRPr="00651999">
        <w:t xml:space="preserve"> 2009, s. 151). Právě svojí oborovou zakotveností (artikulovanou v různých rovinách obecnosti) se kompetence odlišují např. od inteligence jakožto konstruktu doménově obecného. Inteligence bývá odvozována na základě intelektuálních výkonů empiricky, oproti tomu kompetence představují cílovou kategorii vzdělávání. Vysoká míra inteligence sama o sobě nezaručuje, že jedinec bude schopen obstát v každodenních situacích pracovního či soukromého života – např. v situacích vyžadujících nějaké oborově specifické znalosti. </w:t>
      </w:r>
    </w:p>
    <w:p w:rsidR="00067DAE" w:rsidRPr="00651999" w:rsidRDefault="00067DAE" w:rsidP="00651999">
      <w:pPr>
        <w:spacing w:after="120" w:line="276" w:lineRule="auto"/>
        <w:jc w:val="both"/>
      </w:pPr>
      <w:r w:rsidRPr="00651999">
        <w:t>Doposud jsme se věnovali především nadoborovým (klíčovým) kompetencím. V následujícím textu přistoupíme k operacionalizaci a strukturaci kompetencí mezioborových a oborových (oborově specifických).</w:t>
      </w:r>
    </w:p>
    <w:p w:rsidR="00DE1B7E" w:rsidRPr="00651999" w:rsidRDefault="00DE1B7E" w:rsidP="00651999">
      <w:pPr>
        <w:spacing w:after="120" w:line="276" w:lineRule="auto"/>
        <w:jc w:val="both"/>
        <w:rPr>
          <w:color w:val="7030A0"/>
        </w:rPr>
      </w:pPr>
    </w:p>
    <w:p w:rsidR="00067DAE" w:rsidRPr="00651999" w:rsidRDefault="00067DAE" w:rsidP="00D053A8">
      <w:pPr>
        <w:pStyle w:val="Nadpis3"/>
      </w:pPr>
      <w:bookmarkStart w:id="20" w:name="_Toc399775387"/>
      <w:r w:rsidRPr="00651999">
        <w:t xml:space="preserve">Mezioborové kompetence: </w:t>
      </w:r>
      <w:r w:rsidR="001A4000">
        <w:t>k</w:t>
      </w:r>
      <w:r w:rsidRPr="00651999">
        <w:t>ompetence k řešení problém</w:t>
      </w:r>
      <w:r w:rsidR="001A4000">
        <w:t>ů</w:t>
      </w:r>
      <w:bookmarkEnd w:id="20"/>
    </w:p>
    <w:p w:rsidR="00067DAE" w:rsidRPr="00651999" w:rsidRDefault="00067DAE" w:rsidP="0088050F">
      <w:pPr>
        <w:spacing w:after="120" w:line="276" w:lineRule="auto"/>
        <w:jc w:val="both"/>
      </w:pPr>
      <w:r w:rsidRPr="00651999">
        <w:t>Konstrukt klíčové kompetence bývá často kritizován pro své poměrně široké nadoborové vymezení a abstraktnost. To na jedné straně umožňuje vyšší úroveň zobecnění, čímž se dostávají do souvislostí dříve neregistrované, překryté, nebo i zcela oddělené skutečnosti (podrobněji viz Maňák</w:t>
      </w:r>
      <w:r w:rsidR="00714E41">
        <w:t>,</w:t>
      </w:r>
      <w:r w:rsidRPr="00651999">
        <w:t xml:space="preserve"> 2009, s. 14); na straně druhé se ukazuje jako nezbytné jednotlivé klíčové kompetence blíže specifikovat </w:t>
      </w:r>
      <w:r w:rsidR="002169F9" w:rsidRPr="00651999">
        <w:t xml:space="preserve">(modelovat) </w:t>
      </w:r>
      <w:r w:rsidRPr="00651999">
        <w:t xml:space="preserve">prostřednictvím tzv. dílčích kompetencí či subkompetencí (např. mezioborových či oborových) a jejich složek či dimenzí (např. </w:t>
      </w:r>
      <w:r w:rsidR="002169F9" w:rsidRPr="00651999">
        <w:t>obsahových, kognitivních</w:t>
      </w:r>
      <w:r w:rsidRPr="00651999">
        <w:t xml:space="preserve"> apod.). </w:t>
      </w:r>
      <w:r w:rsidR="005B6E7A">
        <w:t>Z uvedeného vyplývá, že m</w:t>
      </w:r>
      <w:r w:rsidR="005B6E7A" w:rsidRPr="00651999">
        <w:t>ezioborové kompetence se vyznačují multifunkčností (</w:t>
      </w:r>
      <w:r w:rsidR="0050410F">
        <w:t xml:space="preserve">viz </w:t>
      </w:r>
      <w:r w:rsidR="005B6E7A" w:rsidRPr="00AF6F3C">
        <w:t>Salganik, 200</w:t>
      </w:r>
      <w:r w:rsidR="00AF6F3C" w:rsidRPr="00AF6F3C">
        <w:t>1, s. 30</w:t>
      </w:r>
      <w:r w:rsidR="005B6E7A" w:rsidRPr="00AF6F3C">
        <w:t>) a jsou</w:t>
      </w:r>
      <w:r w:rsidR="005B6E7A" w:rsidRPr="00651999">
        <w:t xml:space="preserve"> využitelné ve více obsahových doménách a kontextech (</w:t>
      </w:r>
      <w:r w:rsidR="0050410F">
        <w:t xml:space="preserve">srov. </w:t>
      </w:r>
      <w:r w:rsidR="005B6E7A" w:rsidRPr="00651999">
        <w:t xml:space="preserve">Helm et al., 2012, s. 236). </w:t>
      </w:r>
      <w:r w:rsidRPr="00651999">
        <w:t>Absence přesnějšího vymezení jednotlivých klíčových kompetencí je předmětem mnoha diskusí. Objevuje se také problém (ne)kompatibility kurikulárního a vědeckého vymezení pojmu klíčové kompetence.</w:t>
      </w:r>
      <w:r w:rsidRPr="00651999">
        <w:rPr>
          <w:rStyle w:val="Znakapoznpodarou"/>
        </w:rPr>
        <w:footnoteReference w:id="15"/>
      </w:r>
      <w:r w:rsidRPr="00651999">
        <w:t xml:space="preserve"> </w:t>
      </w:r>
    </w:p>
    <w:p w:rsidR="005B6E7A" w:rsidRDefault="005B6E7A" w:rsidP="0088050F">
      <w:pPr>
        <w:spacing w:after="120" w:line="276" w:lineRule="auto"/>
        <w:jc w:val="both"/>
      </w:pPr>
      <w:r>
        <w:t xml:space="preserve">V pro-reformně orientovaném kurikulárním diskursu </w:t>
      </w:r>
      <w:r w:rsidR="00A45CCD">
        <w:t xml:space="preserve">zastřešovaným klíčovými kompetencemi </w:t>
      </w:r>
      <w:r>
        <w:t>často slyšíme hesla a slogany jako důraz na aplikaci znalostí, transfer, identifikaci souvislostí a vztahů, syntetické myšlení, autonomní učení a řešení problémů. Jakkoliv můžeme mít ke kompetenčně pojatému vzdělávání výhrady, řešení komplexní</w:t>
      </w:r>
      <w:r w:rsidR="004363E8">
        <w:t>ch problémů v minulosti bylo a</w:t>
      </w:r>
      <w:r>
        <w:t xml:space="preserve"> je </w:t>
      </w:r>
      <w:r w:rsidR="004363E8">
        <w:t>současnosti</w:t>
      </w:r>
      <w:r>
        <w:t xml:space="preserve"> považováno za jednu ze základních individuálních schopností potřebných pro úspěšný život každého jedince. Vychází se přitom z premisy, že do života každého jedince zasahují reálně existující problémy. </w:t>
      </w:r>
    </w:p>
    <w:p w:rsidR="005B6E7A" w:rsidRDefault="00BA7B10" w:rsidP="0088050F">
      <w:pPr>
        <w:spacing w:after="120" w:line="276" w:lineRule="auto"/>
        <w:jc w:val="both"/>
      </w:pPr>
      <w:r w:rsidRPr="00651999">
        <w:t>Z</w:t>
      </w:r>
      <w:r w:rsidR="00A45CCD">
        <w:t xml:space="preserve"> vědeckého </w:t>
      </w:r>
      <w:r w:rsidRPr="00651999">
        <w:t xml:space="preserve">pohledu je kompetence k řešení problémů zpravidla chápána </w:t>
      </w:r>
      <w:r w:rsidR="0088050F">
        <w:t xml:space="preserve">nikoliv jako kategorie „klíčová“, ale </w:t>
      </w:r>
      <w:r w:rsidRPr="00651999">
        <w:t xml:space="preserve">jako kategorie </w:t>
      </w:r>
      <w:r w:rsidRPr="00651999">
        <w:rPr>
          <w:i/>
        </w:rPr>
        <w:t xml:space="preserve">mezioborová </w:t>
      </w:r>
      <w:r w:rsidRPr="00651999">
        <w:t xml:space="preserve">(srov. </w:t>
      </w:r>
      <w:r w:rsidRPr="00651999">
        <w:rPr>
          <w:i/>
        </w:rPr>
        <w:t>fächerübergreifend</w:t>
      </w:r>
      <w:r w:rsidRPr="00651999">
        <w:t xml:space="preserve"> in Klieme et al.</w:t>
      </w:r>
      <w:r w:rsidR="00975321">
        <w:t>,</w:t>
      </w:r>
      <w:r w:rsidRPr="00651999">
        <w:t xml:space="preserve"> 2001), či </w:t>
      </w:r>
      <w:r w:rsidRPr="00651999">
        <w:rPr>
          <w:i/>
        </w:rPr>
        <w:t>průřezová</w:t>
      </w:r>
      <w:r w:rsidRPr="00651999">
        <w:t xml:space="preserve"> (srov. </w:t>
      </w:r>
      <w:r w:rsidRPr="00651999">
        <w:rPr>
          <w:i/>
        </w:rPr>
        <w:t>cross-curricular</w:t>
      </w:r>
      <w:r w:rsidRPr="00651999">
        <w:t xml:space="preserve"> in OECD</w:t>
      </w:r>
      <w:r w:rsidR="00481C66" w:rsidRPr="00651999">
        <w:t>,</w:t>
      </w:r>
      <w:r w:rsidRPr="00651999">
        <w:t xml:space="preserve"> 2003). Pro český překlad se nabízejí také další termíny: </w:t>
      </w:r>
      <w:r w:rsidRPr="00651999">
        <w:rPr>
          <w:i/>
        </w:rPr>
        <w:t>obor přesahující</w:t>
      </w:r>
      <w:r w:rsidRPr="00651999">
        <w:t xml:space="preserve">, </w:t>
      </w:r>
      <w:r w:rsidRPr="00651999">
        <w:rPr>
          <w:i/>
        </w:rPr>
        <w:t xml:space="preserve">nadoborová </w:t>
      </w:r>
      <w:r w:rsidRPr="00651999">
        <w:t>nebo</w:t>
      </w:r>
      <w:r w:rsidRPr="00651999">
        <w:rPr>
          <w:i/>
        </w:rPr>
        <w:t xml:space="preserve"> kroskurikulární. </w:t>
      </w:r>
      <w:r w:rsidRPr="00651999">
        <w:t xml:space="preserve">Ve snaze o systematizaci pojmů v této oblasti se přikláníme k používání termínu </w:t>
      </w:r>
      <w:r w:rsidRPr="00651999">
        <w:rPr>
          <w:i/>
        </w:rPr>
        <w:t>mezioborová kompetence</w:t>
      </w:r>
      <w:r w:rsidRPr="00651999">
        <w:t xml:space="preserve">. Mezioborové kompetence chápeme jako dílčí komponenty šíře (nadoborově) pojímaných klíčových kompetencí. </w:t>
      </w:r>
      <w:r w:rsidR="00FE77D7" w:rsidRPr="00651999">
        <w:t xml:space="preserve">Ačkoli doposud není k dispozici </w:t>
      </w:r>
      <w:r w:rsidR="007F162F" w:rsidRPr="00651999">
        <w:t xml:space="preserve">empiricky ověřený teoretický model mezioborových kompetencí, byly v minulosti uskutečněny výzkumy, jejichž cílem bylo mezioborové kompetence identifikovat. </w:t>
      </w:r>
      <w:r w:rsidR="00295D4E" w:rsidRPr="00651999">
        <w:t xml:space="preserve">Grob a Maag Merkiová (2001) </w:t>
      </w:r>
      <w:r w:rsidR="00606855" w:rsidRPr="00651999">
        <w:t>vytvořili seznam mezioborových kompetencí na základě obsahové analýzy švýcarských učebních plánů. Výsledný seznam zahrno</w:t>
      </w:r>
      <w:r w:rsidR="005702F5" w:rsidRPr="00651999">
        <w:t>val 33 mezioborových kompetencí, které autoři následně rozdělili do šesti větších skupin</w:t>
      </w:r>
      <w:r w:rsidR="005B6E7A">
        <w:t xml:space="preserve">. </w:t>
      </w:r>
      <w:r w:rsidR="00381D75" w:rsidRPr="00651999">
        <w:t>Jednu ze skupin t</w:t>
      </w:r>
      <w:r w:rsidR="005702F5" w:rsidRPr="00651999">
        <w:t xml:space="preserve">vořila </w:t>
      </w:r>
      <w:r w:rsidR="00381D75" w:rsidRPr="00651999">
        <w:t xml:space="preserve">kompetence k řešení problémů. </w:t>
      </w:r>
    </w:p>
    <w:p w:rsidR="00067DAE" w:rsidRPr="009323FE" w:rsidRDefault="00381D75" w:rsidP="00651999">
      <w:pPr>
        <w:spacing w:after="120" w:line="276" w:lineRule="auto"/>
        <w:jc w:val="both"/>
      </w:pPr>
      <w:r w:rsidRPr="00651999">
        <w:t>Na tomto místě kompetenci k ře</w:t>
      </w:r>
      <w:r w:rsidR="00C3752D">
        <w:t>šení problémů stručně vymezíme</w:t>
      </w:r>
      <w:r w:rsidR="008B76CB">
        <w:t>.</w:t>
      </w:r>
      <w:r w:rsidRPr="00651999">
        <w:t xml:space="preserve"> </w:t>
      </w:r>
      <w:r w:rsidR="00067DAE" w:rsidRPr="00651999">
        <w:t xml:space="preserve">Klieme </w:t>
      </w:r>
      <w:r w:rsidR="00BE2CAC">
        <w:t>a kol.</w:t>
      </w:r>
      <w:r w:rsidR="00067DAE" w:rsidRPr="00651999">
        <w:t xml:space="preserve"> (2001, s. 205) </w:t>
      </w:r>
      <w:r w:rsidR="009A2AD4" w:rsidRPr="00651999">
        <w:t>definují</w:t>
      </w:r>
      <w:r w:rsidR="00067DAE" w:rsidRPr="00651999">
        <w:t xml:space="preserve"> řešení problém</w:t>
      </w:r>
      <w:r w:rsidR="007002DC" w:rsidRPr="00651999">
        <w:t>ů</w:t>
      </w:r>
      <w:r w:rsidR="00067DAE" w:rsidRPr="00651999">
        <w:t xml:space="preserve"> jako „cílově orientované uvažování a jednání v situacích, pro jejichž zvládnutí nejsou k dispozici rutinní postupy“. </w:t>
      </w:r>
      <w:r w:rsidR="00067DAE" w:rsidRPr="009323FE">
        <w:t xml:space="preserve">Celosvětově vlivné je pojetí </w:t>
      </w:r>
      <w:r w:rsidR="00067DAE" w:rsidRPr="009323FE">
        <w:rPr>
          <w:i/>
        </w:rPr>
        <w:t>kompetence k řešení problém</w:t>
      </w:r>
      <w:r w:rsidR="00BF37DF">
        <w:rPr>
          <w:i/>
        </w:rPr>
        <w:t>ů</w:t>
      </w:r>
      <w:r w:rsidR="00067DAE" w:rsidRPr="009323FE">
        <w:t>, jež je rozvíjeno v metodologickém rámci mezinárodně srovnávací studie PISA (OECD</w:t>
      </w:r>
      <w:r w:rsidR="00C570B3">
        <w:t>,</w:t>
      </w:r>
      <w:r w:rsidR="00067DAE" w:rsidRPr="009323FE">
        <w:t xml:space="preserve"> 2003, 2004). Zde jsou </w:t>
      </w:r>
      <w:r w:rsidR="00067DAE" w:rsidRPr="009323FE">
        <w:rPr>
          <w:i/>
        </w:rPr>
        <w:t xml:space="preserve">kompetence k řešení problémů (problem competencies) </w:t>
      </w:r>
      <w:r w:rsidR="00067DAE" w:rsidRPr="009323FE">
        <w:t>vymezovány jako „kapacita jednotlivce využít kognitivní procesy k tomu, aby zpracoval a vyřešil reálné komplexní situace, u kterých postup řešení není okamžitě zřejmý a jejichž oborový nebo kurikulární rozsah přesahuje jednu disciplínu“.</w:t>
      </w:r>
      <w:r w:rsidR="00067DAE" w:rsidRPr="009323FE">
        <w:rPr>
          <w:i/>
        </w:rPr>
        <w:t xml:space="preserve"> </w:t>
      </w:r>
      <w:r w:rsidR="00067DAE" w:rsidRPr="009323FE">
        <w:t xml:space="preserve">Z této definice jsou vyvozeny tři charakteristiky, jež jsou důležité jak z hlediska rozvíjení </w:t>
      </w:r>
      <w:r w:rsidR="00067DAE" w:rsidRPr="009323FE">
        <w:rPr>
          <w:i/>
        </w:rPr>
        <w:t xml:space="preserve">kompetence k řešení problémů </w:t>
      </w:r>
      <w:r w:rsidR="00067DAE" w:rsidRPr="009323FE">
        <w:t>ve výuce, tak z hlediska hodnocení její úrovně a jejího vývoje:</w:t>
      </w:r>
    </w:p>
    <w:p w:rsidR="00067DAE" w:rsidRPr="009323FE" w:rsidRDefault="00067DAE" w:rsidP="00DF722D">
      <w:pPr>
        <w:pStyle w:val="Odstavecseseznamem"/>
        <w:numPr>
          <w:ilvl w:val="0"/>
          <w:numId w:val="7"/>
        </w:numPr>
        <w:spacing w:after="120"/>
        <w:jc w:val="both"/>
        <w:rPr>
          <w:rFonts w:ascii="Times New Roman" w:hAnsi="Times New Roman"/>
          <w:sz w:val="24"/>
          <w:szCs w:val="24"/>
        </w:rPr>
      </w:pPr>
      <w:r w:rsidRPr="009323FE">
        <w:rPr>
          <w:rFonts w:ascii="Times New Roman" w:hAnsi="Times New Roman"/>
          <w:sz w:val="24"/>
          <w:szCs w:val="24"/>
        </w:rPr>
        <w:t>Problémy mají být situovány do kontextu reálného života žáků, resp. žák má problémovou situaci shledávat jako důležitou pro společnost, pokud není přímo využitelná v jeho osobním životě.</w:t>
      </w:r>
    </w:p>
    <w:p w:rsidR="00BF37DF" w:rsidRDefault="00067DAE" w:rsidP="00BF37DF">
      <w:pPr>
        <w:pStyle w:val="Odstavecseseznamem"/>
        <w:numPr>
          <w:ilvl w:val="0"/>
          <w:numId w:val="7"/>
        </w:numPr>
        <w:spacing w:after="120"/>
        <w:jc w:val="both"/>
        <w:rPr>
          <w:rFonts w:ascii="Times New Roman" w:hAnsi="Times New Roman"/>
          <w:sz w:val="24"/>
          <w:szCs w:val="24"/>
        </w:rPr>
      </w:pPr>
      <w:r w:rsidRPr="009323FE">
        <w:rPr>
          <w:rFonts w:ascii="Times New Roman" w:hAnsi="Times New Roman"/>
          <w:sz w:val="24"/>
          <w:szCs w:val="24"/>
        </w:rPr>
        <w:t>Problémy nejsou řešitelné pouhým uplatněním určitého rutinního postupu, který se žák učil a který pravděpodobně procvičoval ve škole. Problémy představují otázky nového druhu; otázky, které vyžadují, aby žák přemýšlel, co má dělat.</w:t>
      </w:r>
    </w:p>
    <w:p w:rsidR="00BF37DF" w:rsidRPr="00BF37DF" w:rsidRDefault="00067DAE" w:rsidP="00BF37DF">
      <w:pPr>
        <w:pStyle w:val="Odstavecseseznamem"/>
        <w:numPr>
          <w:ilvl w:val="0"/>
          <w:numId w:val="7"/>
        </w:numPr>
        <w:spacing w:after="120"/>
        <w:jc w:val="both"/>
        <w:rPr>
          <w:rFonts w:ascii="Times New Roman" w:hAnsi="Times New Roman"/>
          <w:sz w:val="24"/>
          <w:szCs w:val="24"/>
        </w:rPr>
      </w:pPr>
      <w:r w:rsidRPr="00BF37DF">
        <w:rPr>
          <w:rFonts w:ascii="Times New Roman" w:hAnsi="Times New Roman"/>
          <w:sz w:val="24"/>
          <w:szCs w:val="24"/>
        </w:rPr>
        <w:t>Problémy nejsou omezeny na jednu obsahovou oblast, vyžadují propojení mezi více oblastmi (</w:t>
      </w:r>
      <w:r w:rsidR="00BF37DF">
        <w:rPr>
          <w:rFonts w:ascii="Times New Roman" w:hAnsi="Times New Roman"/>
          <w:sz w:val="24"/>
          <w:szCs w:val="24"/>
        </w:rPr>
        <w:t xml:space="preserve">viz </w:t>
      </w:r>
      <w:r w:rsidRPr="00BF37DF">
        <w:rPr>
          <w:rFonts w:ascii="Times New Roman" w:hAnsi="Times New Roman"/>
          <w:sz w:val="24"/>
          <w:szCs w:val="24"/>
        </w:rPr>
        <w:t>OECD</w:t>
      </w:r>
      <w:r w:rsidR="00C570B3" w:rsidRPr="00BF37DF">
        <w:rPr>
          <w:rFonts w:ascii="Times New Roman" w:hAnsi="Times New Roman"/>
          <w:sz w:val="24"/>
          <w:szCs w:val="24"/>
        </w:rPr>
        <w:t>,</w:t>
      </w:r>
      <w:r w:rsidRPr="00BF37DF">
        <w:rPr>
          <w:rFonts w:ascii="Times New Roman" w:hAnsi="Times New Roman"/>
          <w:sz w:val="24"/>
          <w:szCs w:val="24"/>
        </w:rPr>
        <w:t xml:space="preserve"> 2004, s. 26–27).</w:t>
      </w:r>
    </w:p>
    <w:p w:rsidR="001726FC" w:rsidRPr="00BF37DF" w:rsidRDefault="00067DAE" w:rsidP="00BF37DF">
      <w:pPr>
        <w:pStyle w:val="Odstavecseseznamem"/>
        <w:spacing w:after="120"/>
        <w:ind w:left="0"/>
        <w:jc w:val="both"/>
        <w:rPr>
          <w:rFonts w:ascii="Times New Roman" w:hAnsi="Times New Roman"/>
          <w:color w:val="7030A0"/>
          <w:sz w:val="24"/>
          <w:szCs w:val="24"/>
        </w:rPr>
      </w:pPr>
      <w:r w:rsidRPr="00BF37DF">
        <w:rPr>
          <w:rFonts w:ascii="Times New Roman" w:hAnsi="Times New Roman"/>
          <w:bCs/>
          <w:sz w:val="24"/>
          <w:szCs w:val="24"/>
        </w:rPr>
        <w:t>Kompetence k řešení problému může přímo rozvíjet nadoborové klíčové kompetence a jednak může být její rozvíjení podporováno prostřednictvím rozvíjení oborových (ob</w:t>
      </w:r>
      <w:r w:rsidR="001726FC" w:rsidRPr="00BF37DF">
        <w:rPr>
          <w:rFonts w:ascii="Times New Roman" w:hAnsi="Times New Roman"/>
          <w:bCs/>
          <w:sz w:val="24"/>
          <w:szCs w:val="24"/>
        </w:rPr>
        <w:t>orově specifických) kompetencí. Zejména z tohoto důvodu bývá kompetence k řešení pro</w:t>
      </w:r>
      <w:r w:rsidR="006F4EFA" w:rsidRPr="00BF37DF">
        <w:rPr>
          <w:rFonts w:ascii="Times New Roman" w:hAnsi="Times New Roman"/>
          <w:bCs/>
          <w:sz w:val="24"/>
          <w:szCs w:val="24"/>
        </w:rPr>
        <w:t xml:space="preserve">blému často přiřazována k doméně matematického vzdělávání. Oborovými kompetencemi se </w:t>
      </w:r>
      <w:r w:rsidR="009A2AD4" w:rsidRPr="00BF37DF">
        <w:rPr>
          <w:rFonts w:ascii="Times New Roman" w:hAnsi="Times New Roman"/>
          <w:bCs/>
          <w:sz w:val="24"/>
          <w:szCs w:val="24"/>
        </w:rPr>
        <w:t xml:space="preserve">podrobněji </w:t>
      </w:r>
      <w:r w:rsidR="006F4EFA" w:rsidRPr="00BF37DF">
        <w:rPr>
          <w:rFonts w:ascii="Times New Roman" w:hAnsi="Times New Roman"/>
          <w:bCs/>
          <w:sz w:val="24"/>
          <w:szCs w:val="24"/>
        </w:rPr>
        <w:t>zabýváme v následující podkapitole.</w:t>
      </w:r>
    </w:p>
    <w:p w:rsidR="0090123E" w:rsidRDefault="007F6723" w:rsidP="00651999">
      <w:pPr>
        <w:spacing w:after="120" w:line="276" w:lineRule="auto"/>
        <w:jc w:val="both"/>
        <w:rPr>
          <w:bCs/>
        </w:rPr>
      </w:pPr>
      <w:r w:rsidRPr="00651999">
        <w:rPr>
          <w:bCs/>
        </w:rPr>
        <w:t>Komp</w:t>
      </w:r>
      <w:r w:rsidR="00D35706" w:rsidRPr="00651999">
        <w:rPr>
          <w:bCs/>
        </w:rPr>
        <w:t>e</w:t>
      </w:r>
      <w:r w:rsidRPr="00651999">
        <w:rPr>
          <w:bCs/>
        </w:rPr>
        <w:t>tence k řešení problémů v </w:t>
      </w:r>
      <w:r w:rsidR="0090123E" w:rsidRPr="00651999">
        <w:rPr>
          <w:bCs/>
        </w:rPr>
        <w:t>mezi</w:t>
      </w:r>
      <w:r w:rsidRPr="00651999">
        <w:rPr>
          <w:bCs/>
        </w:rPr>
        <w:t>o</w:t>
      </w:r>
      <w:r w:rsidR="004363E8">
        <w:rPr>
          <w:bCs/>
        </w:rPr>
        <w:t>bo</w:t>
      </w:r>
      <w:r w:rsidRPr="00651999">
        <w:rPr>
          <w:bCs/>
        </w:rPr>
        <w:t xml:space="preserve">rovém chápání představuje konstrukt, který je možné nazvat „generickou“ schopností řešit problémy. Tato schopnost je měřena i chápána jako čistě subjektivní </w:t>
      </w:r>
      <w:r w:rsidR="00C05B8B" w:rsidRPr="00651999">
        <w:rPr>
          <w:bCs/>
        </w:rPr>
        <w:t xml:space="preserve">dispozice, která nezprostředkovává infomace o tom, zda žák ovládá oborově specifické způsoby myšlení. </w:t>
      </w:r>
      <w:r w:rsidR="0090123E" w:rsidRPr="00651999">
        <w:rPr>
          <w:bCs/>
        </w:rPr>
        <w:t>Jako příklad může sloužit měření kompetence k řešení problémů ve výzkumu PISA</w:t>
      </w:r>
      <w:r w:rsidR="004363E8">
        <w:rPr>
          <w:bCs/>
        </w:rPr>
        <w:t xml:space="preserve"> </w:t>
      </w:r>
      <w:r w:rsidR="0090123E" w:rsidRPr="00651999">
        <w:rPr>
          <w:bCs/>
        </w:rPr>
        <w:t xml:space="preserve">v Německu v roce 1999. </w:t>
      </w:r>
      <w:r w:rsidR="00CA283D" w:rsidRPr="00651999">
        <w:rPr>
          <w:bCs/>
        </w:rPr>
        <w:t>Ž</w:t>
      </w:r>
      <w:r w:rsidR="0090123E" w:rsidRPr="00651999">
        <w:rPr>
          <w:bCs/>
        </w:rPr>
        <w:t>áků</w:t>
      </w:r>
      <w:r w:rsidR="00CA283D" w:rsidRPr="00651999">
        <w:rPr>
          <w:bCs/>
        </w:rPr>
        <w:t>m (n = 650)</w:t>
      </w:r>
      <w:r w:rsidR="0090123E" w:rsidRPr="00651999">
        <w:rPr>
          <w:bCs/>
        </w:rPr>
        <w:t xml:space="preserve"> ve věku 15 let navštěvující</w:t>
      </w:r>
      <w:r w:rsidR="00CA283D" w:rsidRPr="00651999">
        <w:rPr>
          <w:bCs/>
        </w:rPr>
        <w:t>m</w:t>
      </w:r>
      <w:r w:rsidR="0090123E" w:rsidRPr="00651999">
        <w:rPr>
          <w:bCs/>
        </w:rPr>
        <w:t xml:space="preserve"> všechny typy nižších sekundárních škol v Německu byly předloženy tři počítačové a tři písemné problémové úlohy. Na základě provedené faktorové analýzy </w:t>
      </w:r>
      <w:r w:rsidR="00CA283D" w:rsidRPr="00651999">
        <w:rPr>
          <w:bCs/>
        </w:rPr>
        <w:t xml:space="preserve">byla následně modelována struktura kompetence k řešení problémů. Z výzkumu vyplynulo, </w:t>
      </w:r>
      <w:r w:rsidR="0090123E" w:rsidRPr="00651999">
        <w:rPr>
          <w:bCs/>
        </w:rPr>
        <w:t xml:space="preserve">že struktura kompetence k řešení problémů je složena ze čtyř obecných kompetencí (zdůvodňování, čtení, počítání, přírodovědné znalosti) a další tři faktory jsou specifické </w:t>
      </w:r>
      <w:r w:rsidR="00CA283D" w:rsidRPr="00651999">
        <w:rPr>
          <w:bCs/>
        </w:rPr>
        <w:t xml:space="preserve">pouze </w:t>
      </w:r>
      <w:r w:rsidR="0090123E" w:rsidRPr="00651999">
        <w:rPr>
          <w:bCs/>
        </w:rPr>
        <w:t>pro kompetenci k řešení problémů (schopnost plnit písemné úlohy, schopnost získávat zpracovávat informace s využitím počítače a strategie nutné pro exploraci</w:t>
      </w:r>
      <w:r w:rsidR="00311009">
        <w:rPr>
          <w:bCs/>
        </w:rPr>
        <w:t xml:space="preserve"> a řízení komplexních systémů; </w:t>
      </w:r>
      <w:r w:rsidR="00CA283D" w:rsidRPr="00651999">
        <w:rPr>
          <w:bCs/>
        </w:rPr>
        <w:t xml:space="preserve">podrobněji viz </w:t>
      </w:r>
      <w:r w:rsidR="0090123E" w:rsidRPr="00651999">
        <w:rPr>
          <w:bCs/>
        </w:rPr>
        <w:t>Klieme et al., 2001, s. 196)</w:t>
      </w:r>
      <w:r w:rsidR="00311009">
        <w:rPr>
          <w:bCs/>
        </w:rPr>
        <w:t>.</w:t>
      </w:r>
    </w:p>
    <w:p w:rsidR="009323FE" w:rsidRDefault="00654E4C" w:rsidP="00654E4C">
      <w:pPr>
        <w:spacing w:after="120" w:line="276" w:lineRule="auto"/>
        <w:jc w:val="both"/>
        <w:rPr>
          <w:bCs/>
        </w:rPr>
      </w:pPr>
      <w:r>
        <w:rPr>
          <w:bCs/>
        </w:rPr>
        <w:t>V této kapitole jsme přistoupili ke</w:t>
      </w:r>
      <w:r w:rsidRPr="00654E4C">
        <w:rPr>
          <w:bCs/>
        </w:rPr>
        <w:t xml:space="preserve"> kompetenci k řešení problémů jako </w:t>
      </w:r>
      <w:r>
        <w:rPr>
          <w:bCs/>
        </w:rPr>
        <w:t>k jedné z</w:t>
      </w:r>
      <w:r w:rsidRPr="00654E4C">
        <w:rPr>
          <w:bCs/>
        </w:rPr>
        <w:t xml:space="preserve"> nadoborových kompetencí</w:t>
      </w:r>
      <w:r>
        <w:rPr>
          <w:bCs/>
        </w:rPr>
        <w:t xml:space="preserve">. V následující kapitole </w:t>
      </w:r>
      <w:r w:rsidRPr="00654E4C">
        <w:rPr>
          <w:bCs/>
        </w:rPr>
        <w:t>nazíráme kompetenci k řešení z</w:t>
      </w:r>
      <w:r w:rsidR="00B77992">
        <w:rPr>
          <w:bCs/>
        </w:rPr>
        <w:t> </w:t>
      </w:r>
      <w:r w:rsidRPr="00654E4C">
        <w:rPr>
          <w:bCs/>
        </w:rPr>
        <w:t>oborov</w:t>
      </w:r>
      <w:r w:rsidR="00B77992">
        <w:rPr>
          <w:bCs/>
        </w:rPr>
        <w:t xml:space="preserve">ě didaktické </w:t>
      </w:r>
      <w:r w:rsidRPr="00654E4C">
        <w:rPr>
          <w:bCs/>
        </w:rPr>
        <w:t>perspektivy</w:t>
      </w:r>
      <w:r>
        <w:rPr>
          <w:bCs/>
        </w:rPr>
        <w:t xml:space="preserve">, což umožňuje </w:t>
      </w:r>
      <w:r w:rsidR="00484DDE">
        <w:rPr>
          <w:bCs/>
        </w:rPr>
        <w:t>propojení „generických“ dispozic řešit problémy s konkrétními oborovými obsahy.</w:t>
      </w:r>
    </w:p>
    <w:p w:rsidR="00672151" w:rsidRPr="00651999" w:rsidRDefault="00672151" w:rsidP="00654E4C">
      <w:pPr>
        <w:spacing w:after="120" w:line="276" w:lineRule="auto"/>
        <w:jc w:val="both"/>
        <w:rPr>
          <w:bCs/>
        </w:rPr>
      </w:pPr>
    </w:p>
    <w:p w:rsidR="007B7295" w:rsidRPr="00311009" w:rsidRDefault="00067DAE" w:rsidP="00311009">
      <w:pPr>
        <w:pStyle w:val="Nadpis3"/>
      </w:pPr>
      <w:bookmarkStart w:id="21" w:name="_Toc399775388"/>
      <w:r w:rsidRPr="00067DAE">
        <w:t>Oborové kompetence</w:t>
      </w:r>
      <w:bookmarkEnd w:id="21"/>
    </w:p>
    <w:p w:rsidR="00971940" w:rsidRDefault="0088050F" w:rsidP="00BF37DF">
      <w:pPr>
        <w:spacing w:after="120" w:line="276" w:lineRule="auto"/>
        <w:jc w:val="both"/>
        <w:rPr>
          <w:bCs/>
        </w:rPr>
      </w:pPr>
      <w:r w:rsidRPr="00D751DC">
        <w:rPr>
          <w:bCs/>
        </w:rPr>
        <w:t>Oborové kompetence jsou ve srovnání s kompetencemi nadoborovými a mezioborovými nejvíce ukotveny ve vzdělávacích obsazích jednotlivých oborů. Jejich oborová ukotvenost umožňuje poměrně přesné modelování jejich struktury a následnou tvorbu a validizaci indikátorů umožňujících jejich přesné měření.</w:t>
      </w:r>
      <w:r>
        <w:rPr>
          <w:bCs/>
          <w:color w:val="7030A0"/>
        </w:rPr>
        <w:t xml:space="preserve"> </w:t>
      </w:r>
      <w:r w:rsidRPr="00D751DC">
        <w:rPr>
          <w:bCs/>
        </w:rPr>
        <w:t xml:space="preserve">V úsilí o teoretické modelování a měření oborových kompetencí jsou patrně nejdále v Německu, kde byla tvorba vzdělávacích standardů založených na modelování kompetencí prohlášena za jednu z národních priorit vzdělávání </w:t>
      </w:r>
      <w:r w:rsidRPr="00E03FC1">
        <w:rPr>
          <w:bCs/>
        </w:rPr>
        <w:t>(</w:t>
      </w:r>
      <w:r w:rsidR="004365ED" w:rsidRPr="00E03FC1">
        <w:rPr>
          <w:bCs/>
        </w:rPr>
        <w:t>počáteční vize</w:t>
      </w:r>
      <w:r w:rsidR="0016037E" w:rsidRPr="00E03FC1">
        <w:rPr>
          <w:bCs/>
        </w:rPr>
        <w:t xml:space="preserve"> viz Klieme &amp; Leutner, 2006; </w:t>
      </w:r>
      <w:r w:rsidR="00971940">
        <w:rPr>
          <w:bCs/>
        </w:rPr>
        <w:t xml:space="preserve">průběžné </w:t>
      </w:r>
      <w:r w:rsidR="0016037E" w:rsidRPr="00E03FC1">
        <w:rPr>
          <w:bCs/>
        </w:rPr>
        <w:t xml:space="preserve">výsledky viz </w:t>
      </w:r>
      <w:r w:rsidR="004365ED" w:rsidRPr="009960B5">
        <w:rPr>
          <w:bCs/>
          <w:i/>
        </w:rPr>
        <w:t>DFG-Schwerpunktprogramm</w:t>
      </w:r>
      <w:r w:rsidR="00E03FC1" w:rsidRPr="00E03FC1">
        <w:rPr>
          <w:bCs/>
        </w:rPr>
        <w:t>…</w:t>
      </w:r>
      <w:r w:rsidR="004365ED" w:rsidRPr="00E03FC1">
        <w:rPr>
          <w:bCs/>
        </w:rPr>
        <w:t>, 2011</w:t>
      </w:r>
      <w:r w:rsidRPr="00E03FC1">
        <w:rPr>
          <w:bCs/>
        </w:rPr>
        <w:t xml:space="preserve">). </w:t>
      </w:r>
      <w:r w:rsidRPr="00CE7073">
        <w:rPr>
          <w:bCs/>
        </w:rPr>
        <w:t xml:space="preserve">Standardy rozpracovávají a konkretizují cíle vzdělávání </w:t>
      </w:r>
      <w:r>
        <w:rPr>
          <w:bCs/>
        </w:rPr>
        <w:t>do dílčích kompetencí, kterými mají žáci v určitém ročníku disponovat. Tyto kompetence jsou oborově specifické a musí být utvářeny s pomocí příslušných oborových obsahů.</w:t>
      </w:r>
    </w:p>
    <w:p w:rsidR="00B52679" w:rsidRDefault="00971940" w:rsidP="00BF37DF">
      <w:pPr>
        <w:spacing w:after="120" w:line="276" w:lineRule="auto"/>
        <w:jc w:val="both"/>
      </w:pPr>
      <w:r>
        <w:rPr>
          <w:bCs/>
        </w:rPr>
        <w:t>Idea oborových kompetencí vychází z přesvědčení, že š</w:t>
      </w:r>
      <w:r w:rsidR="00B52679">
        <w:t xml:space="preserve">kolní i každodenní vědění je tvořeno koncepty, které mají odlišnou strukturu i účel. Každodenní vědění je založeno na konceptech, které každý jedinec v průběhu svého vývoje potřebuje k porozumění světu ve specifických životních kontextech. Tento typ vědění je kontextově vázaný, proměnlivý a přizpůsobitelný novým kontextům a zkušenostem. Tento typ vědění je sám o sobě vždy </w:t>
      </w:r>
      <w:r w:rsidR="00A4081E">
        <w:t>propojený s</w:t>
      </w:r>
      <w:r w:rsidR="00B52679">
        <w:t xml:space="preserve"> kontexty odlišnými od kontextů charakteristických pro školní vědění. Koncepty podpírající školní vědění nejsou provázány se specifickými </w:t>
      </w:r>
      <w:r w:rsidR="00A4081E">
        <w:t xml:space="preserve">a proměnlivými </w:t>
      </w:r>
      <w:r w:rsidR="00B52679">
        <w:t>kontexty, ale mají jasnou a provázanou strukturu podepřenou souvisejícími teoriemi a komunitou oborových specialistů. Je to rozdílná struktura vědění, která umožňuje žákům překročit kontext každodenního vědění a uvědomit si složitější vztahy a souvislosti zasahující do předmětu jednotlivých oborů zastoupených ve škole (podrobněji viz Young, 2013, s. 110</w:t>
      </w:r>
      <w:r w:rsidR="003D59B1">
        <w:t>–</w:t>
      </w:r>
      <w:r w:rsidR="00B52679">
        <w:t>111).</w:t>
      </w:r>
    </w:p>
    <w:p w:rsidR="00245D9C" w:rsidRDefault="00A4081E" w:rsidP="00BF37DF">
      <w:pPr>
        <w:spacing w:after="120" w:line="276" w:lineRule="auto"/>
        <w:jc w:val="both"/>
      </w:pPr>
      <w:r>
        <w:rPr>
          <w:bCs/>
        </w:rPr>
        <w:t>Gowers</w:t>
      </w:r>
      <w:r w:rsidR="004363E8">
        <w:rPr>
          <w:bCs/>
        </w:rPr>
        <w:t xml:space="preserve"> (2000)</w:t>
      </w:r>
      <w:r>
        <w:rPr>
          <w:bCs/>
        </w:rPr>
        <w:t xml:space="preserve"> například uvádí: </w:t>
      </w:r>
      <w:r w:rsidR="002A27FD">
        <w:rPr>
          <w:bCs/>
        </w:rPr>
        <w:t>„</w:t>
      </w:r>
      <w:r>
        <w:t>[…] cílem řešení problémů je lépe rozumět matematice a cílem porozumění matematice je umět lépe řešit problémy</w:t>
      </w:r>
      <w:r w:rsidR="002A27FD">
        <w:t>“</w:t>
      </w:r>
      <w:r>
        <w:t xml:space="preserve"> (srov. Gowers, 2000 in Kuřina, 2014</w:t>
      </w:r>
      <w:r w:rsidR="0096491F">
        <w:t>a</w:t>
      </w:r>
      <w:r>
        <w:t>, s. 119). Obdobný postulát by bylo možné analogicky použít také pro geografii.</w:t>
      </w:r>
      <w:r w:rsidRPr="00A4081E">
        <w:t xml:space="preserve"> </w:t>
      </w:r>
      <w:r>
        <w:t>Žáci např. mohou znát město, v němž žijí. Každý z žáků přichází do školy s určitou zkušeností a tyto zkušenosti jsou značně subjektivní. V určitém okamžiku ale žák potká učitele zeměpisu, který disponuje zcela odlišným věděním o městech, které se vztahuje například k tomu, jak se města vzájemně odlišují, jak se vyvíjí, a proč. Každodenní koncept se obohatí o geografický koncept, což umožní žákům generalizovat</w:t>
      </w:r>
      <w:r w:rsidRPr="001B1E2A">
        <w:t xml:space="preserve"> </w:t>
      </w:r>
      <w:r>
        <w:t>(volně dle Young, 2013, s. 111).</w:t>
      </w:r>
      <w:r w:rsidR="00245D9C">
        <w:t xml:space="preserve"> </w:t>
      </w:r>
    </w:p>
    <w:p w:rsidR="007769BD" w:rsidRDefault="00245D9C" w:rsidP="00BF37DF">
      <w:pPr>
        <w:spacing w:after="120" w:line="276" w:lineRule="auto"/>
        <w:jc w:val="both"/>
      </w:pPr>
      <w:r>
        <w:t>Oborové kompetence tak do jisté míry tvoří protiváhu kompetencím mezioborovým a nadoborovým</w:t>
      </w:r>
      <w:r w:rsidR="00253741">
        <w:t xml:space="preserve"> a reagují na </w:t>
      </w:r>
      <w:r w:rsidR="00B366C1">
        <w:t xml:space="preserve">stále častěji zdůrazňovaný požadavek přizpůsobovat </w:t>
      </w:r>
      <w:r w:rsidR="00B52679">
        <w:t xml:space="preserve">školní kurikulum každodennímu </w:t>
      </w:r>
      <w:r>
        <w:t xml:space="preserve">dekontextualizovanému </w:t>
      </w:r>
      <w:r w:rsidR="00B52679">
        <w:t>vědění žáků a jejich zájmům</w:t>
      </w:r>
      <w:r w:rsidR="00B366C1">
        <w:t xml:space="preserve">. </w:t>
      </w:r>
      <w:r w:rsidR="00612A7B">
        <w:t>V případě, že se žákům bude vycházet vstříc, mohu být</w:t>
      </w:r>
      <w:r w:rsidR="00B52679">
        <w:t xml:space="preserve"> </w:t>
      </w:r>
      <w:r w:rsidR="00612A7B">
        <w:t xml:space="preserve">patrně </w:t>
      </w:r>
      <w:r w:rsidR="00B52679">
        <w:t xml:space="preserve">ve škole šťastnější, ale na druhou stranu </w:t>
      </w:r>
      <w:r w:rsidR="00253741">
        <w:t xml:space="preserve">zde existuje riziko, že </w:t>
      </w:r>
      <w:r w:rsidR="00B52679">
        <w:t>budou postrádat znalosti potřebné pro jejich další vzdělávací dráhu nebo pracovní uplatnění.</w:t>
      </w:r>
      <w:r w:rsidR="007769BD">
        <w:t xml:space="preserve"> </w:t>
      </w:r>
      <w:r w:rsidR="00612A7B">
        <w:t>Idea oborových kompetencí usiluje o zprostředkov</w:t>
      </w:r>
      <w:r w:rsidR="007769BD">
        <w:t>ání kontextualizovaného a</w:t>
      </w:r>
      <w:r w:rsidR="00B52679">
        <w:t xml:space="preserve"> smysluplně strukturované</w:t>
      </w:r>
      <w:r w:rsidR="007769BD">
        <w:t>ho</w:t>
      </w:r>
      <w:r w:rsidR="00B52679">
        <w:t xml:space="preserve"> vědění. </w:t>
      </w:r>
      <w:r w:rsidR="007E3996">
        <w:t>Nadpředmětové a</w:t>
      </w:r>
      <w:r w:rsidR="002A27FD">
        <w:t xml:space="preserve"> </w:t>
      </w:r>
      <w:r w:rsidR="007E3996">
        <w:t xml:space="preserve">mezipředmětové kompetence jsou pojímány natolik obecně, že je vysoce pravděpodobné, že je možné je utvářet a rozvíjet na základě jakéhokoli obsahu. </w:t>
      </w:r>
      <w:r w:rsidR="00151ECB">
        <w:t xml:space="preserve">Pokud například budeme usilovat o to, </w:t>
      </w:r>
      <w:r w:rsidR="00B52679">
        <w:t>aby s pomocí geografických vzdělávacích obsahů byl žák schopen porozumět mnohovrstevnatému a dynamicky se měnícímu prostorovému uspořádání lidské společnosti a porozumět vztahu mezi subjektivně a kolektivně utvářenými geografickými procesy</w:t>
      </w:r>
      <w:r w:rsidR="00151ECB">
        <w:t>, neubráníme se diskusi o tom, jaké vzdělávací obsahy jsou nezbytné k dosažení výše uvedeného cíle</w:t>
      </w:r>
      <w:r w:rsidR="00B52679">
        <w:t>.</w:t>
      </w:r>
      <w:r w:rsidR="007769BD" w:rsidRPr="007769BD">
        <w:t xml:space="preserve"> </w:t>
      </w:r>
      <w:r w:rsidR="004A7BB7">
        <w:t xml:space="preserve">Měli bychom se </w:t>
      </w:r>
      <w:r w:rsidR="00151ECB" w:rsidRPr="004A7BB7">
        <w:t>zajímat o to, co se žáci učí</w:t>
      </w:r>
      <w:r w:rsidR="004A7BB7">
        <w:t xml:space="preserve"> a klást důraz na tradiční členění školního vzdělávání do vyučovacích předmětů. </w:t>
      </w:r>
    </w:p>
    <w:p w:rsidR="00B52679" w:rsidRDefault="00B52679" w:rsidP="002A5D06">
      <w:pPr>
        <w:spacing w:line="276" w:lineRule="auto"/>
        <w:jc w:val="both"/>
      </w:pPr>
    </w:p>
    <w:p w:rsidR="0007714C" w:rsidRPr="0007714C" w:rsidRDefault="0007714C" w:rsidP="008F321F">
      <w:pPr>
        <w:pStyle w:val="Nadpis3"/>
      </w:pPr>
      <w:bookmarkStart w:id="22" w:name="_Toc399775389"/>
      <w:r w:rsidRPr="0007714C">
        <w:t>Kompetenční modely</w:t>
      </w:r>
      <w:bookmarkEnd w:id="22"/>
    </w:p>
    <w:p w:rsidR="002517C6" w:rsidRPr="00AC637F" w:rsidRDefault="00F5559D" w:rsidP="00BF37DF">
      <w:pPr>
        <w:spacing w:after="120" w:line="276" w:lineRule="auto"/>
        <w:jc w:val="both"/>
        <w:rPr>
          <w:bCs/>
        </w:rPr>
      </w:pPr>
      <w:r w:rsidRPr="002517C6">
        <w:rPr>
          <w:bCs/>
        </w:rPr>
        <w:t xml:space="preserve">Klíčovým impulzem k tvorbě kompetenčních modelů většinou byla existence normativně pojatých standardů vzdělávání, které stanovovaly cíle vzdělávání a základní obsahovou strukturu jednotlivých vyučovacích předmětů. </w:t>
      </w:r>
      <w:r w:rsidR="002517C6" w:rsidRPr="002517C6">
        <w:rPr>
          <w:bCs/>
        </w:rPr>
        <w:t>Existence standardu sama o sobě nestačí k tomu, aby bylo možné</w:t>
      </w:r>
      <w:r w:rsidR="002517C6">
        <w:rPr>
          <w:bCs/>
          <w:color w:val="7030A0"/>
        </w:rPr>
        <w:t xml:space="preserve"> </w:t>
      </w:r>
      <w:r w:rsidR="00663EE2">
        <w:rPr>
          <w:bCs/>
        </w:rPr>
        <w:t xml:space="preserve">změny v cílech a obsazích jednotlivých vyučovacích předmětů pozorovat ve výuce </w:t>
      </w:r>
      <w:r w:rsidR="00663EE2" w:rsidRPr="00EF217A">
        <w:rPr>
          <w:bCs/>
        </w:rPr>
        <w:t>(</w:t>
      </w:r>
      <w:r w:rsidR="00B77992" w:rsidRPr="00EF217A">
        <w:rPr>
          <w:bCs/>
        </w:rPr>
        <w:t xml:space="preserve">srov. </w:t>
      </w:r>
      <w:r w:rsidR="00663EE2" w:rsidRPr="00EF217A">
        <w:rPr>
          <w:bCs/>
        </w:rPr>
        <w:t>Dvořák</w:t>
      </w:r>
      <w:r w:rsidR="00E10C5B" w:rsidRPr="00EF217A">
        <w:rPr>
          <w:bCs/>
        </w:rPr>
        <w:t>,</w:t>
      </w:r>
      <w:r w:rsidR="00663EE2" w:rsidRPr="00EF217A">
        <w:rPr>
          <w:bCs/>
        </w:rPr>
        <w:t xml:space="preserve"> 2012</w:t>
      </w:r>
      <w:r w:rsidR="00EF217A" w:rsidRPr="00EF217A">
        <w:rPr>
          <w:bCs/>
        </w:rPr>
        <w:t>, s. 63</w:t>
      </w:r>
      <w:r w:rsidR="00663EE2" w:rsidRPr="00EF217A">
        <w:rPr>
          <w:bCs/>
        </w:rPr>
        <w:t>).</w:t>
      </w:r>
      <w:r w:rsidR="00663EE2" w:rsidRPr="00663EE2">
        <w:rPr>
          <w:bCs/>
          <w:color w:val="FF0000"/>
        </w:rPr>
        <w:t xml:space="preserve"> </w:t>
      </w:r>
      <w:r w:rsidR="002517C6" w:rsidRPr="00A80612">
        <w:rPr>
          <w:bCs/>
        </w:rPr>
        <w:t xml:space="preserve">V současné době je velkou výzvou pro jednotlivé </w:t>
      </w:r>
      <w:r w:rsidR="002517C6" w:rsidRPr="00AC637F">
        <w:rPr>
          <w:bCs/>
        </w:rPr>
        <w:t>oborové didaktiky tvorba výzkumně ověřených kompetenčních modelů, na základě kterých by bylo možné jednoznačně určit, jak moh</w:t>
      </w:r>
      <w:r w:rsidR="00663EE2" w:rsidRPr="00AC637F">
        <w:rPr>
          <w:bCs/>
        </w:rPr>
        <w:t>o</w:t>
      </w:r>
      <w:r w:rsidR="002517C6" w:rsidRPr="00AC637F">
        <w:rPr>
          <w:bCs/>
        </w:rPr>
        <w:t xml:space="preserve">u být jednotlivé kompetence v určitém vyučovacím předmětu cíleně a zároveň individuálně rozvíjeny a diagnostikovány. Jde především o to pojmenovat dílčí komponenty určité kompetence a zároveň vymodelovat jejich strukturu. Na tomto základě je </w:t>
      </w:r>
      <w:r w:rsidR="004363E8" w:rsidRPr="00AC637F">
        <w:rPr>
          <w:bCs/>
        </w:rPr>
        <w:t>teprve</w:t>
      </w:r>
      <w:r w:rsidR="002517C6" w:rsidRPr="00AC637F">
        <w:rPr>
          <w:bCs/>
        </w:rPr>
        <w:t xml:space="preserve"> možné uvažovat o různých úrovních rozvoje této kompetence a stanovovat kritéria pro její utváření, rozvíjení a případné hodnocení v různých stádiích kognitivního vývoje jedince a na konkrétních (modelových) vzdělávacích obsazích. </w:t>
      </w:r>
    </w:p>
    <w:p w:rsidR="003343F9" w:rsidRPr="00AC637F" w:rsidRDefault="00663EE2" w:rsidP="00BF37DF">
      <w:pPr>
        <w:spacing w:after="120" w:line="276" w:lineRule="auto"/>
        <w:jc w:val="both"/>
        <w:rPr>
          <w:bCs/>
        </w:rPr>
      </w:pPr>
      <w:r w:rsidRPr="00AC637F">
        <w:rPr>
          <w:bCs/>
        </w:rPr>
        <w:t>Kompeteční modely jsou</w:t>
      </w:r>
      <w:r w:rsidR="004363E8">
        <w:rPr>
          <w:bCs/>
        </w:rPr>
        <w:t xml:space="preserve"> </w:t>
      </w:r>
      <w:r w:rsidRPr="00AC637F">
        <w:rPr>
          <w:bCs/>
        </w:rPr>
        <w:t xml:space="preserve">důležité zejména kvůli každodenní potřebě učitelů sekvencovat učivo do jednotlivých vyučovacích hodin, tematických okruhů, ročníků apod. </w:t>
      </w:r>
    </w:p>
    <w:p w:rsidR="002517C6" w:rsidRPr="00AC637F" w:rsidRDefault="003343F9" w:rsidP="00BF37DF">
      <w:pPr>
        <w:spacing w:after="120" w:line="276" w:lineRule="auto"/>
        <w:jc w:val="both"/>
        <w:rPr>
          <w:bCs/>
        </w:rPr>
      </w:pPr>
      <w:r w:rsidRPr="00AC637F">
        <w:rPr>
          <w:bCs/>
        </w:rPr>
        <w:t>M</w:t>
      </w:r>
      <w:r w:rsidR="002517C6" w:rsidRPr="00AC637F">
        <w:rPr>
          <w:bCs/>
        </w:rPr>
        <w:t>odelování kompetencí není jen problém dida</w:t>
      </w:r>
      <w:r w:rsidR="004363E8">
        <w:rPr>
          <w:bCs/>
        </w:rPr>
        <w:t>k</w:t>
      </w:r>
      <w:r w:rsidR="002517C6" w:rsidRPr="00AC637F">
        <w:rPr>
          <w:bCs/>
        </w:rPr>
        <w:t xml:space="preserve">tický, ale také technologický, neboť diagnostika kompetencí je patrně možná pouze na základě technologicky sofistikovaného testování. V tomto ohledu již výrazně přesahujeme rámec uvažování učitelů v praxi, neboť </w:t>
      </w:r>
      <w:r w:rsidRPr="00AC637F">
        <w:rPr>
          <w:bCs/>
        </w:rPr>
        <w:t>v pozadí testování je</w:t>
      </w:r>
      <w:r w:rsidR="002517C6" w:rsidRPr="00AC637F">
        <w:rPr>
          <w:bCs/>
        </w:rPr>
        <w:t xml:space="preserve"> často abstraktní a od každodenní praxe vzdálené teoretické modelování. To je založen</w:t>
      </w:r>
      <w:r w:rsidR="00DA2370">
        <w:rPr>
          <w:bCs/>
        </w:rPr>
        <w:t>o na p</w:t>
      </w:r>
      <w:r w:rsidR="002517C6" w:rsidRPr="00AC637F">
        <w:rPr>
          <w:bCs/>
        </w:rPr>
        <w:t xml:space="preserve">ředstavě, že určitého typu vzdělání je možné kumulativně dosáhnout na základě naplánovaného, předvídatelného a předem seřazeného souboru učebních činností. </w:t>
      </w:r>
    </w:p>
    <w:p w:rsidR="00F5559D" w:rsidRPr="00AC637F" w:rsidRDefault="00F5559D" w:rsidP="00BF37DF">
      <w:pPr>
        <w:spacing w:after="120" w:line="276" w:lineRule="auto"/>
        <w:jc w:val="both"/>
        <w:rPr>
          <w:bCs/>
        </w:rPr>
      </w:pPr>
      <w:r w:rsidRPr="00AC637F">
        <w:rPr>
          <w:bCs/>
        </w:rPr>
        <w:t xml:space="preserve">Modelování oborových kompetencí do značné míry usnadňuje tvorbu učebních úloh, se kterými se žáci mohou setkat jednak ve výuce a jednak během testování. Přidaná hodnota kompetenčních modelů spočívá zejména v jejich hierarchicky uspořádané struktuře, která </w:t>
      </w:r>
      <w:r w:rsidR="00DA2370">
        <w:rPr>
          <w:bCs/>
        </w:rPr>
        <w:t>zrcadlí různé</w:t>
      </w:r>
      <w:r w:rsidRPr="00AC637F">
        <w:rPr>
          <w:bCs/>
        </w:rPr>
        <w:t xml:space="preserve"> úrovn</w:t>
      </w:r>
      <w:r w:rsidR="00DA2370">
        <w:rPr>
          <w:bCs/>
        </w:rPr>
        <w:t>ě</w:t>
      </w:r>
      <w:r w:rsidRPr="00AC637F">
        <w:rPr>
          <w:bCs/>
        </w:rPr>
        <w:t xml:space="preserve"> komplexity jednotlivých učebních úloh. Předpokládá se, že žák, například v jednotlivých ročnících školní docházky, by měl disponovat různou mírou rozvinutí určité kompetence. Měl by tedy být schopen řešit učební úlohy s různou mírou komplexity. Řešení složitějších (komplexnějších) učebních úloh je možné teprve tehdy, pokud žák bude disponovat oborově specifickými znalostmi a zároveň bude v dostatečné míře ovládat kognitivní procesy potřebné k řešení úloh (např. určité myšlenkové či pracovní postupy). Složitější (komplexnější) učební úlohy mají potenciál přesahovat hranice jednotlivých oborů a je možné je považovat za nástroje k rozvíjení nejen kompetencí oborových, ale také kompetencí mezioborových či nadoborových (klíčových). Úspěšné zvládnutí oborových kompetencí je tedy základní podmínkou pro utváření a rozvíjení kompetencí přesahujících jednotlivé obory. </w:t>
      </w:r>
    </w:p>
    <w:p w:rsidR="00067DAE" w:rsidRDefault="00067DAE" w:rsidP="00BF37DF">
      <w:pPr>
        <w:spacing w:after="120" w:line="276" w:lineRule="auto"/>
        <w:jc w:val="both"/>
        <w:rPr>
          <w:bCs/>
        </w:rPr>
      </w:pPr>
      <w:r w:rsidRPr="00AC637F">
        <w:rPr>
          <w:bCs/>
        </w:rPr>
        <w:t xml:space="preserve">Neumann </w:t>
      </w:r>
      <w:r w:rsidR="00BE2CAC">
        <w:rPr>
          <w:bCs/>
        </w:rPr>
        <w:t>a kol.</w:t>
      </w:r>
      <w:r w:rsidRPr="00AC637F">
        <w:rPr>
          <w:bCs/>
        </w:rPr>
        <w:t xml:space="preserve"> (2007) vytvořili strukturní model fyzikální kompetence, který umožňuje operacionalizací cílů </w:t>
      </w:r>
      <w:r w:rsidR="0038153D">
        <w:rPr>
          <w:bCs/>
        </w:rPr>
        <w:t xml:space="preserve">fyzikálního </w:t>
      </w:r>
      <w:r w:rsidRPr="00AC637F">
        <w:rPr>
          <w:bCs/>
        </w:rPr>
        <w:t xml:space="preserve">vzdělávání. Tento kompetenční model je tvořen třemi odlišnými dimenzemi. První dimenzi tvoří základní fyzikální koncepty (poznatky), druhou dimenzi představují kognitivní aktivity (procesy), které se odehrávají během jednotlivých operací s fyzikálními poznatky, a třetí dimenze odráží komplexitu učební úlohy, která směřuje k rozvíjení fyzikální kompetence (obr. </w:t>
      </w:r>
      <w:r w:rsidR="009960B5">
        <w:rPr>
          <w:bCs/>
        </w:rPr>
        <w:t>4</w:t>
      </w:r>
      <w:r w:rsidRPr="00AC637F">
        <w:rPr>
          <w:bCs/>
        </w:rPr>
        <w:t xml:space="preserve">). </w:t>
      </w:r>
    </w:p>
    <w:p w:rsidR="005E7AF7" w:rsidRPr="00AC637F" w:rsidRDefault="005E7AF7" w:rsidP="002A5D06">
      <w:pPr>
        <w:spacing w:line="276" w:lineRule="auto"/>
        <w:jc w:val="both"/>
        <w:rPr>
          <w:bCs/>
        </w:rPr>
      </w:pPr>
    </w:p>
    <w:p w:rsidR="008B1708" w:rsidRPr="00067DAE" w:rsidRDefault="00F33511" w:rsidP="002A5D06">
      <w:pPr>
        <w:spacing w:line="276" w:lineRule="auto"/>
        <w:jc w:val="both"/>
        <w:rPr>
          <w:bCs/>
          <w:i/>
          <w:color w:val="7030A0"/>
        </w:rPr>
      </w:pPr>
      <w:r>
        <w:rPr>
          <w:bCs/>
          <w:i/>
          <w:noProof/>
        </w:rPr>
        <w:drawing>
          <wp:inline distT="0" distB="0" distL="0" distR="0">
            <wp:extent cx="5753100" cy="2419350"/>
            <wp:effectExtent l="19050" t="0" r="0" b="0"/>
            <wp:docPr id="5" name="obrázek 5" descr="fyz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yzik"/>
                    <pic:cNvPicPr>
                      <a:picLocks noChangeAspect="1" noChangeArrowheads="1"/>
                    </pic:cNvPicPr>
                  </pic:nvPicPr>
                  <pic:blipFill>
                    <a:blip r:embed="rId15" cstate="print"/>
                    <a:srcRect/>
                    <a:stretch>
                      <a:fillRect/>
                    </a:stretch>
                  </pic:blipFill>
                  <pic:spPr bwMode="auto">
                    <a:xfrm>
                      <a:off x="0" y="0"/>
                      <a:ext cx="5753100" cy="2419350"/>
                    </a:xfrm>
                    <a:prstGeom prst="rect">
                      <a:avLst/>
                    </a:prstGeom>
                    <a:noFill/>
                    <a:ln w="9525">
                      <a:noFill/>
                      <a:miter lim="800000"/>
                      <a:headEnd/>
                      <a:tailEnd/>
                    </a:ln>
                  </pic:spPr>
                </pic:pic>
              </a:graphicData>
            </a:graphic>
          </wp:inline>
        </w:drawing>
      </w:r>
    </w:p>
    <w:p w:rsidR="0060360F" w:rsidRPr="0060360F" w:rsidRDefault="0060360F" w:rsidP="0060360F">
      <w:pPr>
        <w:pStyle w:val="Titulek"/>
        <w:jc w:val="both"/>
        <w:rPr>
          <w:b w:val="0"/>
          <w:sz w:val="24"/>
        </w:rPr>
      </w:pPr>
      <w:bookmarkStart w:id="23" w:name="_Toc399789142"/>
      <w:r w:rsidRPr="0060360F">
        <w:rPr>
          <w:b w:val="0"/>
          <w:i/>
          <w:sz w:val="24"/>
        </w:rPr>
        <w:t xml:space="preserve">Obrázek </w:t>
      </w:r>
      <w:r w:rsidR="003818A1" w:rsidRPr="0060360F">
        <w:rPr>
          <w:b w:val="0"/>
          <w:i/>
          <w:sz w:val="24"/>
        </w:rPr>
        <w:fldChar w:fldCharType="begin"/>
      </w:r>
      <w:r w:rsidRPr="0060360F">
        <w:rPr>
          <w:b w:val="0"/>
          <w:i/>
          <w:sz w:val="24"/>
        </w:rPr>
        <w:instrText xml:space="preserve"> SEQ Obrázek \* ARABIC </w:instrText>
      </w:r>
      <w:r w:rsidR="003818A1" w:rsidRPr="0060360F">
        <w:rPr>
          <w:b w:val="0"/>
          <w:i/>
          <w:sz w:val="24"/>
        </w:rPr>
        <w:fldChar w:fldCharType="separate"/>
      </w:r>
      <w:r w:rsidR="00FB20B9">
        <w:rPr>
          <w:b w:val="0"/>
          <w:i/>
          <w:noProof/>
          <w:sz w:val="24"/>
        </w:rPr>
        <w:t>4</w:t>
      </w:r>
      <w:r w:rsidR="003818A1" w:rsidRPr="0060360F">
        <w:rPr>
          <w:b w:val="0"/>
          <w:i/>
          <w:sz w:val="24"/>
        </w:rPr>
        <w:fldChar w:fldCharType="end"/>
      </w:r>
      <w:r w:rsidRPr="0060360F">
        <w:rPr>
          <w:b w:val="0"/>
          <w:i/>
          <w:sz w:val="24"/>
        </w:rPr>
        <w:t>.</w:t>
      </w:r>
      <w:r w:rsidRPr="0060360F">
        <w:rPr>
          <w:b w:val="0"/>
          <w:sz w:val="24"/>
        </w:rPr>
        <w:t xml:space="preserve"> </w:t>
      </w:r>
      <w:r w:rsidR="008B1708" w:rsidRPr="0060360F">
        <w:rPr>
          <w:b w:val="0"/>
          <w:sz w:val="24"/>
        </w:rPr>
        <w:t>Tři dimenze fyzikální kompete</w:t>
      </w:r>
      <w:r>
        <w:rPr>
          <w:b w:val="0"/>
          <w:sz w:val="24"/>
        </w:rPr>
        <w:t>nce vztažené k oborovým obsahům.</w:t>
      </w:r>
      <w:bookmarkEnd w:id="23"/>
    </w:p>
    <w:p w:rsidR="008B1708" w:rsidRPr="00AC637F" w:rsidRDefault="0060360F" w:rsidP="002A5D06">
      <w:pPr>
        <w:spacing w:line="276" w:lineRule="auto"/>
        <w:jc w:val="both"/>
      </w:pPr>
      <w:r>
        <w:t>Pozn.: U</w:t>
      </w:r>
      <w:r w:rsidR="00FA33D8">
        <w:t xml:space="preserve">praveno podle </w:t>
      </w:r>
      <w:r>
        <w:t>Neumann a kol. (</w:t>
      </w:r>
      <w:r w:rsidR="008B1708" w:rsidRPr="00AC637F">
        <w:t>2007, s. 111)</w:t>
      </w:r>
      <w:r w:rsidR="00FA33D8">
        <w:t>.</w:t>
      </w:r>
      <w:r w:rsidR="008B1708" w:rsidRPr="00AC637F">
        <w:t xml:space="preserve"> </w:t>
      </w:r>
    </w:p>
    <w:p w:rsidR="008B1708" w:rsidRDefault="008B1708" w:rsidP="002A5D06">
      <w:pPr>
        <w:spacing w:line="276" w:lineRule="auto"/>
        <w:jc w:val="both"/>
        <w:rPr>
          <w:color w:val="7030A0"/>
        </w:rPr>
      </w:pPr>
    </w:p>
    <w:p w:rsidR="00CA1B1E" w:rsidRPr="00B264AA" w:rsidRDefault="000D4BA4" w:rsidP="00CD3FC9">
      <w:pPr>
        <w:spacing w:after="120" w:line="276" w:lineRule="auto"/>
        <w:jc w:val="both"/>
        <w:rPr>
          <w:bCs/>
        </w:rPr>
      </w:pPr>
      <w:r>
        <w:t xml:space="preserve">Dříve než přistoupíme k modelování geografických kompetencí, </w:t>
      </w:r>
      <w:r w:rsidR="00C570F2">
        <w:t xml:space="preserve">podrobněji </w:t>
      </w:r>
      <w:r>
        <w:t xml:space="preserve">popíšeme </w:t>
      </w:r>
      <w:r w:rsidR="00C570F2">
        <w:t>model oborových kompetencí v matematice. Činíme tak z toho důvodu, že model geografických kompetencí doposud nebyl empiricky ověřen. Na příkladu matematiky bychom rádi zprostředkovali</w:t>
      </w:r>
      <w:r>
        <w:t xml:space="preserve"> představu o náročnosti a rozsahu procedur spojených s em</w:t>
      </w:r>
      <w:r w:rsidR="00CA6F36">
        <w:t>p</w:t>
      </w:r>
      <w:r>
        <w:t>irickým ověřováním kompetenčních modelů</w:t>
      </w:r>
      <w:r w:rsidR="00C570F2">
        <w:t>.</w:t>
      </w:r>
      <w:r>
        <w:t xml:space="preserve"> </w:t>
      </w:r>
      <w:r w:rsidR="00CA6F36">
        <w:t xml:space="preserve">Model matematické kompetence </w:t>
      </w:r>
      <w:r w:rsidR="005A3BE6" w:rsidRPr="005A3BE6">
        <w:t>odliš</w:t>
      </w:r>
      <w:r w:rsidR="00CA6F36">
        <w:t>uje</w:t>
      </w:r>
      <w:r w:rsidR="005A3BE6" w:rsidRPr="005A3BE6">
        <w:t xml:space="preserve"> pět obsahových </w:t>
      </w:r>
      <w:r w:rsidR="00CA6F36">
        <w:t>(sub)</w:t>
      </w:r>
      <w:r w:rsidR="005A3BE6" w:rsidRPr="005A3BE6">
        <w:t xml:space="preserve">kompetencí (čísla, tvary a velikosti, vzorce a struktury, prostor a forma, reprezentace dat, pravděpodobnost) a šest procesuálně orientovaných </w:t>
      </w:r>
      <w:r w:rsidR="00CA6F36">
        <w:t>(sub)</w:t>
      </w:r>
      <w:r w:rsidR="005A3BE6" w:rsidRPr="005A3BE6">
        <w:t xml:space="preserve">kompetencí (rutinní počítání, řešení problémů, modelování, argumentování, komunikování, modelování a technické zobrazování). </w:t>
      </w:r>
      <w:r w:rsidR="00984837">
        <w:t>K</w:t>
      </w:r>
      <w:r w:rsidR="005A3BE6" w:rsidRPr="005A3BE6">
        <w:t xml:space="preserve"> jednotlivým obsahovým a kognitivním komponentám modelu </w:t>
      </w:r>
      <w:r w:rsidR="00984837">
        <w:t xml:space="preserve">bylo poté </w:t>
      </w:r>
      <w:r w:rsidR="005A3BE6" w:rsidRPr="005A3BE6">
        <w:t>vytvořeno přibližně 650 testových položek, jejichž validita a reliabilita byla ověřena na vzorku téměř 17 000 žáků (srov. Winkelmann et al., 2012). Následně byl s pomocí pravděpodobnostních modelů testování (</w:t>
      </w:r>
      <w:r w:rsidR="0038153D">
        <w:t xml:space="preserve">tzv. </w:t>
      </w:r>
      <w:r w:rsidR="005A3BE6" w:rsidRPr="0038153D">
        <w:rPr>
          <w:i/>
        </w:rPr>
        <w:t>Item-</w:t>
      </w:r>
      <w:r w:rsidR="004363E8" w:rsidRPr="0038153D">
        <w:rPr>
          <w:i/>
        </w:rPr>
        <w:t>R</w:t>
      </w:r>
      <w:r w:rsidR="005A3BE6" w:rsidRPr="0038153D">
        <w:rPr>
          <w:i/>
        </w:rPr>
        <w:t>esponse-</w:t>
      </w:r>
      <w:r w:rsidR="004363E8" w:rsidRPr="0038153D">
        <w:rPr>
          <w:i/>
        </w:rPr>
        <w:t>T</w:t>
      </w:r>
      <w:r w:rsidR="005A3BE6" w:rsidRPr="0038153D">
        <w:rPr>
          <w:i/>
        </w:rPr>
        <w:t>heory</w:t>
      </w:r>
      <w:r w:rsidR="005A3BE6" w:rsidRPr="005A3BE6">
        <w:t xml:space="preserve">) vyvinut a standardizován test pro měření matematické kompetence žáků (srov. Köller et al., 2012). Na jeho základě bylo definováno pět možných stupňů rozvoje matematické kompetence. Jedná se o 1. </w:t>
      </w:r>
      <w:r w:rsidR="00984837">
        <w:t>z</w:t>
      </w:r>
      <w:r w:rsidR="005A3BE6" w:rsidRPr="005A3BE6">
        <w:t xml:space="preserve">áklady (rutinní matematické procedury založené na pojmovém porozumění), 2. rutinní matematické procedury založené na jednoduchých aplikacích základních znalostí (příklady s jasným zadáním), 3. </w:t>
      </w:r>
      <w:r w:rsidR="00984837">
        <w:t>r</w:t>
      </w:r>
      <w:r w:rsidR="005A3BE6" w:rsidRPr="005A3BE6">
        <w:t xml:space="preserve">ozpoznání a využívání znalostí ve známém kontextu vztaženému k matematice, 4. </w:t>
      </w:r>
      <w:r w:rsidR="00984837">
        <w:t>v</w:t>
      </w:r>
      <w:r w:rsidR="005A3BE6" w:rsidRPr="005A3BE6">
        <w:t xml:space="preserve">ědomé a flexibilní aplikování matematických pojmů a operací v rámci matematického kurikula, 5. modelování komplexních problémů a samostatné vyvíjení strategií vedoucích k jejich řešení (podrobněji k definicím jednotlivých úrovní viz </w:t>
      </w:r>
      <w:r w:rsidR="005A3BE6" w:rsidRPr="005A3BE6">
        <w:rPr>
          <w:bCs/>
        </w:rPr>
        <w:t xml:space="preserve">Köller, Eßel-Ullmann, &amp; Paasch, 2012). </w:t>
      </w:r>
      <w:r w:rsidR="00295C37">
        <w:rPr>
          <w:bCs/>
        </w:rPr>
        <w:t>N</w:t>
      </w:r>
      <w:r w:rsidR="005A3BE6">
        <w:rPr>
          <w:bCs/>
        </w:rPr>
        <w:t xml:space="preserve">ávrh </w:t>
      </w:r>
      <w:r w:rsidR="00295C37">
        <w:rPr>
          <w:bCs/>
        </w:rPr>
        <w:t xml:space="preserve">vzdělávacího </w:t>
      </w:r>
      <w:r w:rsidR="005A3BE6">
        <w:rPr>
          <w:bCs/>
        </w:rPr>
        <w:t xml:space="preserve">standardu </w:t>
      </w:r>
      <w:r w:rsidR="00295C37">
        <w:rPr>
          <w:bCs/>
        </w:rPr>
        <w:t xml:space="preserve">vycházejícího z modelu matematické kompetence </w:t>
      </w:r>
      <w:r w:rsidR="005A3BE6">
        <w:rPr>
          <w:bCs/>
        </w:rPr>
        <w:t xml:space="preserve">se podařilo vytvořit </w:t>
      </w:r>
      <w:r w:rsidR="00295C37">
        <w:rPr>
          <w:bCs/>
        </w:rPr>
        <w:t xml:space="preserve">po cca třech letech </w:t>
      </w:r>
      <w:r w:rsidR="005A3BE6">
        <w:rPr>
          <w:bCs/>
        </w:rPr>
        <w:t>intenzivní práce (pracovní postup shrnují Blum et al., 2006, s. 8–11). Vývoj a ověření nástroje k měření matematické kompetence trvaly dalších 6–7 let (viz výše).</w:t>
      </w:r>
      <w:r w:rsidR="005A3BE6" w:rsidRPr="005A3BE6">
        <w:rPr>
          <w:bCs/>
        </w:rPr>
        <w:t xml:space="preserve"> </w:t>
      </w:r>
      <w:r w:rsidR="005A3BE6">
        <w:rPr>
          <w:bCs/>
        </w:rPr>
        <w:t>Zkušenosti ukazují, že ověřené a funkční standardy vyžadují téměř desetileté úsilí koordinovaného týmu odborníků.</w:t>
      </w:r>
      <w:r w:rsidR="0059369F">
        <w:rPr>
          <w:rStyle w:val="Znakapoznpodarou"/>
          <w:bCs/>
        </w:rPr>
        <w:footnoteReference w:id="16"/>
      </w:r>
      <w:r w:rsidR="005A3BE6">
        <w:rPr>
          <w:bCs/>
        </w:rPr>
        <w:t xml:space="preserve"> Proto si je patrně mohou dovolit pouze velké a bohaté národy (srov. také Dvořák</w:t>
      </w:r>
      <w:r w:rsidR="005A3BE6" w:rsidRPr="002E5AF9">
        <w:rPr>
          <w:bCs/>
        </w:rPr>
        <w:t xml:space="preserve">, 2012, s. </w:t>
      </w:r>
      <w:r w:rsidR="000F1682" w:rsidRPr="002E5AF9">
        <w:rPr>
          <w:bCs/>
        </w:rPr>
        <w:t>107</w:t>
      </w:r>
      <w:r w:rsidR="005A3BE6" w:rsidRPr="002E5AF9">
        <w:rPr>
          <w:bCs/>
        </w:rPr>
        <w:t>).</w:t>
      </w:r>
      <w:r w:rsidR="005A3BE6">
        <w:rPr>
          <w:bCs/>
        </w:rPr>
        <w:t xml:space="preserve"> </w:t>
      </w:r>
      <w:r w:rsidR="00CA1B1E">
        <w:t>V následující podkapitole se podrobněji věnujeme modelu ge</w:t>
      </w:r>
      <w:r w:rsidR="004363E8">
        <w:t>o</w:t>
      </w:r>
      <w:r w:rsidR="00CA1B1E">
        <w:t xml:space="preserve">grafické systémové kompetence. </w:t>
      </w:r>
    </w:p>
    <w:p w:rsidR="00B341DA" w:rsidRDefault="00B341DA" w:rsidP="00CD3FC9">
      <w:pPr>
        <w:spacing w:after="120" w:line="276" w:lineRule="auto"/>
      </w:pPr>
    </w:p>
    <w:p w:rsidR="009B1B4C" w:rsidRPr="009B1B4C" w:rsidRDefault="009B1B4C" w:rsidP="009B1B4C">
      <w:pPr>
        <w:pStyle w:val="Nadpis3"/>
        <w:spacing w:after="120"/>
      </w:pPr>
      <w:bookmarkStart w:id="24" w:name="_Toc399775390"/>
      <w:r w:rsidRPr="009B1B4C">
        <w:t>Cíle geografického vzdělávání: střet odlišných tradic a přístupů?</w:t>
      </w:r>
      <w:bookmarkEnd w:id="24"/>
    </w:p>
    <w:p w:rsidR="00FA65DA" w:rsidRDefault="00875EC3" w:rsidP="00CD3FC9">
      <w:pPr>
        <w:spacing w:after="120" w:line="276" w:lineRule="auto"/>
        <w:jc w:val="both"/>
      </w:pPr>
      <w:r w:rsidRPr="00FA65DA">
        <w:t>Jak je uvedeno v Mezinárodní chartě geografického vzdělávání Mezinárodní geografické unie</w:t>
      </w:r>
      <w:r w:rsidR="00FA65DA">
        <w:t xml:space="preserve">, </w:t>
      </w:r>
    </w:p>
    <w:p w:rsidR="00875EC3" w:rsidRPr="00FA65DA" w:rsidRDefault="00FA65DA" w:rsidP="00CD3FC9">
      <w:pPr>
        <w:spacing w:after="120" w:line="276" w:lineRule="auto"/>
        <w:ind w:left="567"/>
        <w:jc w:val="both"/>
        <w:rPr>
          <w:sz w:val="20"/>
        </w:rPr>
      </w:pPr>
      <w:r w:rsidRPr="00505C4F">
        <w:rPr>
          <w:sz w:val="20"/>
          <w:szCs w:val="20"/>
        </w:rPr>
        <w:t>[g]</w:t>
      </w:r>
      <w:r w:rsidR="00875EC3" w:rsidRPr="00505C4F">
        <w:rPr>
          <w:sz w:val="20"/>
          <w:szCs w:val="20"/>
        </w:rPr>
        <w:t>eografie je věda, která se snaží objasňovat charakter různých míst, rozmístění lidí, jevů a událostí odehrávajících se a vyvíjejících se na zemském povrchu. Studuje interakce mezi člověkem a prostředím v kontextu různých míst a poloh. Charakteristická je především její obsahová šíře, metodologický záběr, syntetizování poznatků různých oborů přírodních a společenských</w:t>
      </w:r>
      <w:r w:rsidR="00875EC3" w:rsidRPr="00FA65DA">
        <w:rPr>
          <w:sz w:val="20"/>
        </w:rPr>
        <w:t xml:space="preserve"> věd a její zájem na budoucím utváření vzájemných vztahů mezi lidmi a prostředím. (Haubrich, 1994, s. 5)</w:t>
      </w:r>
    </w:p>
    <w:p w:rsidR="00875EC3" w:rsidRPr="00FA65DA" w:rsidRDefault="00F93D77" w:rsidP="00CD3FC9">
      <w:pPr>
        <w:spacing w:after="120" w:line="276" w:lineRule="auto"/>
        <w:jc w:val="both"/>
      </w:pPr>
      <w:r w:rsidRPr="00FA65DA">
        <w:rPr>
          <w:lang w:eastAsia="en-US"/>
        </w:rPr>
        <w:t>Z výše uvedeného vyplývá výjimečné postavení zeměpisu v</w:t>
      </w:r>
      <w:r w:rsidR="00196C90" w:rsidRPr="00FA65DA">
        <w:rPr>
          <w:lang w:eastAsia="en-US"/>
        </w:rPr>
        <w:t> </w:t>
      </w:r>
      <w:r w:rsidRPr="00FA65DA">
        <w:rPr>
          <w:lang w:eastAsia="en-US"/>
        </w:rPr>
        <w:t>kurikulu</w:t>
      </w:r>
      <w:r w:rsidR="00196C90" w:rsidRPr="00FA65DA">
        <w:rPr>
          <w:lang w:eastAsia="en-US"/>
        </w:rPr>
        <w:t xml:space="preserve"> na pomezí přírodních a společenskovědních předmětů</w:t>
      </w:r>
      <w:r w:rsidR="00533AEF" w:rsidRPr="00FA65DA">
        <w:rPr>
          <w:lang w:eastAsia="en-US"/>
        </w:rPr>
        <w:t xml:space="preserve">, neboť je pro něj charakteristické úsilí o propojování znalostí a dovedností z přírodních a společenských věd </w:t>
      </w:r>
      <w:r w:rsidR="0075551E" w:rsidRPr="00FA65DA">
        <w:rPr>
          <w:lang w:eastAsia="en-US"/>
        </w:rPr>
        <w:t xml:space="preserve">se zvláštním zřetelem k jejich prostorovosti. </w:t>
      </w:r>
      <w:r w:rsidR="00875EC3" w:rsidRPr="00FA65DA">
        <w:t xml:space="preserve">Geografické vzdělávání by mělo směřovat ke kladení a odpovídání následujících otázek: a) Kde to je?, b) Jaké to je?, c) Proč je to tam?, d) Jak to vzniklo?, e) Jaký to má vliv?, f) Jak by to mělo být uzpůsobeno vzájemnému užitku člověka přírody? (srov. </w:t>
      </w:r>
      <w:r w:rsidR="0075551E" w:rsidRPr="00FA65DA">
        <w:t>Haubrich, 1994</w:t>
      </w:r>
      <w:r w:rsidR="00875EC3" w:rsidRPr="00FA65DA">
        <w:t>, s. 5)</w:t>
      </w:r>
    </w:p>
    <w:p w:rsidR="00F96F41" w:rsidRDefault="009B75BB" w:rsidP="00CD3FC9">
      <w:pPr>
        <w:spacing w:after="120" w:line="276" w:lineRule="auto"/>
        <w:jc w:val="both"/>
      </w:pPr>
      <w:r>
        <w:t>Schopnost žáka klást si</w:t>
      </w:r>
      <w:r w:rsidR="00EC122F" w:rsidRPr="00FA65DA">
        <w:t xml:space="preserve"> uvedené otázky a zejména hledat na ně odpovědi představuje jednu z cílových idejí geografického vzdělávání směřujících k utváření a rozvoji </w:t>
      </w:r>
      <w:r w:rsidR="006F5D15" w:rsidRPr="00FA65DA">
        <w:t>g</w:t>
      </w:r>
      <w:r w:rsidR="00BD19F4" w:rsidRPr="00FA65DA">
        <w:t xml:space="preserve">eografického/prostorového </w:t>
      </w:r>
      <w:r w:rsidR="00EC122F" w:rsidRPr="00FA65DA">
        <w:t>myšlení</w:t>
      </w:r>
      <w:r w:rsidR="00BD19F4" w:rsidRPr="00FA65DA">
        <w:t xml:space="preserve"> (</w:t>
      </w:r>
      <w:r w:rsidR="00E42A92" w:rsidRPr="00FA65DA">
        <w:t>anglo-americký přístup)</w:t>
      </w:r>
      <w:r w:rsidR="00BD19F4" w:rsidRPr="00FA65DA">
        <w:t>, resp. geografické systémové kompetence</w:t>
      </w:r>
      <w:r w:rsidR="00E42A92" w:rsidRPr="00FA65DA">
        <w:t xml:space="preserve"> (přístup dominantní v německy hovořících zemích)</w:t>
      </w:r>
      <w:r w:rsidR="00BD19F4" w:rsidRPr="00FA65DA">
        <w:t>.</w:t>
      </w:r>
      <w:r w:rsidR="008B6773" w:rsidRPr="00FA65DA">
        <w:rPr>
          <w:rStyle w:val="Znakapoznpodarou"/>
        </w:rPr>
        <w:footnoteReference w:id="17"/>
      </w:r>
      <w:r w:rsidR="00A3276F" w:rsidRPr="00FA65DA">
        <w:t xml:space="preserve"> </w:t>
      </w:r>
    </w:p>
    <w:p w:rsidR="009B1B4C" w:rsidRDefault="009B1B4C" w:rsidP="00CD3FC9">
      <w:pPr>
        <w:spacing w:after="120" w:line="276" w:lineRule="auto"/>
        <w:jc w:val="both"/>
      </w:pPr>
    </w:p>
    <w:p w:rsidR="00002951" w:rsidRPr="00A74542" w:rsidRDefault="009B1B4C" w:rsidP="00A74542">
      <w:pPr>
        <w:pStyle w:val="Nadpis4"/>
        <w:numPr>
          <w:ilvl w:val="0"/>
          <w:numId w:val="0"/>
        </w:numPr>
        <w:rPr>
          <w:i w:val="0"/>
        </w:rPr>
      </w:pPr>
      <w:r w:rsidRPr="00A74542">
        <w:rPr>
          <w:i w:val="0"/>
        </w:rPr>
        <w:t>Geografické a prostorové myšlení, geografická systémová kompetence</w:t>
      </w:r>
    </w:p>
    <w:p w:rsidR="00E06D79" w:rsidRDefault="00E06D79" w:rsidP="00CD3FC9">
      <w:pPr>
        <w:spacing w:after="120" w:line="276" w:lineRule="auto"/>
        <w:jc w:val="both"/>
        <w:rPr>
          <w:lang w:eastAsia="en-US"/>
        </w:rPr>
      </w:pPr>
      <w:r w:rsidRPr="00D64E67">
        <w:t>Geografické myšlení je často pokládáno za nejobecnější cíl geografického vzdělávání (srov. GA, 2009). Existuje mnoho definic geografického myšlení (srov. Leat, 1998). Geografické myšlení znamená mít (geografickým vzděláváním) utvořenou schopnost konstruovat myšlenkové mapy a na jejich základě identifikovat pravidelnosti, rozpoznávat vztahy, registrovat změny a s využitím těchto myšlenkových map interpretovat významy (srov. Morgan, 2013, s. 275).</w:t>
      </w:r>
      <w:r>
        <w:t xml:space="preserve"> Obdobně Jackson (2006, s. 199) definuje </w:t>
      </w:r>
      <w:r w:rsidRPr="008D176A">
        <w:t>geografické myšlení jako „schopnost žáků myslet ve vztazích a souvislostech a porozumět komplex</w:t>
      </w:r>
      <w:r>
        <w:t xml:space="preserve">ním problémům různého měřítka“. </w:t>
      </w:r>
      <w:r>
        <w:rPr>
          <w:lang w:eastAsia="en-US"/>
        </w:rPr>
        <w:t>Alternativu ke geografickému myšlení</w:t>
      </w:r>
      <w:r w:rsidRPr="00FA65DA">
        <w:rPr>
          <w:lang w:eastAsia="en-US"/>
        </w:rPr>
        <w:t xml:space="preserve"> </w:t>
      </w:r>
      <w:r>
        <w:rPr>
          <w:lang w:eastAsia="en-US"/>
        </w:rPr>
        <w:t xml:space="preserve">představuje </w:t>
      </w:r>
      <w:r w:rsidRPr="00FA65DA">
        <w:rPr>
          <w:lang w:eastAsia="en-US"/>
        </w:rPr>
        <w:t>prostorové myšlení (angl. spatial thinking)</w:t>
      </w:r>
      <w:r w:rsidR="00803C64">
        <w:rPr>
          <w:lang w:eastAsia="en-US"/>
        </w:rPr>
        <w:t>, které je možné definovat jako</w:t>
      </w:r>
      <w:r w:rsidR="00C6143F">
        <w:rPr>
          <w:lang w:eastAsia="en-US"/>
        </w:rPr>
        <w:t xml:space="preserve"> amalgám</w:t>
      </w:r>
      <w:r w:rsidR="00803C64">
        <w:rPr>
          <w:lang w:eastAsia="en-US"/>
        </w:rPr>
        <w:t xml:space="preserve"> </w:t>
      </w:r>
      <w:r w:rsidR="00DD6DB8">
        <w:rPr>
          <w:lang w:eastAsia="en-US"/>
        </w:rPr>
        <w:t xml:space="preserve">a) </w:t>
      </w:r>
      <w:r w:rsidR="00C6143F">
        <w:rPr>
          <w:lang w:eastAsia="en-US"/>
        </w:rPr>
        <w:t>znalostí o polohách a vlastnostech míst</w:t>
      </w:r>
      <w:r w:rsidR="00DD6DB8">
        <w:rPr>
          <w:lang w:eastAsia="en-US"/>
        </w:rPr>
        <w:t xml:space="preserve">, a b) </w:t>
      </w:r>
      <w:r w:rsidR="00C6143F">
        <w:rPr>
          <w:lang w:eastAsia="en-US"/>
        </w:rPr>
        <w:t>dovedností využívaných</w:t>
      </w:r>
      <w:r w:rsidR="00803C64">
        <w:rPr>
          <w:lang w:eastAsia="en-US"/>
        </w:rPr>
        <w:t xml:space="preserve"> k</w:t>
      </w:r>
      <w:r w:rsidR="00DD6DB8">
        <w:rPr>
          <w:lang w:eastAsia="en-US"/>
        </w:rPr>
        <w:t> </w:t>
      </w:r>
      <w:r w:rsidR="00803C64">
        <w:rPr>
          <w:lang w:eastAsia="en-US"/>
        </w:rPr>
        <w:t>analýze</w:t>
      </w:r>
      <w:r w:rsidR="00DD6DB8">
        <w:rPr>
          <w:lang w:eastAsia="en-US"/>
        </w:rPr>
        <w:t xml:space="preserve"> vztahů a souvislostí mezi místy</w:t>
      </w:r>
      <w:r w:rsidR="00803C64">
        <w:rPr>
          <w:lang w:eastAsia="en-US"/>
        </w:rPr>
        <w:t xml:space="preserve"> </w:t>
      </w:r>
      <w:r w:rsidR="000E6FFE">
        <w:rPr>
          <w:lang w:eastAsia="en-US"/>
        </w:rPr>
        <w:t xml:space="preserve">(volně dle </w:t>
      </w:r>
      <w:r w:rsidR="000E6FFE" w:rsidRPr="00FA65DA">
        <w:rPr>
          <w:lang w:eastAsia="en-US"/>
        </w:rPr>
        <w:t>Gersmehl &amp; Gersmehl, 2007</w:t>
      </w:r>
      <w:r w:rsidR="00C6143F">
        <w:rPr>
          <w:lang w:eastAsia="en-US"/>
        </w:rPr>
        <w:t>, s. 181</w:t>
      </w:r>
      <w:r w:rsidR="000E6FFE">
        <w:rPr>
          <w:lang w:eastAsia="en-US"/>
        </w:rPr>
        <w:t>). Prostorové myšlení, případně jeho dílčí komponenty,</w:t>
      </w:r>
      <w:r w:rsidRPr="00FA65DA">
        <w:rPr>
          <w:lang w:eastAsia="en-US"/>
        </w:rPr>
        <w:t xml:space="preserve"> byl</w:t>
      </w:r>
      <w:r w:rsidR="000E6FFE">
        <w:rPr>
          <w:lang w:eastAsia="en-US"/>
        </w:rPr>
        <w:t>y</w:t>
      </w:r>
      <w:r w:rsidRPr="00FA65DA">
        <w:rPr>
          <w:lang w:eastAsia="en-US"/>
        </w:rPr>
        <w:t xml:space="preserve"> rozpracován</w:t>
      </w:r>
      <w:r w:rsidR="000E6FFE">
        <w:rPr>
          <w:lang w:eastAsia="en-US"/>
        </w:rPr>
        <w:t>y</w:t>
      </w:r>
      <w:r w:rsidRPr="00FA65DA">
        <w:rPr>
          <w:lang w:eastAsia="en-US"/>
        </w:rPr>
        <w:t xml:space="preserve"> do podoby empiricky ověřených teoretických modelů (srov. Jo &amp; Bednarz, 2009; Lee &amp; Bednarz, 2012 aj.).</w:t>
      </w:r>
      <w:r>
        <w:rPr>
          <w:lang w:eastAsia="en-US"/>
        </w:rPr>
        <w:t xml:space="preserve"> </w:t>
      </w:r>
    </w:p>
    <w:p w:rsidR="000062ED" w:rsidRPr="00FA65DA" w:rsidRDefault="0038153D" w:rsidP="000062ED">
      <w:pPr>
        <w:spacing w:after="120" w:line="276" w:lineRule="auto"/>
        <w:jc w:val="both"/>
        <w:rPr>
          <w:lang w:eastAsia="en-US"/>
        </w:rPr>
      </w:pPr>
      <w:r>
        <w:rPr>
          <w:lang w:eastAsia="en-US"/>
        </w:rPr>
        <w:t>J</w:t>
      </w:r>
      <w:r w:rsidR="000062ED">
        <w:rPr>
          <w:lang w:eastAsia="en-US"/>
        </w:rPr>
        <w:t xml:space="preserve">sme </w:t>
      </w:r>
      <w:r w:rsidR="000062ED" w:rsidRPr="00FA65DA">
        <w:rPr>
          <w:lang w:eastAsia="en-US"/>
        </w:rPr>
        <w:t>si vědomi, že USA jsou spolu s Velkou Británií považovány za inkubátor globální kurikulární politiky</w:t>
      </w:r>
      <w:r w:rsidR="000062ED">
        <w:rPr>
          <w:lang w:eastAsia="en-US"/>
        </w:rPr>
        <w:t>, což platí také pro kurikulum geografického vzdělávání</w:t>
      </w:r>
      <w:r>
        <w:rPr>
          <w:lang w:eastAsia="en-US"/>
        </w:rPr>
        <w:t xml:space="preserve">. </w:t>
      </w:r>
      <w:r w:rsidR="00C446B7">
        <w:rPr>
          <w:lang w:eastAsia="en-US"/>
        </w:rPr>
        <w:t>Mimo jiné proto je k</w:t>
      </w:r>
      <w:r w:rsidR="00C446B7" w:rsidRPr="00EC6EC8">
        <w:t>urikulu geografického vzd</w:t>
      </w:r>
      <w:r w:rsidR="00C446B7">
        <w:t>ělávání v USA a Velké Británii</w:t>
      </w:r>
      <w:r w:rsidR="00C446B7" w:rsidRPr="00EC6EC8">
        <w:t xml:space="preserve"> v české didaktice geografie dlouhodobě věnována význam</w:t>
      </w:r>
      <w:r w:rsidR="0094401E">
        <w:t>ná</w:t>
      </w:r>
      <w:r w:rsidR="00C446B7" w:rsidRPr="00EC6EC8">
        <w:t xml:space="preserve"> pozornost (srov. Matoušek, 1996, 1997; Vávra, 2006 aj.). </w:t>
      </w:r>
      <w:r>
        <w:rPr>
          <w:lang w:eastAsia="en-US"/>
        </w:rPr>
        <w:t xml:space="preserve">S </w:t>
      </w:r>
      <w:r w:rsidRPr="00FA65DA">
        <w:rPr>
          <w:lang w:eastAsia="en-US"/>
        </w:rPr>
        <w:t xml:space="preserve">ohledem na problematiku řešenou v této práci </w:t>
      </w:r>
      <w:r w:rsidR="00C446B7">
        <w:rPr>
          <w:lang w:eastAsia="en-US"/>
        </w:rPr>
        <w:t xml:space="preserve">nicméně </w:t>
      </w:r>
      <w:r w:rsidR="000062ED">
        <w:rPr>
          <w:lang w:eastAsia="en-US"/>
        </w:rPr>
        <w:t xml:space="preserve">považujeme </w:t>
      </w:r>
      <w:r w:rsidR="000062ED" w:rsidRPr="00FA65DA">
        <w:rPr>
          <w:lang w:eastAsia="en-US"/>
        </w:rPr>
        <w:t xml:space="preserve">za </w:t>
      </w:r>
      <w:r w:rsidR="000062ED">
        <w:rPr>
          <w:lang w:eastAsia="en-US"/>
        </w:rPr>
        <w:t xml:space="preserve">více </w:t>
      </w:r>
      <w:r w:rsidR="000062ED" w:rsidRPr="00FA65DA">
        <w:rPr>
          <w:lang w:eastAsia="en-US"/>
        </w:rPr>
        <w:t>přínosné</w:t>
      </w:r>
      <w:r w:rsidR="000062ED">
        <w:rPr>
          <w:lang w:eastAsia="en-US"/>
        </w:rPr>
        <w:t xml:space="preserve"> a inspirativní</w:t>
      </w:r>
      <w:r w:rsidR="000062ED" w:rsidRPr="00FA65DA">
        <w:rPr>
          <w:lang w:eastAsia="en-US"/>
        </w:rPr>
        <w:t xml:space="preserve"> věnovat se podrobněji </w:t>
      </w:r>
      <w:r w:rsidR="000062ED">
        <w:rPr>
          <w:lang w:eastAsia="en-US"/>
        </w:rPr>
        <w:t xml:space="preserve">především </w:t>
      </w:r>
      <w:r w:rsidR="000062ED" w:rsidRPr="00FA65DA">
        <w:rPr>
          <w:lang w:eastAsia="en-US"/>
        </w:rPr>
        <w:t xml:space="preserve">německému kurikulu. Německé kurikulum se od amerického a britského liší </w:t>
      </w:r>
      <w:r w:rsidR="000062ED">
        <w:rPr>
          <w:lang w:eastAsia="en-US"/>
        </w:rPr>
        <w:t xml:space="preserve">mimo jiné </w:t>
      </w:r>
      <w:r w:rsidR="000062ED" w:rsidRPr="00FA65DA">
        <w:rPr>
          <w:lang w:eastAsia="en-US"/>
        </w:rPr>
        <w:t>důrazem na kompetence.</w:t>
      </w:r>
      <w:r w:rsidR="000062ED" w:rsidRPr="009A4642">
        <w:rPr>
          <w:lang w:eastAsia="en-US"/>
        </w:rPr>
        <w:t xml:space="preserve"> </w:t>
      </w:r>
      <w:r w:rsidR="000062ED">
        <w:rPr>
          <w:lang w:eastAsia="en-US"/>
        </w:rPr>
        <w:t>Proto německé kurikulum (a související primární i sekundární odborné prameny) vnímáme s přihlédnutím k obdobnému vědeckému</w:t>
      </w:r>
      <w:r w:rsidR="000062ED" w:rsidRPr="00FA65DA">
        <w:rPr>
          <w:lang w:eastAsia="en-US"/>
        </w:rPr>
        <w:t xml:space="preserve"> vývoj</w:t>
      </w:r>
      <w:r w:rsidR="000062ED">
        <w:rPr>
          <w:lang w:eastAsia="en-US"/>
        </w:rPr>
        <w:t>i</w:t>
      </w:r>
      <w:r w:rsidR="000062ED" w:rsidRPr="0059369F">
        <w:rPr>
          <w:lang w:eastAsia="en-US"/>
        </w:rPr>
        <w:t>, společné empiricko-výzkumné tradici, jazykově blízké konceptuální i strukturní skladbě</w:t>
      </w:r>
      <w:r w:rsidR="000062ED" w:rsidRPr="00FA65DA">
        <w:rPr>
          <w:lang w:eastAsia="en-US"/>
        </w:rPr>
        <w:t xml:space="preserve"> </w:t>
      </w:r>
      <w:r w:rsidR="000062ED">
        <w:rPr>
          <w:lang w:eastAsia="en-US"/>
        </w:rPr>
        <w:t xml:space="preserve">kurikula </w:t>
      </w:r>
      <w:r w:rsidR="000062ED" w:rsidRPr="00FA65DA">
        <w:rPr>
          <w:lang w:eastAsia="en-US"/>
        </w:rPr>
        <w:t xml:space="preserve">a tradiční </w:t>
      </w:r>
      <w:r w:rsidR="000062ED">
        <w:rPr>
          <w:lang w:eastAsia="en-US"/>
        </w:rPr>
        <w:t xml:space="preserve">vzájemné </w:t>
      </w:r>
      <w:r w:rsidR="000062ED" w:rsidRPr="00FA65DA">
        <w:rPr>
          <w:lang w:eastAsia="en-US"/>
        </w:rPr>
        <w:t>geografick</w:t>
      </w:r>
      <w:r w:rsidR="000062ED">
        <w:rPr>
          <w:lang w:eastAsia="en-US"/>
        </w:rPr>
        <w:t>é</w:t>
      </w:r>
      <w:r w:rsidR="000062ED" w:rsidRPr="00FA65DA">
        <w:rPr>
          <w:lang w:eastAsia="en-US"/>
        </w:rPr>
        <w:t xml:space="preserve"> provázanost</w:t>
      </w:r>
      <w:r w:rsidR="000062ED">
        <w:rPr>
          <w:lang w:eastAsia="en-US"/>
        </w:rPr>
        <w:t>i</w:t>
      </w:r>
      <w:r w:rsidR="000062ED" w:rsidRPr="00FA65DA">
        <w:rPr>
          <w:lang w:eastAsia="en-US"/>
        </w:rPr>
        <w:t xml:space="preserve"> jako cenný zdroj poznání. </w:t>
      </w:r>
      <w:r w:rsidR="00C446B7">
        <w:rPr>
          <w:lang w:eastAsia="en-US"/>
        </w:rPr>
        <w:t>Zmíněné</w:t>
      </w:r>
      <w:r w:rsidR="000062ED">
        <w:rPr>
          <w:lang w:eastAsia="en-US"/>
        </w:rPr>
        <w:t xml:space="preserve"> skutečnosti do jisté míry</w:t>
      </w:r>
      <w:r w:rsidR="000062ED" w:rsidRPr="00FA65DA">
        <w:rPr>
          <w:lang w:eastAsia="en-US"/>
        </w:rPr>
        <w:t xml:space="preserve"> legitimizují naše rozhodnutí držet se středoevropské tradice a považovat za možnou klíčovou kategorii geografického vzdělávání geografickou systémovou kompetenci.</w:t>
      </w:r>
      <w:r w:rsidR="000062ED">
        <w:rPr>
          <w:lang w:eastAsia="en-US"/>
        </w:rPr>
        <w:t xml:space="preserve"> </w:t>
      </w:r>
    </w:p>
    <w:p w:rsidR="000B26FF" w:rsidRDefault="00C446B7" w:rsidP="00CD3FC9">
      <w:pPr>
        <w:spacing w:after="120" w:line="276" w:lineRule="auto"/>
        <w:jc w:val="both"/>
      </w:pPr>
      <w:r>
        <w:t>Jak jsme již uvedli, geografická systémová kompetence představuje v Německu h</w:t>
      </w:r>
      <w:r w:rsidR="009B1B4C">
        <w:t xml:space="preserve">lavní cílovou kategorii geografického vzdělávání. </w:t>
      </w:r>
      <w:r w:rsidR="000B26FF">
        <w:t>Geografickou s</w:t>
      </w:r>
      <w:r w:rsidR="000B26FF" w:rsidRPr="00FA65DA">
        <w:t xml:space="preserve">ystémovou kompetenci definujeme jako schopnost a dovednost identifikovat a modelově popsat komplexní výřez geografické reality jako systém, následně analyzovat funkce a chování tohoto systému a na základě utvořených systemických znalostí odpovídajícím způsobem přiměřeně jednat (srov. Rempfler &amp; Uphues, 2011, s. 38). </w:t>
      </w:r>
    </w:p>
    <w:p w:rsidR="00585F3B" w:rsidRPr="00FA65DA" w:rsidRDefault="00585F3B" w:rsidP="00CD3FC9">
      <w:pPr>
        <w:spacing w:after="120" w:line="276" w:lineRule="auto"/>
        <w:jc w:val="both"/>
        <w:rPr>
          <w:lang w:eastAsia="en-US"/>
        </w:rPr>
      </w:pPr>
      <w:r>
        <w:rPr>
          <w:lang w:eastAsia="en-US"/>
        </w:rPr>
        <w:t>P</w:t>
      </w:r>
      <w:r w:rsidRPr="00FA65DA">
        <w:rPr>
          <w:lang w:eastAsia="en-US"/>
        </w:rPr>
        <w:t>řestože v</w:t>
      </w:r>
      <w:r>
        <w:rPr>
          <w:lang w:eastAsia="en-US"/>
        </w:rPr>
        <w:t xml:space="preserve"> kurikulárních dokumentech pocházejících </w:t>
      </w:r>
      <w:r w:rsidRPr="00FA65DA">
        <w:rPr>
          <w:lang w:eastAsia="en-US"/>
        </w:rPr>
        <w:t>anglicky hovořící oblasti není systémové myšlení explicitně začleňováno např. jako jedna z cílových kategorií geografického vzdělávání</w:t>
      </w:r>
      <w:r>
        <w:rPr>
          <w:lang w:eastAsia="en-US"/>
        </w:rPr>
        <w:t>, je zde možné d</w:t>
      </w:r>
      <w:r w:rsidRPr="00FA65DA">
        <w:rPr>
          <w:lang w:eastAsia="en-US"/>
        </w:rPr>
        <w:t xml:space="preserve">ůraz na systémové myšlení </w:t>
      </w:r>
      <w:r>
        <w:rPr>
          <w:lang w:eastAsia="en-US"/>
        </w:rPr>
        <w:t xml:space="preserve">taktéž </w:t>
      </w:r>
      <w:r w:rsidRPr="00FA65DA">
        <w:rPr>
          <w:lang w:eastAsia="en-US"/>
        </w:rPr>
        <w:t>pozorovat</w:t>
      </w:r>
      <w:r>
        <w:rPr>
          <w:lang w:eastAsia="en-US"/>
        </w:rPr>
        <w:t>.</w:t>
      </w:r>
      <w:r w:rsidR="00AE38BE">
        <w:rPr>
          <w:lang w:eastAsia="en-US"/>
        </w:rPr>
        <w:t xml:space="preserve"> </w:t>
      </w:r>
      <w:r>
        <w:rPr>
          <w:lang w:eastAsia="en-US"/>
        </w:rPr>
        <w:t>V</w:t>
      </w:r>
      <w:r w:rsidRPr="00FA65DA">
        <w:rPr>
          <w:lang w:eastAsia="en-US"/>
        </w:rPr>
        <w:t xml:space="preserve">e standardech geografického vzdělávání aktuálně zaváděných v USA (Heffron &amp; Downs, 2012, s. </w:t>
      </w:r>
      <w:r w:rsidR="009B1B4C">
        <w:rPr>
          <w:lang w:eastAsia="en-US"/>
        </w:rPr>
        <w:t>95</w:t>
      </w:r>
      <w:r w:rsidRPr="00FA65DA">
        <w:rPr>
          <w:lang w:eastAsia="en-US"/>
        </w:rPr>
        <w:t>) představují humánně geografické systémy a fyzickogeografické systémy dvě z šesti základních obsahových komponent, přičemž v rovině cílů se zde hovoří o požadavku systémového myšlení (srov. také Heffron, 2012, s. 46).</w:t>
      </w:r>
      <w:r w:rsidR="00496763">
        <w:rPr>
          <w:lang w:eastAsia="en-US"/>
        </w:rPr>
        <w:t xml:space="preserve"> </w:t>
      </w:r>
      <w:r w:rsidR="00B10580">
        <w:rPr>
          <w:lang w:eastAsia="en-US"/>
        </w:rPr>
        <w:t xml:space="preserve">Na druhou stranu </w:t>
      </w:r>
      <w:r>
        <w:rPr>
          <w:lang w:eastAsia="en-US"/>
        </w:rPr>
        <w:t>v</w:t>
      </w:r>
      <w:r w:rsidRPr="00FA65DA">
        <w:rPr>
          <w:lang w:eastAsia="en-US"/>
        </w:rPr>
        <w:t xml:space="preserve"> německých standardech geografického vzdělávání </w:t>
      </w:r>
      <w:r w:rsidRPr="009B75BB">
        <w:t xml:space="preserve">(DGfG, 2012, s. 16–18) </w:t>
      </w:r>
      <w:r w:rsidRPr="00FA65DA">
        <w:rPr>
          <w:lang w:eastAsia="en-US"/>
        </w:rPr>
        <w:t>představuj</w:t>
      </w:r>
      <w:r w:rsidR="00A56C15">
        <w:rPr>
          <w:lang w:eastAsia="en-US"/>
        </w:rPr>
        <w:t>í</w:t>
      </w:r>
      <w:r w:rsidRPr="00FA65DA">
        <w:rPr>
          <w:lang w:eastAsia="en-US"/>
        </w:rPr>
        <w:t xml:space="preserve"> orientace v prostoru </w:t>
      </w:r>
      <w:r w:rsidR="00A56C15">
        <w:rPr>
          <w:lang w:eastAsia="en-US"/>
        </w:rPr>
        <w:t xml:space="preserve">a percepce prostoru </w:t>
      </w:r>
      <w:r w:rsidRPr="00FA65DA">
        <w:rPr>
          <w:lang w:eastAsia="en-US"/>
        </w:rPr>
        <w:t>(akcentovan</w:t>
      </w:r>
      <w:r w:rsidR="00A56C15">
        <w:rPr>
          <w:lang w:eastAsia="en-US"/>
        </w:rPr>
        <w:t>é</w:t>
      </w:r>
      <w:r w:rsidR="00BB3E80">
        <w:rPr>
          <w:lang w:eastAsia="en-US"/>
        </w:rPr>
        <w:t xml:space="preserve"> německými </w:t>
      </w:r>
      <w:r w:rsidRPr="00FA65DA">
        <w:rPr>
          <w:lang w:eastAsia="en-US"/>
        </w:rPr>
        <w:t xml:space="preserve">pojmy </w:t>
      </w:r>
      <w:r w:rsidRPr="00FA65DA">
        <w:rPr>
          <w:i/>
          <w:lang w:eastAsia="en-US"/>
        </w:rPr>
        <w:t>Räumliche Orientierung, Raumwahrnehmung</w:t>
      </w:r>
      <w:r w:rsidRPr="00FA65DA">
        <w:rPr>
          <w:lang w:eastAsia="en-US"/>
        </w:rPr>
        <w:t xml:space="preserve"> apod.) jednu ze základních </w:t>
      </w:r>
      <w:r w:rsidR="00A56C15">
        <w:rPr>
          <w:lang w:eastAsia="en-US"/>
        </w:rPr>
        <w:t xml:space="preserve">složek </w:t>
      </w:r>
      <w:r w:rsidRPr="00FA65DA">
        <w:rPr>
          <w:lang w:eastAsia="en-US"/>
        </w:rPr>
        <w:t>geografických kompetencí.</w:t>
      </w:r>
      <w:r>
        <w:rPr>
          <w:lang w:eastAsia="en-US"/>
        </w:rPr>
        <w:t xml:space="preserve"> </w:t>
      </w:r>
    </w:p>
    <w:p w:rsidR="0094401E" w:rsidRPr="0094401E" w:rsidRDefault="00585F3B" w:rsidP="0094401E">
      <w:pPr>
        <w:spacing w:after="120" w:line="276" w:lineRule="auto"/>
        <w:jc w:val="both"/>
        <w:rPr>
          <w:i/>
          <w:lang w:eastAsia="en-US"/>
        </w:rPr>
      </w:pPr>
      <w:r w:rsidRPr="00FA65DA">
        <w:rPr>
          <w:lang w:eastAsia="en-US"/>
        </w:rPr>
        <w:t>Doposud nám není známa žádná přehledová či syntetická studie, která by si kladla za cíl rozkrýt podobnosti a odlišnosti systémového a prostorového myšlení jako cílových kategorií geografického vzdělávání. Za zmínku stojí ojedinělý pokus U</w:t>
      </w:r>
      <w:r w:rsidR="005774AA">
        <w:rPr>
          <w:lang w:eastAsia="en-US"/>
        </w:rPr>
        <w:t>hlenwinkelové (2013), jenž</w:t>
      </w:r>
      <w:r w:rsidR="00C87795">
        <w:rPr>
          <w:lang w:eastAsia="en-US"/>
        </w:rPr>
        <w:t xml:space="preserve"> převážně</w:t>
      </w:r>
      <w:r w:rsidRPr="00FA65DA">
        <w:rPr>
          <w:lang w:eastAsia="en-US"/>
        </w:rPr>
        <w:t xml:space="preserve"> setrvává v rovině deskripce</w:t>
      </w:r>
      <w:r w:rsidR="005774AA">
        <w:rPr>
          <w:lang w:eastAsia="en-US"/>
        </w:rPr>
        <w:t xml:space="preserve"> obou kategorií</w:t>
      </w:r>
      <w:r w:rsidRPr="00FA65DA">
        <w:rPr>
          <w:lang w:eastAsia="en-US"/>
        </w:rPr>
        <w:t xml:space="preserve">. Ačkoliv je možné spekulovat o jistých podobnostech či odlišnostech, eventuálně společné koexistenci </w:t>
      </w:r>
      <w:r w:rsidR="005774AA">
        <w:rPr>
          <w:lang w:eastAsia="en-US"/>
        </w:rPr>
        <w:t>systémového a prostorového myšlení</w:t>
      </w:r>
      <w:r w:rsidRPr="00FA65DA">
        <w:rPr>
          <w:lang w:eastAsia="en-US"/>
        </w:rPr>
        <w:t>, zastánci jednoho či druhého konceptuálního přístupu na sebe ve svých odborných publikacích vzájemně ve větší míře neodkazují. Je tedy možné, že se jedná o efekt silných epistemologicky odlišných výzkumných tradic a napětí mezi různými směry bádání, potažmo vzdělávacími přístupy.</w:t>
      </w:r>
      <w:r w:rsidR="0094401E" w:rsidRPr="0094401E">
        <w:rPr>
          <w:sz w:val="20"/>
          <w:szCs w:val="20"/>
        </w:rPr>
        <w:t xml:space="preserve"> </w:t>
      </w:r>
      <w:r w:rsidR="0094401E" w:rsidRPr="0094401E">
        <w:rPr>
          <w:lang w:eastAsia="en-US"/>
        </w:rPr>
        <w:t xml:space="preserve">Mezinárodní charta geografického vzdělávání rozlišuje tři přístupy: a) systematický – sleduje dílčí disciplíny fyzické a humánní geografie, b) problémově orientovaný – sleduje aktuální geografické problémy, c) systémový (systémově orientovaný) – sleduje přírodní systémy, sociální systémy a ekosystémy (srov. Haubrich, 1994). Příklad uvádíme pouze pro ilustraci, neboť jednotlivé přístupy postupně procházejí dílčími proměnami. Zatímco systematický přístup je v rovině kurikulárních koncepcí spíše na ústupu, problémově orientovaný přístup se proměňuje směrem k jasnější konceptualizaci, systémový přístup směřuje k postupné integraci </w:t>
      </w:r>
      <w:r w:rsidR="0094401E">
        <w:rPr>
          <w:lang w:eastAsia="en-US"/>
        </w:rPr>
        <w:t xml:space="preserve">geografie </w:t>
      </w:r>
      <w:r w:rsidR="0094401E" w:rsidRPr="0094401E">
        <w:rPr>
          <w:lang w:eastAsia="en-US"/>
        </w:rPr>
        <w:t xml:space="preserve">založené na obtížně přeložitelném konceptu </w:t>
      </w:r>
      <w:r w:rsidR="0094401E" w:rsidRPr="0094401E">
        <w:rPr>
          <w:i/>
          <w:lang w:eastAsia="en-US"/>
        </w:rPr>
        <w:t>ekosystém „člověk-země“</w:t>
      </w:r>
      <w:r w:rsidR="0094401E" w:rsidRPr="0094401E">
        <w:rPr>
          <w:lang w:eastAsia="en-US"/>
        </w:rPr>
        <w:t xml:space="preserve"> (angl. </w:t>
      </w:r>
      <w:r w:rsidR="0094401E" w:rsidRPr="0094401E">
        <w:rPr>
          <w:i/>
          <w:lang w:eastAsia="en-US"/>
        </w:rPr>
        <w:t>„Human-Earth“</w:t>
      </w:r>
      <w:r w:rsidR="0094401E">
        <w:rPr>
          <w:lang w:eastAsia="en-US"/>
        </w:rPr>
        <w:t xml:space="preserve"> </w:t>
      </w:r>
      <w:r w:rsidR="0094401E" w:rsidRPr="0094401E">
        <w:rPr>
          <w:i/>
          <w:lang w:eastAsia="en-US"/>
        </w:rPr>
        <w:t>ecosystem</w:t>
      </w:r>
      <w:r w:rsidR="0094401E">
        <w:rPr>
          <w:lang w:eastAsia="en-US"/>
        </w:rPr>
        <w:t xml:space="preserve">, </w:t>
      </w:r>
      <w:r w:rsidR="0094401E" w:rsidRPr="0094401E">
        <w:rPr>
          <w:lang w:eastAsia="en-US"/>
        </w:rPr>
        <w:t>něm</w:t>
      </w:r>
      <w:r w:rsidR="0094401E" w:rsidRPr="0094401E">
        <w:rPr>
          <w:i/>
          <w:lang w:eastAsia="en-US"/>
        </w:rPr>
        <w:t>. Ökosystem “Mensch-Erde”</w:t>
      </w:r>
      <w:r w:rsidR="0094401E" w:rsidRPr="0094401E">
        <w:rPr>
          <w:lang w:eastAsia="en-US"/>
        </w:rPr>
        <w:t>; podrobněji viz Haubrich, Reinfried, &amp; Schleicher, 2007).</w:t>
      </w:r>
    </w:p>
    <w:p w:rsidR="00F2524E" w:rsidRPr="00FA65DA" w:rsidRDefault="00F2524E" w:rsidP="00CD3FC9">
      <w:pPr>
        <w:spacing w:after="120" w:line="276" w:lineRule="auto"/>
        <w:jc w:val="both"/>
        <w:rPr>
          <w:lang w:eastAsia="en-US"/>
        </w:rPr>
      </w:pPr>
      <w:r w:rsidRPr="00FA65DA">
        <w:rPr>
          <w:lang w:eastAsia="en-US"/>
        </w:rPr>
        <w:t>Připouštíme, že geografická systémová kompetence nemusí být nutně nejlepší</w:t>
      </w:r>
      <w:r w:rsidR="000062ED">
        <w:rPr>
          <w:lang w:eastAsia="en-US"/>
        </w:rPr>
        <w:t xml:space="preserve"> cílovou kategorií geografického vzdělávání. S</w:t>
      </w:r>
      <w:r w:rsidRPr="00FA65DA">
        <w:rPr>
          <w:lang w:eastAsia="en-US"/>
        </w:rPr>
        <w:t xml:space="preserve"> touto kategorií </w:t>
      </w:r>
      <w:r w:rsidR="000062ED">
        <w:rPr>
          <w:lang w:eastAsia="en-US"/>
        </w:rPr>
        <w:t xml:space="preserve">proto </w:t>
      </w:r>
      <w:r w:rsidRPr="00FA65DA">
        <w:rPr>
          <w:lang w:eastAsia="en-US"/>
        </w:rPr>
        <w:t xml:space="preserve">operujeme </w:t>
      </w:r>
      <w:r w:rsidR="005774AA">
        <w:rPr>
          <w:lang w:eastAsia="en-US"/>
        </w:rPr>
        <w:t xml:space="preserve">ad hoc </w:t>
      </w:r>
      <w:r w:rsidRPr="00FA65DA">
        <w:rPr>
          <w:lang w:eastAsia="en-US"/>
        </w:rPr>
        <w:t>za účelem operacionalizace kompetence k řešení problémů ve výuce zeměpisu. Směrem do budoucnosti neodmítáme ani výše zmiňovaný angloamerický koncept prostorového myšlení.</w:t>
      </w:r>
      <w:r w:rsidR="000062ED">
        <w:rPr>
          <w:rStyle w:val="Znakapoznpodarou"/>
          <w:lang w:eastAsia="en-US"/>
        </w:rPr>
        <w:footnoteReference w:id="18"/>
      </w:r>
      <w:r w:rsidRPr="00FA65DA">
        <w:rPr>
          <w:lang w:eastAsia="en-US"/>
        </w:rPr>
        <w:t xml:space="preserve"> V současnosti je možné v Česku zaznamenat snahy o etablování prostoru a prostorovosti jako klíčových konceptů geografie (srov. například kriticko-syntetický esej Hynka, 2011</w:t>
      </w:r>
      <w:r w:rsidR="00317D51">
        <w:rPr>
          <w:lang w:eastAsia="en-US"/>
        </w:rPr>
        <w:t>a</w:t>
      </w:r>
      <w:r w:rsidRPr="00FA65DA">
        <w:rPr>
          <w:lang w:eastAsia="en-US"/>
        </w:rPr>
        <w:t>). Pokud přihlédneme k zahraničním zkušenostem, lze v konceptu prostoru a prostorovosti spatřovat nemalý vzdělávací potenciál (podrobněji viz Lambert &amp; Morgan, 2010, s. 68</w:t>
      </w:r>
      <w:r w:rsidR="005C4A68">
        <w:rPr>
          <w:lang w:eastAsia="en-US"/>
        </w:rPr>
        <w:t>–</w:t>
      </w:r>
      <w:r w:rsidRPr="00FA65DA">
        <w:rPr>
          <w:lang w:eastAsia="en-US"/>
        </w:rPr>
        <w:t>82). Vzhledem k</w:t>
      </w:r>
      <w:r w:rsidR="000062ED">
        <w:rPr>
          <w:lang w:eastAsia="en-US"/>
        </w:rPr>
        <w:t xml:space="preserve"> odlišnému historickému vývoji a </w:t>
      </w:r>
      <w:r w:rsidRPr="00FA65DA">
        <w:rPr>
          <w:lang w:eastAsia="en-US"/>
        </w:rPr>
        <w:t>tradicím angloamerického a českého geografického vzdělávání a je nicméně třeba mít na paměti, že (nejen čeští) učitelé jsou citliví na jakékoliv podstatnější zásahy do kurikula a mají tendenci reformní prvky ignorovat či odmítat (Beer, 2006).</w:t>
      </w:r>
      <w:r w:rsidRPr="00FA65DA">
        <w:rPr>
          <w:rStyle w:val="Znakapoznpodarou"/>
          <w:lang w:eastAsia="en-US"/>
        </w:rPr>
        <w:footnoteReference w:id="19"/>
      </w:r>
      <w:r w:rsidRPr="00FA65DA">
        <w:rPr>
          <w:lang w:eastAsia="en-US"/>
        </w:rPr>
        <w:t xml:space="preserve"> Proto zastáváme kompromisní stanovisko a připouštíme scénář, v rámci kterého je možné považovat geografickou systémovou kompetenci za můstek vedoucí k prostorovému (geografickému) myšlení jako možné budoucí cílové kate</w:t>
      </w:r>
      <w:r w:rsidR="00840B61">
        <w:rPr>
          <w:lang w:eastAsia="en-US"/>
        </w:rPr>
        <w:t>gorii geografického vzdělávání.</w:t>
      </w:r>
      <w:r w:rsidR="00845931">
        <w:rPr>
          <w:lang w:eastAsia="en-US"/>
        </w:rPr>
        <w:t xml:space="preserve"> </w:t>
      </w:r>
      <w:r w:rsidR="000376C8">
        <w:rPr>
          <w:lang w:eastAsia="en-US"/>
        </w:rPr>
        <w:t>Aktuálně lze zaznamenat v anglicky hovořící oblasti snahy o etablování c</w:t>
      </w:r>
      <w:r w:rsidR="000062ED">
        <w:rPr>
          <w:lang w:eastAsia="en-US"/>
        </w:rPr>
        <w:t>í</w:t>
      </w:r>
      <w:r w:rsidR="000376C8">
        <w:rPr>
          <w:lang w:eastAsia="en-US"/>
        </w:rPr>
        <w:t>lových kategorií geografického vzdělávání blízk</w:t>
      </w:r>
      <w:r w:rsidR="00AD299A">
        <w:rPr>
          <w:lang w:eastAsia="en-US"/>
        </w:rPr>
        <w:t>ých</w:t>
      </w:r>
      <w:r w:rsidR="000376C8">
        <w:rPr>
          <w:lang w:eastAsia="en-US"/>
        </w:rPr>
        <w:t xml:space="preserve"> ke kompetencím. </w:t>
      </w:r>
      <w:r w:rsidR="00845931">
        <w:rPr>
          <w:lang w:eastAsia="en-US"/>
        </w:rPr>
        <w:t>Lambert a Morgan (2010, s. 64</w:t>
      </w:r>
      <w:r w:rsidR="005C4A68">
        <w:rPr>
          <w:lang w:eastAsia="en-US"/>
        </w:rPr>
        <w:t>–</w:t>
      </w:r>
      <w:r w:rsidR="00845931">
        <w:rPr>
          <w:lang w:eastAsia="en-US"/>
        </w:rPr>
        <w:t>65) operují s pojmem „geo-capability“. Tento termín, jenž lze přeložit jako ge</w:t>
      </w:r>
      <w:r w:rsidR="00AD299A">
        <w:rPr>
          <w:lang w:eastAsia="en-US"/>
        </w:rPr>
        <w:t>ografická způsobilost</w:t>
      </w:r>
      <w:r w:rsidR="00AD299A">
        <w:rPr>
          <w:rStyle w:val="Znakapoznpodarou"/>
          <w:lang w:eastAsia="en-US"/>
        </w:rPr>
        <w:footnoteReference w:id="20"/>
      </w:r>
      <w:r w:rsidR="00AD299A">
        <w:rPr>
          <w:lang w:eastAsia="en-US"/>
        </w:rPr>
        <w:t xml:space="preserve">, se čím dál více začíná prosazovat </w:t>
      </w:r>
      <w:r w:rsidR="00D6381E">
        <w:rPr>
          <w:lang w:eastAsia="en-US"/>
        </w:rPr>
        <w:t>také v kontinentální Evropě.</w:t>
      </w:r>
      <w:r w:rsidR="00D6381E">
        <w:rPr>
          <w:rStyle w:val="Znakapoznpodarou"/>
          <w:lang w:eastAsia="en-US"/>
        </w:rPr>
        <w:footnoteReference w:id="21"/>
      </w:r>
      <w:r w:rsidR="00D6381E">
        <w:rPr>
          <w:lang w:eastAsia="en-US"/>
        </w:rPr>
        <w:t xml:space="preserve"> </w:t>
      </w:r>
    </w:p>
    <w:p w:rsidR="005A0D0B" w:rsidRDefault="005A0D0B" w:rsidP="00CD3FC9">
      <w:pPr>
        <w:spacing w:after="120" w:line="276" w:lineRule="auto"/>
        <w:jc w:val="both"/>
        <w:rPr>
          <w:lang w:eastAsia="en-US"/>
        </w:rPr>
      </w:pPr>
    </w:p>
    <w:p w:rsidR="00213344" w:rsidRPr="00A74542" w:rsidRDefault="0023696F" w:rsidP="00A74542">
      <w:pPr>
        <w:pStyle w:val="Nadpis4"/>
        <w:numPr>
          <w:ilvl w:val="0"/>
          <w:numId w:val="0"/>
        </w:numPr>
        <w:rPr>
          <w:i w:val="0"/>
          <w:lang w:eastAsia="en-US"/>
        </w:rPr>
      </w:pPr>
      <w:r w:rsidRPr="00A74542">
        <w:rPr>
          <w:i w:val="0"/>
          <w:lang w:eastAsia="en-US"/>
        </w:rPr>
        <w:t>G</w:t>
      </w:r>
      <w:r w:rsidR="00AA4F6B" w:rsidRPr="00A74542">
        <w:rPr>
          <w:i w:val="0"/>
          <w:lang w:eastAsia="en-US"/>
        </w:rPr>
        <w:t>eografick</w:t>
      </w:r>
      <w:r w:rsidRPr="00A74542">
        <w:rPr>
          <w:i w:val="0"/>
          <w:lang w:eastAsia="en-US"/>
        </w:rPr>
        <w:t>á</w:t>
      </w:r>
      <w:r w:rsidR="00AA4F6B" w:rsidRPr="00A74542">
        <w:rPr>
          <w:i w:val="0"/>
          <w:lang w:eastAsia="en-US"/>
        </w:rPr>
        <w:t xml:space="preserve"> systémov</w:t>
      </w:r>
      <w:r w:rsidRPr="00A74542">
        <w:rPr>
          <w:i w:val="0"/>
          <w:lang w:eastAsia="en-US"/>
        </w:rPr>
        <w:t>á</w:t>
      </w:r>
      <w:r w:rsidR="00AA4F6B" w:rsidRPr="00A74542">
        <w:rPr>
          <w:i w:val="0"/>
          <w:lang w:eastAsia="en-US"/>
        </w:rPr>
        <w:t xml:space="preserve"> </w:t>
      </w:r>
      <w:r w:rsidRPr="00A74542">
        <w:rPr>
          <w:i w:val="0"/>
          <w:lang w:eastAsia="en-US"/>
        </w:rPr>
        <w:t>kompetence jako cíl geografického vzdělávání</w:t>
      </w:r>
    </w:p>
    <w:p w:rsidR="00DE7256" w:rsidRDefault="001D48B2" w:rsidP="00CD3FC9">
      <w:pPr>
        <w:spacing w:after="120" w:line="276" w:lineRule="auto"/>
        <w:jc w:val="both"/>
      </w:pPr>
      <w:r w:rsidRPr="00AA4F6B">
        <w:t>Německá geografi</w:t>
      </w:r>
      <w:r w:rsidR="00BD0266" w:rsidRPr="00AA4F6B">
        <w:t xml:space="preserve">cká společnost vyvinula </w:t>
      </w:r>
      <w:r w:rsidRPr="00AA4F6B">
        <w:t>teoretický model geografick</w:t>
      </w:r>
      <w:r w:rsidR="002A1AE2" w:rsidRPr="00AA4F6B">
        <w:t>ých</w:t>
      </w:r>
      <w:r w:rsidRPr="00AA4F6B">
        <w:t xml:space="preserve"> kompetenc</w:t>
      </w:r>
      <w:r w:rsidR="002A1AE2" w:rsidRPr="00AA4F6B">
        <w:t>í</w:t>
      </w:r>
      <w:r w:rsidRPr="00AA4F6B">
        <w:t>, který byl východiskem pro tvorbu geografických vzdělávacích standardů</w:t>
      </w:r>
      <w:r w:rsidR="00BD0266" w:rsidRPr="00AA4F6B">
        <w:t xml:space="preserve"> doplněných o vzorové učební úlohy </w:t>
      </w:r>
      <w:r w:rsidRPr="00AA4F6B">
        <w:t>(DGfG, 2012).</w:t>
      </w:r>
      <w:r w:rsidR="004A17A5" w:rsidRPr="00AA4F6B">
        <w:rPr>
          <w:rStyle w:val="Znakapoznpodarou"/>
        </w:rPr>
        <w:footnoteReference w:id="22"/>
      </w:r>
      <w:r w:rsidRPr="00AA4F6B">
        <w:t xml:space="preserve"> </w:t>
      </w:r>
      <w:r w:rsidR="00CD3FC9">
        <w:t>V doméně geografických znalostí m</w:t>
      </w:r>
      <w:r w:rsidR="002D184D" w:rsidRPr="00AA4F6B">
        <w:t>odel vychází z předp</w:t>
      </w:r>
      <w:r w:rsidR="005774AA">
        <w:t>o</w:t>
      </w:r>
      <w:r w:rsidR="002D184D" w:rsidRPr="00AA4F6B">
        <w:t>kladu, že geografie je „systémová vědecká disciplína, jejímž klíčovým konceptem</w:t>
      </w:r>
      <w:r w:rsidR="00CD3FC9">
        <w:t xml:space="preserve"> je </w:t>
      </w:r>
      <w:r w:rsidR="002D184D" w:rsidRPr="00AA4F6B">
        <w:t>geosystém“</w:t>
      </w:r>
      <w:r w:rsidR="004A17A5" w:rsidRPr="004A17A5">
        <w:t xml:space="preserve"> </w:t>
      </w:r>
      <w:r w:rsidR="004A17A5" w:rsidRPr="00AA4F6B">
        <w:t>(</w:t>
      </w:r>
      <w:r w:rsidR="004A17A5">
        <w:t>tamtéž</w:t>
      </w:r>
      <w:r w:rsidR="004A17A5" w:rsidRPr="00AA4F6B">
        <w:t>, s. 10)</w:t>
      </w:r>
      <w:r w:rsidR="002D184D" w:rsidRPr="00AA4F6B">
        <w:t xml:space="preserve">. </w:t>
      </w:r>
      <w:r w:rsidR="00AB65B5" w:rsidRPr="00FA65DA">
        <w:t>Geo</w:t>
      </w:r>
      <w:r w:rsidR="00AC637F">
        <w:t>systémy v sobě zahrnují fyzicko</w:t>
      </w:r>
      <w:r w:rsidR="00AB65B5" w:rsidRPr="00FA65DA">
        <w:t xml:space="preserve">geografické </w:t>
      </w:r>
      <w:r w:rsidR="00CF29D5">
        <w:t>nebo</w:t>
      </w:r>
      <w:r w:rsidR="00AB65B5" w:rsidRPr="00FA65DA">
        <w:t xml:space="preserve"> humánně geografické komponenty, případně obě </w:t>
      </w:r>
      <w:r w:rsidR="000809FB">
        <w:t>kompone</w:t>
      </w:r>
      <w:r w:rsidR="004363E8">
        <w:t>n</w:t>
      </w:r>
      <w:r w:rsidR="000809FB">
        <w:t xml:space="preserve">ty </w:t>
      </w:r>
      <w:r w:rsidR="00CF29D5">
        <w:t>dohromady</w:t>
      </w:r>
      <w:r w:rsidR="00AB65B5" w:rsidRPr="00FA65DA">
        <w:t>.</w:t>
      </w:r>
      <w:r w:rsidR="009762B3" w:rsidRPr="00FA65DA">
        <w:rPr>
          <w:rStyle w:val="Znakapoznpodarou"/>
        </w:rPr>
        <w:footnoteReference w:id="23"/>
      </w:r>
      <w:r w:rsidR="00AB65B5" w:rsidRPr="00FA65DA">
        <w:t xml:space="preserve"> Prakticky všechny </w:t>
      </w:r>
      <w:r w:rsidR="00CF29D5">
        <w:t xml:space="preserve">obecnější </w:t>
      </w:r>
      <w:r w:rsidR="00AB65B5" w:rsidRPr="00FA65DA">
        <w:t xml:space="preserve">geografické </w:t>
      </w:r>
      <w:r w:rsidR="004A17A5">
        <w:t>fenomény</w:t>
      </w:r>
      <w:r w:rsidR="00AB65B5" w:rsidRPr="00FA65DA">
        <w:t xml:space="preserve"> je možné chápat jako systém (ať se jedná o vodstvo, půdy, zemědělství</w:t>
      </w:r>
      <w:r w:rsidR="009118A3">
        <w:t>, dopravu</w:t>
      </w:r>
      <w:r w:rsidR="00AB65B5" w:rsidRPr="00FA65DA">
        <w:t xml:space="preserve"> apod.). Jednotlivé složky geosystému se skládají z </w:t>
      </w:r>
      <w:r w:rsidR="009118A3">
        <w:t>prvků</w:t>
      </w:r>
      <w:r w:rsidR="00AB65B5" w:rsidRPr="00FA65DA">
        <w:t>, které se vzájemně ovlivňují</w:t>
      </w:r>
      <w:r w:rsidR="00CF29D5">
        <w:t xml:space="preserve">, neboť </w:t>
      </w:r>
      <w:r w:rsidR="009118A3">
        <w:t>jsou součástí</w:t>
      </w:r>
      <w:r w:rsidR="00CF29D5">
        <w:t xml:space="preserve"> </w:t>
      </w:r>
      <w:r w:rsidR="009118A3">
        <w:t>procesů</w:t>
      </w:r>
      <w:r w:rsidR="00AB65B5" w:rsidRPr="00FA65DA">
        <w:t xml:space="preserve">, </w:t>
      </w:r>
      <w:r w:rsidR="009118A3">
        <w:t>pro něž jsou charakteristická</w:t>
      </w:r>
      <w:r w:rsidR="00AB65B5" w:rsidRPr="00FA65DA">
        <w:t xml:space="preserve"> vzájemná </w:t>
      </w:r>
      <w:r w:rsidR="00956FC2" w:rsidRPr="00FA65DA">
        <w:t xml:space="preserve">a vícevrstevnatá </w:t>
      </w:r>
      <w:r w:rsidR="00F17C10">
        <w:t xml:space="preserve">strukturní propojení. </w:t>
      </w:r>
      <w:r w:rsidR="00BD0266" w:rsidRPr="00F17C10">
        <w:t>Klíčovým konceptem</w:t>
      </w:r>
      <w:r w:rsidR="00961790" w:rsidRPr="00F17C10">
        <w:t xml:space="preserve"> takto nomoteticky chápaného</w:t>
      </w:r>
      <w:r w:rsidR="00BD0266" w:rsidRPr="00F17C10">
        <w:t xml:space="preserve"> geografického vzdělávání je dle DG</w:t>
      </w:r>
      <w:r w:rsidR="004A17A5">
        <w:t>f</w:t>
      </w:r>
      <w:r w:rsidR="00BD0266" w:rsidRPr="00F17C10">
        <w:t xml:space="preserve">G (2012) </w:t>
      </w:r>
      <w:r w:rsidR="00CA428B">
        <w:t xml:space="preserve">geografická </w:t>
      </w:r>
      <w:r w:rsidR="00BD0266" w:rsidRPr="00F17C10">
        <w:t>systémová kompetence.</w:t>
      </w:r>
      <w:r w:rsidR="00CA428B">
        <w:rPr>
          <w:rStyle w:val="Znakapoznpodarou"/>
        </w:rPr>
        <w:footnoteReference w:id="24"/>
      </w:r>
      <w:r w:rsidR="00BD0266" w:rsidRPr="00F17C10">
        <w:t xml:space="preserve"> </w:t>
      </w:r>
      <w:r w:rsidR="009C385A">
        <w:t>Geografická s</w:t>
      </w:r>
      <w:r w:rsidR="00BD0266" w:rsidRPr="00F17C10">
        <w:t xml:space="preserve">ystémová kompetence pojímá </w:t>
      </w:r>
      <w:r w:rsidR="00570291" w:rsidRPr="00F17C10">
        <w:t>Z</w:t>
      </w:r>
      <w:r w:rsidR="00BD0266" w:rsidRPr="00F17C10">
        <w:t xml:space="preserve">emi jako systém interakce člověka a prostředí nahlížený z prostorové perspektivy. </w:t>
      </w:r>
      <w:r w:rsidR="00DB6BD1">
        <w:t>Klíčovou součástí</w:t>
      </w:r>
      <w:r w:rsidR="00BD0266" w:rsidRPr="00FA65DA">
        <w:t xml:space="preserve"> systémové kompetence jsou interakce mezi </w:t>
      </w:r>
      <w:r w:rsidR="004363E8">
        <w:t>humánně geografickými a fyzicko</w:t>
      </w:r>
      <w:r w:rsidR="00BD0266" w:rsidRPr="00FA65DA">
        <w:t>geografickými (</w:t>
      </w:r>
      <w:r w:rsidR="001A61CC" w:rsidRPr="00FA65DA">
        <w:t xml:space="preserve">sub)systémy (obr. </w:t>
      </w:r>
      <w:r w:rsidR="009960B5">
        <w:t>5</w:t>
      </w:r>
      <w:r w:rsidR="001A61CC" w:rsidRPr="00FA65DA">
        <w:t xml:space="preserve">). </w:t>
      </w:r>
    </w:p>
    <w:p w:rsidR="00855212" w:rsidRPr="00FA65DA" w:rsidRDefault="00855212" w:rsidP="00CD3FC9">
      <w:pPr>
        <w:spacing w:after="120" w:line="276" w:lineRule="auto"/>
        <w:jc w:val="both"/>
      </w:pPr>
    </w:p>
    <w:p w:rsidR="00DB6BD1" w:rsidRPr="00FA65DA" w:rsidRDefault="00855212" w:rsidP="00855212">
      <w:pPr>
        <w:spacing w:after="120" w:line="276" w:lineRule="auto"/>
        <w:jc w:val="center"/>
      </w:pPr>
      <w:r>
        <w:rPr>
          <w:noProof/>
        </w:rPr>
        <w:drawing>
          <wp:inline distT="0" distB="0" distL="0" distR="0">
            <wp:extent cx="4096520" cy="3429007"/>
            <wp:effectExtent l="19050" t="0" r="0" b="0"/>
            <wp:docPr id="17" name="Obrázek 16" descr="Obrázek 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04.png"/>
                    <pic:cNvPicPr/>
                  </pic:nvPicPr>
                  <pic:blipFill>
                    <a:blip r:embed="rId16" cstate="print"/>
                    <a:stretch>
                      <a:fillRect/>
                    </a:stretch>
                  </pic:blipFill>
                  <pic:spPr>
                    <a:xfrm>
                      <a:off x="0" y="0"/>
                      <a:ext cx="4096520" cy="3429007"/>
                    </a:xfrm>
                    <a:prstGeom prst="rect">
                      <a:avLst/>
                    </a:prstGeom>
                  </pic:spPr>
                </pic:pic>
              </a:graphicData>
            </a:graphic>
          </wp:inline>
        </w:drawing>
      </w:r>
    </w:p>
    <w:p w:rsidR="00DB6BD1" w:rsidRPr="0060360F" w:rsidRDefault="0060360F" w:rsidP="0060360F">
      <w:pPr>
        <w:pStyle w:val="Titulek"/>
        <w:rPr>
          <w:b w:val="0"/>
          <w:bCs w:val="0"/>
          <w:sz w:val="24"/>
        </w:rPr>
      </w:pPr>
      <w:bookmarkStart w:id="25" w:name="_Toc399789143"/>
      <w:r w:rsidRPr="0060360F">
        <w:rPr>
          <w:b w:val="0"/>
          <w:i/>
          <w:sz w:val="24"/>
        </w:rPr>
        <w:t xml:space="preserve">Obrázek </w:t>
      </w:r>
      <w:r w:rsidR="003818A1" w:rsidRPr="0060360F">
        <w:rPr>
          <w:b w:val="0"/>
          <w:i/>
          <w:sz w:val="24"/>
        </w:rPr>
        <w:fldChar w:fldCharType="begin"/>
      </w:r>
      <w:r w:rsidRPr="0060360F">
        <w:rPr>
          <w:b w:val="0"/>
          <w:i/>
          <w:sz w:val="24"/>
        </w:rPr>
        <w:instrText xml:space="preserve"> SEQ Obrázek \* ARABIC </w:instrText>
      </w:r>
      <w:r w:rsidR="003818A1" w:rsidRPr="0060360F">
        <w:rPr>
          <w:b w:val="0"/>
          <w:i/>
          <w:sz w:val="24"/>
        </w:rPr>
        <w:fldChar w:fldCharType="separate"/>
      </w:r>
      <w:r w:rsidR="00FB20B9">
        <w:rPr>
          <w:b w:val="0"/>
          <w:i/>
          <w:noProof/>
          <w:sz w:val="24"/>
        </w:rPr>
        <w:t>5</w:t>
      </w:r>
      <w:r w:rsidR="003818A1" w:rsidRPr="0060360F">
        <w:rPr>
          <w:b w:val="0"/>
          <w:i/>
          <w:sz w:val="24"/>
        </w:rPr>
        <w:fldChar w:fldCharType="end"/>
      </w:r>
      <w:r w:rsidRPr="0060360F">
        <w:rPr>
          <w:b w:val="0"/>
          <w:bCs w:val="0"/>
          <w:i/>
          <w:sz w:val="24"/>
        </w:rPr>
        <w:t>.</w:t>
      </w:r>
      <w:r w:rsidRPr="0060360F">
        <w:rPr>
          <w:b w:val="0"/>
          <w:bCs w:val="0"/>
          <w:sz w:val="24"/>
        </w:rPr>
        <w:t xml:space="preserve"> Základní koncepty analýzy prostoru v geografii.</w:t>
      </w:r>
      <w:bookmarkEnd w:id="25"/>
    </w:p>
    <w:p w:rsidR="00A07547" w:rsidRPr="00FA65DA" w:rsidRDefault="0060360F" w:rsidP="00CD3FC9">
      <w:pPr>
        <w:spacing w:after="120" w:line="276" w:lineRule="auto"/>
        <w:jc w:val="both"/>
        <w:rPr>
          <w:bCs/>
        </w:rPr>
      </w:pPr>
      <w:r>
        <w:rPr>
          <w:sz w:val="20"/>
        </w:rPr>
        <w:t xml:space="preserve">Zdroj: </w:t>
      </w:r>
      <w:r w:rsidRPr="0060360F">
        <w:rPr>
          <w:bCs/>
          <w:sz w:val="20"/>
        </w:rPr>
        <w:t>DGFG</w:t>
      </w:r>
      <w:r>
        <w:rPr>
          <w:bCs/>
          <w:sz w:val="20"/>
        </w:rPr>
        <w:t xml:space="preserve"> (</w:t>
      </w:r>
      <w:r w:rsidRPr="0060360F">
        <w:rPr>
          <w:bCs/>
          <w:sz w:val="20"/>
        </w:rPr>
        <w:t>2012, s. 11</w:t>
      </w:r>
      <w:r>
        <w:rPr>
          <w:bCs/>
          <w:sz w:val="20"/>
        </w:rPr>
        <w:t xml:space="preserve">). </w:t>
      </w:r>
      <w:r>
        <w:rPr>
          <w:sz w:val="20"/>
        </w:rPr>
        <w:t>O</w:t>
      </w:r>
      <w:r w:rsidRPr="00A03431">
        <w:rPr>
          <w:sz w:val="20"/>
        </w:rPr>
        <w:t xml:space="preserve">brázek je publikován se souhlasem </w:t>
      </w:r>
      <w:r>
        <w:rPr>
          <w:sz w:val="20"/>
        </w:rPr>
        <w:t>majitele</w:t>
      </w:r>
      <w:r w:rsidRPr="00A03431">
        <w:rPr>
          <w:sz w:val="20"/>
        </w:rPr>
        <w:t xml:space="preserve"> autorských práv.</w:t>
      </w:r>
      <w:r>
        <w:rPr>
          <w:sz w:val="20"/>
        </w:rPr>
        <w:t xml:space="preserve"> </w:t>
      </w:r>
      <w:r w:rsidR="00A07547" w:rsidRPr="00A03431">
        <w:rPr>
          <w:sz w:val="20"/>
        </w:rPr>
        <w:t xml:space="preserve">© </w:t>
      </w:r>
      <w:r w:rsidR="00A07547">
        <w:rPr>
          <w:sz w:val="20"/>
        </w:rPr>
        <w:t>Deutsche Gesel</w:t>
      </w:r>
      <w:r w:rsidR="00DD7727">
        <w:rPr>
          <w:sz w:val="20"/>
        </w:rPr>
        <w:t>l</w:t>
      </w:r>
      <w:r>
        <w:rPr>
          <w:sz w:val="20"/>
        </w:rPr>
        <w:t>schaft für Geographie</w:t>
      </w:r>
      <w:r w:rsidR="00A07547">
        <w:rPr>
          <w:sz w:val="20"/>
        </w:rPr>
        <w:t xml:space="preserve"> </w:t>
      </w:r>
      <w:r>
        <w:rPr>
          <w:sz w:val="20"/>
        </w:rPr>
        <w:t>(</w:t>
      </w:r>
      <w:r w:rsidR="00A07547">
        <w:rPr>
          <w:sz w:val="20"/>
        </w:rPr>
        <w:t>2012</w:t>
      </w:r>
      <w:r>
        <w:rPr>
          <w:sz w:val="20"/>
        </w:rPr>
        <w:t>)</w:t>
      </w:r>
      <w:r w:rsidR="00A07547">
        <w:rPr>
          <w:sz w:val="20"/>
        </w:rPr>
        <w:t xml:space="preserve">. </w:t>
      </w:r>
    </w:p>
    <w:p w:rsidR="00DE7256" w:rsidRDefault="00DE7256" w:rsidP="00CD3FC9">
      <w:pPr>
        <w:spacing w:after="120" w:line="276" w:lineRule="auto"/>
        <w:jc w:val="both"/>
      </w:pPr>
    </w:p>
    <w:p w:rsidR="00703DA8" w:rsidRPr="00FA65DA" w:rsidRDefault="00703DA8" w:rsidP="00CD3FC9">
      <w:pPr>
        <w:spacing w:after="120" w:line="276" w:lineRule="auto"/>
        <w:jc w:val="both"/>
      </w:pPr>
      <w:r>
        <w:rPr>
          <w:lang w:eastAsia="en-US"/>
        </w:rPr>
        <w:t>Z</w:t>
      </w:r>
      <w:r w:rsidR="009960B5">
        <w:rPr>
          <w:lang w:eastAsia="en-US"/>
        </w:rPr>
        <w:t> </w:t>
      </w:r>
      <w:r>
        <w:rPr>
          <w:lang w:eastAsia="en-US"/>
        </w:rPr>
        <w:t>obrázku</w:t>
      </w:r>
      <w:r w:rsidR="009960B5">
        <w:rPr>
          <w:lang w:eastAsia="en-US"/>
        </w:rPr>
        <w:t xml:space="preserve"> 5</w:t>
      </w:r>
      <w:r>
        <w:rPr>
          <w:lang w:eastAsia="en-US"/>
        </w:rPr>
        <w:t xml:space="preserve"> vyplývá, že dva</w:t>
      </w:r>
      <w:r w:rsidRPr="00FA65DA">
        <w:rPr>
          <w:lang w:eastAsia="en-US"/>
        </w:rPr>
        <w:t xml:space="preserve"> hlavní geografické</w:t>
      </w:r>
      <w:r w:rsidR="00C7612C">
        <w:rPr>
          <w:lang w:eastAsia="en-US"/>
        </w:rPr>
        <w:t xml:space="preserve"> subsystémy, fyzický a humánní</w:t>
      </w:r>
      <w:r w:rsidRPr="00FA65DA">
        <w:rPr>
          <w:lang w:eastAsia="en-US"/>
        </w:rPr>
        <w:t>, lze dále analyzovat v systémových složkách (struktura, funkce a procesy) a v odlišných měřítkách (lokální až globální).</w:t>
      </w:r>
      <w:r w:rsidRPr="00FA65DA">
        <w:rPr>
          <w:b/>
          <w:lang w:eastAsia="en-US"/>
        </w:rPr>
        <w:t xml:space="preserve"> </w:t>
      </w:r>
      <w:r w:rsidRPr="00FA65DA">
        <w:t>Jednotlivé prvky geografických subsystémů, jako jsou reliéf, podnebí, osídlení a hospodářství</w:t>
      </w:r>
      <w:r w:rsidRPr="00FA65DA">
        <w:rPr>
          <w:rStyle w:val="Znakapoznpodarou"/>
        </w:rPr>
        <w:footnoteReference w:id="25"/>
      </w:r>
      <w:r w:rsidRPr="00FA65DA">
        <w:t xml:space="preserve"> tvoří ve svém prostorovém uspořádání a rozmístění </w:t>
      </w:r>
      <w:r w:rsidRPr="00FA65DA">
        <w:rPr>
          <w:i/>
        </w:rPr>
        <w:t>strukturu</w:t>
      </w:r>
      <w:r w:rsidRPr="00FA65DA">
        <w:t xml:space="preserve"> systému. Jednotlivé prvky </w:t>
      </w:r>
      <w:r w:rsidR="001A4A35">
        <w:t xml:space="preserve">struktury </w:t>
      </w:r>
      <w:r w:rsidRPr="00FA65DA">
        <w:t xml:space="preserve">jsou vůči sobě ve vzájemném vztahu a mají </w:t>
      </w:r>
      <w:r w:rsidRPr="00FA65DA">
        <w:rPr>
          <w:i/>
        </w:rPr>
        <w:t>funkce</w:t>
      </w:r>
      <w:r w:rsidRPr="00FA65DA">
        <w:t xml:space="preserve">, které podpírají jiné prvky (např. klima vegetaci, dopravní cesty osídlení, reliéf dopravní cesty). Nejen prvky, ale také ucelené prostorové systémy mohou v roli subsystému naplňovat funkce podpírající jiné systémy (např. město – venkov). Každý jednotlivý prvek systému a systémy jako celek se mění v důsledku neustále probíhajících </w:t>
      </w:r>
      <w:r w:rsidRPr="00FA65DA">
        <w:rPr>
          <w:i/>
        </w:rPr>
        <w:t>procesů</w:t>
      </w:r>
      <w:r w:rsidRPr="00FA65DA">
        <w:t>. Tyto procesy mohou trvat různě dlouho a nabývat různých rozměrů (např. globální změna klimatu, vznik Alp, sopečné erupce v Asii, strukturální změna v Porúří aj.). (volně</w:t>
      </w:r>
      <w:r w:rsidR="00BF37DF">
        <w:t xml:space="preserve"> dle DGFG, 2012, s. 11)</w:t>
      </w:r>
    </w:p>
    <w:p w:rsidR="00072E43" w:rsidRDefault="00703DA8" w:rsidP="00CD3FC9">
      <w:pPr>
        <w:spacing w:after="120" w:line="276" w:lineRule="auto"/>
        <w:jc w:val="both"/>
      </w:pPr>
      <w:r>
        <w:t>G</w:t>
      </w:r>
      <w:r w:rsidR="005D145C">
        <w:t xml:space="preserve">eografická </w:t>
      </w:r>
      <w:r w:rsidR="00BF0B20">
        <w:t>s</w:t>
      </w:r>
      <w:r w:rsidR="00497081" w:rsidRPr="00FA65DA">
        <w:t xml:space="preserve">ystémová kompetence reprezentuje komplexitu reálného světa a interakce, které se v něm odehrávají v relativně jednoduché a strukturované podobě. </w:t>
      </w:r>
      <w:r w:rsidR="001A61CC" w:rsidRPr="00FA65DA">
        <w:t xml:space="preserve">Pro </w:t>
      </w:r>
      <w:r w:rsidR="009118A3">
        <w:t>hlubší</w:t>
      </w:r>
      <w:r w:rsidR="001A61CC" w:rsidRPr="00FA65DA">
        <w:t xml:space="preserve"> porozumění komplexitě geoprostorových otázek nestačí znalost struktury nebo souvisejících procesů</w:t>
      </w:r>
      <w:r w:rsidR="0004172C" w:rsidRPr="00FA65DA">
        <w:t xml:space="preserve"> a jejich vlastností (otevřenost, dynamika, účinnost</w:t>
      </w:r>
      <w:r w:rsidR="00DF2413" w:rsidRPr="00FA65DA">
        <w:t>, lineárnost/ne-</w:t>
      </w:r>
      <w:r w:rsidR="004363E8" w:rsidRPr="00FA65DA">
        <w:t>lineárnost</w:t>
      </w:r>
      <w:r w:rsidR="00DF2413" w:rsidRPr="00FA65DA">
        <w:t xml:space="preserve">, </w:t>
      </w:r>
      <w:r w:rsidR="009556EA" w:rsidRPr="00FA65DA">
        <w:t xml:space="preserve">emergence </w:t>
      </w:r>
      <w:r w:rsidR="00DF2413" w:rsidRPr="00FA65DA">
        <w:t>aj.)</w:t>
      </w:r>
      <w:r w:rsidR="00A710C5">
        <w:t>.</w:t>
      </w:r>
      <w:r w:rsidR="001A61CC" w:rsidRPr="00FA65DA">
        <w:t xml:space="preserve"> Je to proto, že v geografickém prostoru různých velikostí a měřítek se odehrává mnoho interakcí, které </w:t>
      </w:r>
      <w:r w:rsidR="004363E8" w:rsidRPr="00FA65DA">
        <w:t>nejsou</w:t>
      </w:r>
      <w:r w:rsidR="001A61CC" w:rsidRPr="00FA65DA">
        <w:t xml:space="preserve"> lineární nebo jednodimenzionální, ale jsou multilaterální a proměnlivé, regenerativní. </w:t>
      </w:r>
      <w:r w:rsidR="00956FC2" w:rsidRPr="00FA65DA">
        <w:t xml:space="preserve">To vytváří platformu pro </w:t>
      </w:r>
      <w:r w:rsidR="00C56420">
        <w:t>utváření</w:t>
      </w:r>
      <w:r w:rsidR="00956FC2" w:rsidRPr="00FA65DA">
        <w:t xml:space="preserve"> didaktických situací, ve kterých je možné zohlednit multiperspektivní a multikauzální charakter geografických vzdělávacích obsahů.</w:t>
      </w:r>
      <w:r w:rsidR="00E71BE6" w:rsidRPr="00FA65DA">
        <w:t xml:space="preserve"> Na jejich základě je možné </w:t>
      </w:r>
      <w:r w:rsidR="004363E8" w:rsidRPr="00FA65DA">
        <w:t>konstruovat</w:t>
      </w:r>
      <w:r w:rsidR="00E71BE6" w:rsidRPr="00FA65DA">
        <w:t xml:space="preserve"> problémové učební úlohy, k jejichž řešení je nezbytné, aby žáci prokázali schopnost systémového myšlení a vyrovnali se s komplexitou a na </w:t>
      </w:r>
      <w:r w:rsidR="001A4A35">
        <w:t>tomto</w:t>
      </w:r>
      <w:r w:rsidR="00E71BE6" w:rsidRPr="00FA65DA">
        <w:t xml:space="preserve"> základě činili rozhodnutí</w:t>
      </w:r>
      <w:r w:rsidR="00D83247" w:rsidRPr="00FA65DA">
        <w:t xml:space="preserve"> (s patřičným přesahem do každodenního jednání)</w:t>
      </w:r>
      <w:r w:rsidR="00E71BE6" w:rsidRPr="00FA65DA">
        <w:t xml:space="preserve">. </w:t>
      </w:r>
      <w:r w:rsidR="00BF0B20" w:rsidRPr="00FA65DA">
        <w:t xml:space="preserve">Cílem geografického vzdělávání v uvedeném pojetí je porozumět prostorové komplexitě geografických </w:t>
      </w:r>
      <w:r w:rsidR="009118A3">
        <w:t>fenoménů</w:t>
      </w:r>
      <w:r w:rsidR="00BF0B20" w:rsidRPr="00FA65DA">
        <w:t xml:space="preserve"> a zabránit tomu, aby zásahy člověka do komplexních prostorových systémů nepřinášely nepředvídatelné nebo nežádoucí vedlejší účinky (srov. Rempfler &amp; Uphues, 2011, s. 36).</w:t>
      </w:r>
    </w:p>
    <w:p w:rsidR="001C6F33" w:rsidRDefault="001C6F33" w:rsidP="00CD3FC9">
      <w:pPr>
        <w:spacing w:after="120" w:line="276" w:lineRule="auto"/>
        <w:jc w:val="both"/>
      </w:pPr>
      <w:r w:rsidRPr="001C6F33">
        <w:t>Teoretické východisko geografické systémové kompetence je možné spatřovat především v systémových teoriích. Von Bertalanffy (1950; 1968, s. 98</w:t>
      </w:r>
      <w:r>
        <w:t>–</w:t>
      </w:r>
      <w:r w:rsidRPr="001C6F33">
        <w:t xml:space="preserve">104; částečně také česky 1972) definuje systém jako soubor elementů, které vůči sobě mají nějaký vztah. Jakmile tento vztah probíhá podle určitých pravidel, je možné o systému hovořit jako o funkční jednotce. Bertalanffy dále připomíná, že živé organismy jsou otevřené systémy, jež si se svým okolím vyměňují látky a energii a nedají se tedy popsat běžnými fyzikálními systémovými modely. Bertalanffyho teorie systémů tak i dnes slouží jako můstek spojující bádání v různých disciplínách. Bertalanffyho tezi o specifickém chování společenských systémů rozpracoval ve své systémové teorii Luhmann (1984), který upozornil na klíčovou roli komunikace. Komunikace je ve své podstatě nezávislá na působení fyzikálních elementů a vztah mezi přírodním prostředím a lidskou společností je tak do jisté míry závislý na strukturálním propojení s lidským vědomím. Komunikace jako </w:t>
      </w:r>
      <w:r>
        <w:t xml:space="preserve">klíčový </w:t>
      </w:r>
      <w:r w:rsidRPr="001C6F33">
        <w:t>konstitutivní element společenských sociálních systémů je obtížně vztažitelná k fyzikálním strukturám a procesům, jež konstituují fyzikální systémy (podrobněji viz Egner &amp; Ratter, 2008).</w:t>
      </w:r>
      <w:r>
        <w:t xml:space="preserve"> </w:t>
      </w:r>
      <w:r w:rsidRPr="00EC6EC8">
        <w:t>Systémový přístup a systémovou teorii jako klíčové integrující a syntetizující metodologické koncepty geografie rozpracovali Stoddart (1967), Haggett (1972/</w:t>
      </w:r>
      <w:r w:rsidR="00A911FB">
        <w:t xml:space="preserve">cit. </w:t>
      </w:r>
      <w:r w:rsidRPr="00EC6EC8">
        <w:t>1979, s. 13</w:t>
      </w:r>
      <w:r>
        <w:t>–</w:t>
      </w:r>
      <w:r w:rsidRPr="00EC6EC8">
        <w:t>16) a další.</w:t>
      </w:r>
    </w:p>
    <w:p w:rsidR="00187749" w:rsidRPr="00FA65DA" w:rsidRDefault="00187749" w:rsidP="00CD3FC9">
      <w:pPr>
        <w:spacing w:after="120" w:line="276" w:lineRule="auto"/>
        <w:jc w:val="both"/>
        <w:rPr>
          <w:lang w:eastAsia="en-US"/>
        </w:rPr>
      </w:pPr>
      <w:r>
        <w:rPr>
          <w:lang w:eastAsia="en-US"/>
        </w:rPr>
        <w:t>V</w:t>
      </w:r>
      <w:r w:rsidRPr="00FA65DA">
        <w:rPr>
          <w:lang w:eastAsia="en-US"/>
        </w:rPr>
        <w:t xml:space="preserve"> geografickém vzdělávání v Česku není systémov</w:t>
      </w:r>
      <w:r>
        <w:rPr>
          <w:lang w:eastAsia="en-US"/>
        </w:rPr>
        <w:t>ý přístup novým prvkem – podrobněji byl</w:t>
      </w:r>
      <w:r w:rsidRPr="00FA65DA">
        <w:rPr>
          <w:lang w:eastAsia="en-US"/>
        </w:rPr>
        <w:t xml:space="preserve"> v minulost</w:t>
      </w:r>
      <w:r>
        <w:rPr>
          <w:lang w:eastAsia="en-US"/>
        </w:rPr>
        <w:t>i rozpracován např. J. Demkem,</w:t>
      </w:r>
      <w:r w:rsidRPr="00FA65DA">
        <w:t xml:space="preserve"> je</w:t>
      </w:r>
      <w:r>
        <w:t>n</w:t>
      </w:r>
      <w:r w:rsidRPr="00FA65DA">
        <w:t xml:space="preserve">ž se </w:t>
      </w:r>
      <w:r>
        <w:t xml:space="preserve">primárně </w:t>
      </w:r>
      <w:r w:rsidRPr="00FA65DA">
        <w:t>zabýva</w:t>
      </w:r>
      <w:r>
        <w:t>l</w:t>
      </w:r>
      <w:r w:rsidRPr="00FA65DA">
        <w:t xml:space="preserve"> aplikací obecné teorie systémů na výzkum fyzicko-geografické sféry a na výzkum krajiny. Zásadní je především monografie </w:t>
      </w:r>
      <w:r w:rsidRPr="00FA65DA">
        <w:rPr>
          <w:i/>
        </w:rPr>
        <w:t xml:space="preserve">Systémová teorie a studium krajiny </w:t>
      </w:r>
      <w:r w:rsidRPr="00FA65DA">
        <w:t>(</w:t>
      </w:r>
      <w:r>
        <w:t xml:space="preserve">srov. Demek, </w:t>
      </w:r>
      <w:r w:rsidRPr="00FA65DA">
        <w:t xml:space="preserve">1974). Didaktické aplikace klíčových myšlenek této práce byly mimo jiné základem v mnoha ohledech inovativní, avšak nedobře implementované koncepce geografického vzdělávání zastřešené na konci 70. let 20. stol. projektem </w:t>
      </w:r>
      <w:r w:rsidRPr="00FA65DA">
        <w:rPr>
          <w:i/>
        </w:rPr>
        <w:t>Další rozvoj československé výchovně vzdělávací soustavy</w:t>
      </w:r>
      <w:r w:rsidRPr="00FA65DA">
        <w:t xml:space="preserve"> (podrobněji viz Demek, 1979, 1981). Didaktická koncepce výuky zeměpisu založená na systémovém přístupu byla utlumena spolu s politickými změnami v 90. letech 20. stol. a nebyla dosud kriticky zhodnocena ani jiným způsobem reflektována.</w:t>
      </w:r>
      <w:r w:rsidRPr="00FA65DA">
        <w:rPr>
          <w:rStyle w:val="Znakapoznpodarou"/>
        </w:rPr>
        <w:footnoteReference w:id="26"/>
      </w:r>
      <w:r w:rsidRPr="00FA65DA">
        <w:rPr>
          <w:lang w:eastAsia="en-US"/>
        </w:rPr>
        <w:t xml:space="preserve"> Její stopy je možné v českých učebnicích i ve výuce zeměpisu pozorovat dodnes. </w:t>
      </w:r>
    </w:p>
    <w:p w:rsidR="00370268" w:rsidRPr="00FA65DA" w:rsidRDefault="00370268" w:rsidP="00CD3FC9">
      <w:pPr>
        <w:spacing w:after="120" w:line="276" w:lineRule="auto"/>
        <w:jc w:val="both"/>
      </w:pPr>
      <w:r>
        <w:t>V následující podkapitole představujeme teoretický model geografické systémové kompetence</w:t>
      </w:r>
      <w:r w:rsidR="00EE3F87">
        <w:t xml:space="preserve"> aktuálně implementovaný v Německu. </w:t>
      </w:r>
      <w:r>
        <w:t xml:space="preserve">Ačkoliv </w:t>
      </w:r>
      <w:r w:rsidR="00EE3F87">
        <w:t>model představujeme jako celek včetně</w:t>
      </w:r>
      <w:r w:rsidR="00F17C10">
        <w:t xml:space="preserve"> </w:t>
      </w:r>
      <w:r w:rsidR="00EE3F87">
        <w:t xml:space="preserve">všech jeho dimenzí </w:t>
      </w:r>
      <w:r w:rsidR="00EE3F87" w:rsidRPr="00FA65DA">
        <w:t>(znalostní</w:t>
      </w:r>
      <w:r w:rsidR="004363E8">
        <w:t>,</w:t>
      </w:r>
      <w:r w:rsidR="00EE3F87" w:rsidRPr="00FA65DA">
        <w:t xml:space="preserve"> dovednostní, postojová, konativní; podrobněji viz Rempfler, 2009)</w:t>
      </w:r>
      <w:r w:rsidR="00EE3F87">
        <w:t xml:space="preserve">, </w:t>
      </w:r>
      <w:r>
        <w:t>j</w:t>
      </w:r>
      <w:r w:rsidRPr="00FA65DA">
        <w:t>ak jsme již dříve upozornili, v této práci se zabýváme pouze znalostní složkou kompetenc</w:t>
      </w:r>
      <w:r w:rsidRPr="00113A2D">
        <w:t>í.</w:t>
      </w:r>
      <w:r w:rsidR="00A911FB">
        <w:t xml:space="preserve"> </w:t>
      </w:r>
      <w:r w:rsidR="00A911FB" w:rsidRPr="00A911FB">
        <w:t>Ostatní složky kompetencí jsou velmi obtížně výzkumně uchopitelné (</w:t>
      </w:r>
      <w:r w:rsidR="00BF37DF">
        <w:t xml:space="preserve">podrobněji viz </w:t>
      </w:r>
      <w:r w:rsidR="00A911FB" w:rsidRPr="00A911FB">
        <w:t>Klieme &amp; Leutner, 2006, s. 880); holistická výzkumná operacionalizace kompetencí zpravidla vyžaduje multidisciplinární tým desítek výzkumníků a výrazně překračuje reálné ambice této práce.</w:t>
      </w:r>
    </w:p>
    <w:p w:rsidR="0023696F" w:rsidRDefault="0023696F" w:rsidP="00CD3FC9">
      <w:pPr>
        <w:spacing w:after="120" w:line="276" w:lineRule="auto"/>
        <w:jc w:val="both"/>
      </w:pPr>
    </w:p>
    <w:p w:rsidR="005525AA" w:rsidRPr="0014761C" w:rsidRDefault="005525AA" w:rsidP="00CD3FC9">
      <w:pPr>
        <w:spacing w:after="120" w:line="276" w:lineRule="auto"/>
        <w:jc w:val="both"/>
        <w:rPr>
          <w:i/>
        </w:rPr>
      </w:pPr>
      <w:r w:rsidRPr="0014761C">
        <w:rPr>
          <w:i/>
        </w:rPr>
        <w:t>Teoretický model geografické systémové kompetence</w:t>
      </w:r>
    </w:p>
    <w:p w:rsidR="000D1F33" w:rsidRDefault="001D48B2" w:rsidP="00CD3FC9">
      <w:pPr>
        <w:spacing w:after="120" w:line="276" w:lineRule="auto"/>
        <w:jc w:val="both"/>
      </w:pPr>
      <w:r w:rsidRPr="00FA65DA">
        <w:t>Model</w:t>
      </w:r>
      <w:r w:rsidR="00BF0B20">
        <w:t xml:space="preserve"> geografické systémové kompetence</w:t>
      </w:r>
      <w:r w:rsidRPr="00FA65DA">
        <w:t xml:space="preserve"> se skládá z </w:t>
      </w:r>
      <w:r w:rsidR="00BF0B20">
        <w:t>pěti</w:t>
      </w:r>
      <w:r w:rsidR="00E6497E" w:rsidRPr="00FA65DA">
        <w:t xml:space="preserve"> </w:t>
      </w:r>
      <w:r w:rsidR="002A1AE2" w:rsidRPr="00FA65DA">
        <w:t xml:space="preserve">centrálních </w:t>
      </w:r>
      <w:r w:rsidR="00E6497E" w:rsidRPr="00FA65DA">
        <w:t>geografických kompeten</w:t>
      </w:r>
      <w:r w:rsidR="000A7153" w:rsidRPr="00FA65DA">
        <w:t xml:space="preserve">cí, které je možné dále </w:t>
      </w:r>
      <w:r w:rsidR="000B40E8">
        <w:t>členit</w:t>
      </w:r>
      <w:r w:rsidR="000A7153" w:rsidRPr="00FA65DA">
        <w:t xml:space="preserve"> do dílčích okruhů a dílčích subkompetencí.</w:t>
      </w:r>
      <w:r w:rsidR="002A1AE2" w:rsidRPr="00FA65DA">
        <w:t xml:space="preserve"> </w:t>
      </w:r>
      <w:r w:rsidR="00497081" w:rsidRPr="00FA65DA">
        <w:t xml:space="preserve">Z didaktického hlediska model umožňuje izolaci dílčích systémových komponent, resp. částí geografické reality za účelem </w:t>
      </w:r>
      <w:r w:rsidR="0023696F">
        <w:t xml:space="preserve">jejich </w:t>
      </w:r>
      <w:r w:rsidR="00497081" w:rsidRPr="00FA65DA">
        <w:t xml:space="preserve">hlubšího studia a zároveň </w:t>
      </w:r>
      <w:r w:rsidR="008D612F" w:rsidRPr="00FA65DA">
        <w:t xml:space="preserve">současně </w:t>
      </w:r>
      <w:r w:rsidR="00497081" w:rsidRPr="00FA65DA">
        <w:t xml:space="preserve">umožňuje </w:t>
      </w:r>
      <w:r w:rsidR="008D612F" w:rsidRPr="00FA65DA">
        <w:t>neztrácet ze zřetele vnímání světa</w:t>
      </w:r>
      <w:r w:rsidR="00497081" w:rsidRPr="00FA65DA">
        <w:t xml:space="preserve"> jako </w:t>
      </w:r>
      <w:r w:rsidR="008D612F" w:rsidRPr="00FA65DA">
        <w:t xml:space="preserve">systému neustálých interakcí. </w:t>
      </w:r>
      <w:r w:rsidR="0023696F">
        <w:t>P</w:t>
      </w:r>
      <w:r w:rsidR="0023696F" w:rsidRPr="00FA65DA">
        <w:t xml:space="preserve">ro porozumění těmto interakcím a </w:t>
      </w:r>
      <w:r w:rsidR="0023696F">
        <w:t xml:space="preserve">případné </w:t>
      </w:r>
      <w:r w:rsidR="0023696F" w:rsidRPr="00FA65DA">
        <w:t>jejich další zkoumání</w:t>
      </w:r>
      <w:r w:rsidR="0023696F">
        <w:t xml:space="preserve"> je nezbytná p</w:t>
      </w:r>
      <w:r w:rsidR="008D612F" w:rsidRPr="00FA65DA">
        <w:t xml:space="preserve">evná </w:t>
      </w:r>
      <w:r w:rsidR="00F42B1F" w:rsidRPr="00FA65DA">
        <w:t xml:space="preserve">odborná </w:t>
      </w:r>
      <w:r w:rsidR="008D612F" w:rsidRPr="00FA65DA">
        <w:t>znalostní báze</w:t>
      </w:r>
      <w:r w:rsidR="0023696F">
        <w:t xml:space="preserve"> na úrovni konceptů a generalizací.</w:t>
      </w:r>
    </w:p>
    <w:p w:rsidR="002843C5" w:rsidRPr="00FA65DA" w:rsidRDefault="004225B9" w:rsidP="00CD3FC9">
      <w:pPr>
        <w:spacing w:after="120" w:line="276" w:lineRule="auto"/>
        <w:jc w:val="both"/>
        <w:rPr>
          <w:lang w:eastAsia="en-US"/>
        </w:rPr>
      </w:pPr>
      <w:r w:rsidRPr="00FA65DA">
        <w:rPr>
          <w:lang w:eastAsia="en-US"/>
        </w:rPr>
        <w:t>Dokument je členěný do pěti obsahově i cílově odlišně zaměřených kompetencí: oborové znalosti</w:t>
      </w:r>
      <w:r w:rsidR="0073103D" w:rsidRPr="00FA65DA">
        <w:rPr>
          <w:lang w:eastAsia="en-US"/>
        </w:rPr>
        <w:t xml:space="preserve"> (F)</w:t>
      </w:r>
      <w:r w:rsidRPr="00FA65DA">
        <w:rPr>
          <w:lang w:eastAsia="en-US"/>
        </w:rPr>
        <w:t>, prostorová orientace</w:t>
      </w:r>
      <w:r w:rsidR="0073103D" w:rsidRPr="00FA65DA">
        <w:rPr>
          <w:lang w:eastAsia="en-US"/>
        </w:rPr>
        <w:t xml:space="preserve"> (O), </w:t>
      </w:r>
      <w:r w:rsidR="00E6230E" w:rsidRPr="00FA65DA">
        <w:rPr>
          <w:lang w:eastAsia="en-US"/>
        </w:rPr>
        <w:t>získávání</w:t>
      </w:r>
      <w:r w:rsidR="0073103D" w:rsidRPr="00FA65DA">
        <w:rPr>
          <w:lang w:eastAsia="en-US"/>
        </w:rPr>
        <w:t xml:space="preserve"> </w:t>
      </w:r>
      <w:r w:rsidR="00E6230E" w:rsidRPr="00FA65DA">
        <w:rPr>
          <w:lang w:eastAsia="en-US"/>
        </w:rPr>
        <w:t>poznatků</w:t>
      </w:r>
      <w:r w:rsidR="0073103D" w:rsidRPr="00FA65DA">
        <w:rPr>
          <w:lang w:eastAsia="en-US"/>
        </w:rPr>
        <w:t>/metody (M), komunikace (K), hodnocení (B), jednání (H).</w:t>
      </w:r>
      <w:r w:rsidR="00E6230E" w:rsidRPr="00FA65DA">
        <w:rPr>
          <w:lang w:eastAsia="en-US"/>
        </w:rPr>
        <w:t xml:space="preserve"> Jednotlivé kompetence se dále člení do dílčích subkompetencí.</w:t>
      </w:r>
    </w:p>
    <w:p w:rsidR="00E6230E" w:rsidRPr="00FA65DA" w:rsidRDefault="00FF4191" w:rsidP="00CD3FC9">
      <w:pPr>
        <w:spacing w:after="120" w:line="276" w:lineRule="auto"/>
        <w:jc w:val="both"/>
        <w:rPr>
          <w:b/>
          <w:highlight w:val="green"/>
          <w:lang w:eastAsia="en-US"/>
        </w:rPr>
      </w:pPr>
      <w:r w:rsidRPr="00FA65DA">
        <w:rPr>
          <w:lang w:eastAsia="en-US"/>
        </w:rPr>
        <w:t xml:space="preserve">Jako příklad uvádíme dílčí členění kompetence zaměřené na utváření a rozvíjení oborových znalostí, která je definována jako schopnost rozumět prostorům v různých měřítkách jako fyzickogeografickým a humánněgeografickým systémům a analyzovat vzájemné vztahy mezi člověkem a prostředím (DGfG, s. 9). </w:t>
      </w:r>
      <w:r w:rsidR="003E0530" w:rsidRPr="00FA65DA">
        <w:rPr>
          <w:lang w:eastAsia="en-US"/>
        </w:rPr>
        <w:t xml:space="preserve">Kompetence je členěna do pěti subkompetencí: </w:t>
      </w:r>
    </w:p>
    <w:p w:rsidR="002843C5" w:rsidRPr="00FA65DA" w:rsidRDefault="00F24728" w:rsidP="00F24728">
      <w:pPr>
        <w:spacing w:after="120" w:line="276" w:lineRule="auto"/>
        <w:ind w:left="426"/>
        <w:rPr>
          <w:lang w:eastAsia="en-US"/>
        </w:rPr>
      </w:pPr>
      <w:r w:rsidRPr="00F24728">
        <w:rPr>
          <w:lang w:eastAsia="en-US"/>
        </w:rPr>
        <w:t>F</w:t>
      </w:r>
      <w:r>
        <w:rPr>
          <w:lang w:eastAsia="en-US"/>
        </w:rPr>
        <w:t>1</w:t>
      </w:r>
      <w:r w:rsidRPr="00F24728">
        <w:rPr>
          <w:lang w:eastAsia="en-US"/>
        </w:rPr>
        <w:t xml:space="preserve">: Schopnost </w:t>
      </w:r>
      <w:r w:rsidR="002843C5" w:rsidRPr="00FA65DA">
        <w:rPr>
          <w:lang w:eastAsia="en-US"/>
        </w:rPr>
        <w:t>charakterizovat Zemi jako planetu</w:t>
      </w:r>
      <w:r w:rsidR="001A4A35">
        <w:rPr>
          <w:lang w:eastAsia="en-US"/>
        </w:rPr>
        <w:t>.</w:t>
      </w:r>
    </w:p>
    <w:p w:rsidR="002843C5" w:rsidRPr="00FA65DA" w:rsidRDefault="00B52A2F" w:rsidP="00F24728">
      <w:pPr>
        <w:spacing w:after="120" w:line="276" w:lineRule="auto"/>
        <w:ind w:left="426"/>
        <w:rPr>
          <w:lang w:eastAsia="en-US"/>
        </w:rPr>
      </w:pPr>
      <w:r w:rsidRPr="00FA65DA">
        <w:rPr>
          <w:lang w:eastAsia="en-US"/>
        </w:rPr>
        <w:t>F2:</w:t>
      </w:r>
      <w:r w:rsidR="00F24728">
        <w:rPr>
          <w:lang w:eastAsia="en-US"/>
        </w:rPr>
        <w:t xml:space="preserve"> </w:t>
      </w:r>
      <w:r w:rsidR="002843C5" w:rsidRPr="00FA65DA">
        <w:rPr>
          <w:lang w:eastAsia="en-US"/>
        </w:rPr>
        <w:t xml:space="preserve">Schopnost porozumět </w:t>
      </w:r>
      <w:r w:rsidR="005D0EE6" w:rsidRPr="00FA65DA">
        <w:rPr>
          <w:lang w:eastAsia="en-US"/>
        </w:rPr>
        <w:t>prostor</w:t>
      </w:r>
      <w:r w:rsidR="00C3092F" w:rsidRPr="00FA65DA">
        <w:rPr>
          <w:lang w:eastAsia="en-US"/>
        </w:rPr>
        <w:t>ům</w:t>
      </w:r>
      <w:r w:rsidR="005D0EE6" w:rsidRPr="00FA65DA">
        <w:rPr>
          <w:lang w:eastAsia="en-US"/>
        </w:rPr>
        <w:t xml:space="preserve"> odlišného typu a </w:t>
      </w:r>
      <w:r w:rsidR="004C5DB4" w:rsidRPr="00FA65DA">
        <w:rPr>
          <w:lang w:eastAsia="en-US"/>
        </w:rPr>
        <w:t>velikosti</w:t>
      </w:r>
      <w:r w:rsidR="002843C5" w:rsidRPr="00FA65DA">
        <w:rPr>
          <w:lang w:eastAsia="en-US"/>
        </w:rPr>
        <w:t xml:space="preserve"> jako </w:t>
      </w:r>
      <w:r w:rsidR="001A4A35">
        <w:rPr>
          <w:lang w:eastAsia="en-US"/>
        </w:rPr>
        <w:t>fyzicko</w:t>
      </w:r>
      <w:r w:rsidR="002843C5" w:rsidRPr="00FA65DA">
        <w:rPr>
          <w:lang w:eastAsia="en-US"/>
        </w:rPr>
        <w:t>geografick</w:t>
      </w:r>
      <w:r w:rsidR="005D0EE6" w:rsidRPr="00FA65DA">
        <w:rPr>
          <w:lang w:eastAsia="en-US"/>
        </w:rPr>
        <w:t>ým</w:t>
      </w:r>
      <w:r w:rsidR="002843C5" w:rsidRPr="00FA65DA">
        <w:rPr>
          <w:lang w:eastAsia="en-US"/>
        </w:rPr>
        <w:t xml:space="preserve"> systém</w:t>
      </w:r>
      <w:r w:rsidR="005D0EE6" w:rsidRPr="00FA65DA">
        <w:rPr>
          <w:lang w:eastAsia="en-US"/>
        </w:rPr>
        <w:t>ům</w:t>
      </w:r>
      <w:r w:rsidR="001A4A35">
        <w:rPr>
          <w:lang w:eastAsia="en-US"/>
        </w:rPr>
        <w:t>.</w:t>
      </w:r>
    </w:p>
    <w:p w:rsidR="002843C5" w:rsidRPr="00FA65DA" w:rsidRDefault="00B52A2F" w:rsidP="00F24728">
      <w:pPr>
        <w:spacing w:after="120" w:line="276" w:lineRule="auto"/>
        <w:ind w:left="426"/>
        <w:rPr>
          <w:lang w:eastAsia="en-US"/>
        </w:rPr>
      </w:pPr>
      <w:r w:rsidRPr="00FA65DA">
        <w:rPr>
          <w:lang w:eastAsia="en-US"/>
        </w:rPr>
        <w:t xml:space="preserve">F3: </w:t>
      </w:r>
      <w:r w:rsidR="002843C5" w:rsidRPr="00FA65DA">
        <w:rPr>
          <w:lang w:eastAsia="en-US"/>
        </w:rPr>
        <w:t xml:space="preserve">Schopnost porozumět </w:t>
      </w:r>
      <w:r w:rsidR="005D0EE6" w:rsidRPr="00FA65DA">
        <w:rPr>
          <w:lang w:eastAsia="en-US"/>
        </w:rPr>
        <w:t xml:space="preserve">prostorům odlišného typu a </w:t>
      </w:r>
      <w:r w:rsidR="004C5DB4" w:rsidRPr="00FA65DA">
        <w:rPr>
          <w:lang w:eastAsia="en-US"/>
        </w:rPr>
        <w:t>velikosti</w:t>
      </w:r>
      <w:r w:rsidR="005D0EE6" w:rsidRPr="00FA65DA">
        <w:rPr>
          <w:lang w:eastAsia="en-US"/>
        </w:rPr>
        <w:t xml:space="preserve"> jako</w:t>
      </w:r>
      <w:r w:rsidR="002843C5" w:rsidRPr="00FA65DA">
        <w:rPr>
          <w:lang w:eastAsia="en-US"/>
        </w:rPr>
        <w:t xml:space="preserve"> humánn</w:t>
      </w:r>
      <w:r w:rsidR="001A4A35">
        <w:rPr>
          <w:lang w:eastAsia="en-US"/>
        </w:rPr>
        <w:t>ě</w:t>
      </w:r>
      <w:r w:rsidR="002843C5" w:rsidRPr="00FA65DA">
        <w:rPr>
          <w:lang w:eastAsia="en-US"/>
        </w:rPr>
        <w:t xml:space="preserve"> geografick</w:t>
      </w:r>
      <w:r w:rsidR="005D0EE6" w:rsidRPr="00FA65DA">
        <w:rPr>
          <w:lang w:eastAsia="en-US"/>
        </w:rPr>
        <w:t>ým</w:t>
      </w:r>
      <w:r w:rsidR="002843C5" w:rsidRPr="00FA65DA">
        <w:rPr>
          <w:lang w:eastAsia="en-US"/>
        </w:rPr>
        <w:t xml:space="preserve"> systém</w:t>
      </w:r>
      <w:r w:rsidR="005D0EE6" w:rsidRPr="00FA65DA">
        <w:rPr>
          <w:lang w:eastAsia="en-US"/>
        </w:rPr>
        <w:t>ům</w:t>
      </w:r>
      <w:r w:rsidR="001A4A35">
        <w:rPr>
          <w:lang w:eastAsia="en-US"/>
        </w:rPr>
        <w:t>.</w:t>
      </w:r>
    </w:p>
    <w:p w:rsidR="002843C5" w:rsidRPr="00FA65DA" w:rsidRDefault="00B52A2F" w:rsidP="00F24728">
      <w:pPr>
        <w:spacing w:after="120" w:line="276" w:lineRule="auto"/>
        <w:ind w:left="426"/>
        <w:rPr>
          <w:lang w:eastAsia="en-US"/>
        </w:rPr>
      </w:pPr>
      <w:r w:rsidRPr="00FA65DA">
        <w:rPr>
          <w:lang w:eastAsia="en-US"/>
        </w:rPr>
        <w:t xml:space="preserve">F4: </w:t>
      </w:r>
      <w:r w:rsidR="002843C5" w:rsidRPr="00FA65DA">
        <w:rPr>
          <w:lang w:eastAsia="en-US"/>
        </w:rPr>
        <w:t xml:space="preserve">Schopnost analyzovat vztahy </w:t>
      </w:r>
      <w:r w:rsidR="00C3092F" w:rsidRPr="00FA65DA">
        <w:rPr>
          <w:lang w:eastAsia="en-US"/>
        </w:rPr>
        <w:t xml:space="preserve">člověka a prostředí </w:t>
      </w:r>
      <w:r w:rsidR="002843C5" w:rsidRPr="00FA65DA">
        <w:rPr>
          <w:lang w:eastAsia="en-US"/>
        </w:rPr>
        <w:t>v</w:t>
      </w:r>
      <w:r w:rsidR="00C3092F" w:rsidRPr="00FA65DA">
        <w:rPr>
          <w:lang w:eastAsia="en-US"/>
        </w:rPr>
        <w:t> prostorech různého typu a velikost</w:t>
      </w:r>
      <w:r w:rsidR="004C5DB4" w:rsidRPr="00FA65DA">
        <w:rPr>
          <w:lang w:eastAsia="en-US"/>
        </w:rPr>
        <w:t>i</w:t>
      </w:r>
      <w:r w:rsidR="001A4A35">
        <w:rPr>
          <w:lang w:eastAsia="en-US"/>
        </w:rPr>
        <w:t>.</w:t>
      </w:r>
      <w:r w:rsidR="002843C5" w:rsidRPr="00FA65DA">
        <w:rPr>
          <w:lang w:eastAsia="en-US"/>
        </w:rPr>
        <w:t xml:space="preserve"> </w:t>
      </w:r>
    </w:p>
    <w:p w:rsidR="002843C5" w:rsidRPr="00FA65DA" w:rsidRDefault="00B52A2F" w:rsidP="00F24728">
      <w:pPr>
        <w:spacing w:after="120" w:line="276" w:lineRule="auto"/>
        <w:ind w:left="426"/>
        <w:rPr>
          <w:lang w:eastAsia="en-US"/>
        </w:rPr>
      </w:pPr>
      <w:r w:rsidRPr="00FA65DA">
        <w:rPr>
          <w:lang w:eastAsia="en-US"/>
        </w:rPr>
        <w:t xml:space="preserve">F5: </w:t>
      </w:r>
      <w:r w:rsidR="002843C5" w:rsidRPr="00FA65DA">
        <w:rPr>
          <w:lang w:eastAsia="en-US"/>
        </w:rPr>
        <w:t>Schopnost analyzovat</w:t>
      </w:r>
      <w:r w:rsidR="004C5DB4" w:rsidRPr="00FA65DA">
        <w:rPr>
          <w:lang w:eastAsia="en-US"/>
        </w:rPr>
        <w:t xml:space="preserve"> individuální prostory </w:t>
      </w:r>
      <w:r w:rsidR="002843C5" w:rsidRPr="00FA65DA">
        <w:rPr>
          <w:lang w:eastAsia="en-US"/>
        </w:rPr>
        <w:t>odlišné</w:t>
      </w:r>
      <w:r w:rsidR="004C5DB4" w:rsidRPr="00FA65DA">
        <w:rPr>
          <w:lang w:eastAsia="en-US"/>
        </w:rPr>
        <w:t>ho</w:t>
      </w:r>
      <w:r w:rsidR="002843C5" w:rsidRPr="00FA65DA">
        <w:rPr>
          <w:lang w:eastAsia="en-US"/>
        </w:rPr>
        <w:t xml:space="preserve"> typ</w:t>
      </w:r>
      <w:r w:rsidR="004C5DB4" w:rsidRPr="00FA65DA">
        <w:rPr>
          <w:lang w:eastAsia="en-US"/>
        </w:rPr>
        <w:t>u a velikosti</w:t>
      </w:r>
      <w:r w:rsidR="002843C5" w:rsidRPr="00FA65DA">
        <w:rPr>
          <w:lang w:eastAsia="en-US"/>
        </w:rPr>
        <w:t xml:space="preserve"> </w:t>
      </w:r>
      <w:r w:rsidR="004C5DB4" w:rsidRPr="00FA65DA">
        <w:rPr>
          <w:lang w:eastAsia="en-US"/>
        </w:rPr>
        <w:t>s přihlédnutím k</w:t>
      </w:r>
      <w:r w:rsidR="001A4A35">
        <w:rPr>
          <w:lang w:eastAsia="en-US"/>
        </w:rPr>
        <w:t>e specifickým</w:t>
      </w:r>
      <w:r w:rsidR="002843C5" w:rsidRPr="00FA65DA">
        <w:rPr>
          <w:lang w:eastAsia="en-US"/>
        </w:rPr>
        <w:t xml:space="preserve"> </w:t>
      </w:r>
      <w:r w:rsidRPr="00FA65DA">
        <w:rPr>
          <w:lang w:eastAsia="en-US"/>
        </w:rPr>
        <w:t>otázkám</w:t>
      </w:r>
      <w:r w:rsidR="001A4A35">
        <w:rPr>
          <w:lang w:eastAsia="en-US"/>
        </w:rPr>
        <w:t>.</w:t>
      </w:r>
      <w:r w:rsidR="00872F43" w:rsidRPr="00FA65DA">
        <w:rPr>
          <w:rStyle w:val="Znakapoznpodarou"/>
          <w:lang w:eastAsia="en-US"/>
        </w:rPr>
        <w:footnoteReference w:id="27"/>
      </w:r>
    </w:p>
    <w:p w:rsidR="005525AA" w:rsidRDefault="003E0530" w:rsidP="00CD3FC9">
      <w:pPr>
        <w:spacing w:after="120" w:line="276" w:lineRule="auto"/>
        <w:jc w:val="both"/>
        <w:rPr>
          <w:lang w:eastAsia="en-US"/>
        </w:rPr>
      </w:pPr>
      <w:r w:rsidRPr="00FA65DA">
        <w:rPr>
          <w:lang w:eastAsia="en-US"/>
        </w:rPr>
        <w:t>Geografické kompetence</w:t>
      </w:r>
      <w:r w:rsidR="002843C5" w:rsidRPr="00FA65DA">
        <w:rPr>
          <w:lang w:eastAsia="en-US"/>
        </w:rPr>
        <w:t xml:space="preserve"> se hodnotí </w:t>
      </w:r>
      <w:r w:rsidR="0013190B" w:rsidRPr="00FA65DA">
        <w:rPr>
          <w:lang w:eastAsia="en-US"/>
        </w:rPr>
        <w:t xml:space="preserve">s využitím operátorů </w:t>
      </w:r>
      <w:r w:rsidR="00DC3622" w:rsidRPr="00FA65DA">
        <w:rPr>
          <w:lang w:eastAsia="en-US"/>
        </w:rPr>
        <w:t>ve</w:t>
      </w:r>
      <w:r w:rsidR="002843C5" w:rsidRPr="00FA65DA">
        <w:rPr>
          <w:lang w:eastAsia="en-US"/>
        </w:rPr>
        <w:t xml:space="preserve"> třech výkonnostních úrovních: 1) reprodukce, 2) </w:t>
      </w:r>
      <w:r w:rsidR="00DC3622" w:rsidRPr="00FA65DA">
        <w:rPr>
          <w:lang w:eastAsia="en-US"/>
        </w:rPr>
        <w:t>reorganizace</w:t>
      </w:r>
      <w:r w:rsidR="002843C5" w:rsidRPr="00FA65DA">
        <w:rPr>
          <w:lang w:eastAsia="en-US"/>
        </w:rPr>
        <w:t xml:space="preserve"> a transfer a 3) reflexe a řešení problémů</w:t>
      </w:r>
      <w:r w:rsidR="00DC3622" w:rsidRPr="00FA65DA">
        <w:rPr>
          <w:lang w:eastAsia="en-US"/>
        </w:rPr>
        <w:t xml:space="preserve"> (DGfG, 2012, s. 31</w:t>
      </w:r>
      <w:r w:rsidR="0013190B" w:rsidRPr="00FA65DA">
        <w:rPr>
          <w:lang w:eastAsia="en-US"/>
        </w:rPr>
        <w:t>–33</w:t>
      </w:r>
      <w:r w:rsidR="00DC3622" w:rsidRPr="00FA65DA">
        <w:rPr>
          <w:lang w:eastAsia="en-US"/>
        </w:rPr>
        <w:t>)</w:t>
      </w:r>
      <w:r w:rsidRPr="00FA65DA">
        <w:rPr>
          <w:lang w:eastAsia="en-US"/>
        </w:rPr>
        <w:t>.</w:t>
      </w:r>
      <w:r w:rsidR="00850BAD">
        <w:rPr>
          <w:lang w:eastAsia="en-US"/>
        </w:rPr>
        <w:t xml:space="preserve"> </w:t>
      </w:r>
      <w:r w:rsidR="005525AA">
        <w:rPr>
          <w:lang w:eastAsia="en-US"/>
        </w:rPr>
        <w:t>Jednotlivé subkompetence je možné dále modelovat</w:t>
      </w:r>
      <w:r w:rsidR="00547D88">
        <w:rPr>
          <w:lang w:eastAsia="en-US"/>
        </w:rPr>
        <w:t xml:space="preserve">, jak na příkladu kartografické kompetence dokazují Grylová a Kanwischer </w:t>
      </w:r>
      <w:r w:rsidR="00547D88">
        <w:t>(2010, s. 195).</w:t>
      </w:r>
      <w:r w:rsidR="005525AA">
        <w:rPr>
          <w:lang w:eastAsia="en-US"/>
        </w:rPr>
        <w:t xml:space="preserve"> </w:t>
      </w:r>
    </w:p>
    <w:p w:rsidR="005525AA" w:rsidRPr="005525AA" w:rsidRDefault="005525AA" w:rsidP="00CD3FC9">
      <w:pPr>
        <w:spacing w:after="120" w:line="276" w:lineRule="auto"/>
        <w:jc w:val="both"/>
        <w:rPr>
          <w:lang w:eastAsia="en-US"/>
        </w:rPr>
      </w:pPr>
    </w:p>
    <w:p w:rsidR="009773C5" w:rsidRDefault="009773C5" w:rsidP="009773C5">
      <w:pPr>
        <w:pStyle w:val="Nadpis3"/>
      </w:pPr>
      <w:bookmarkStart w:id="26" w:name="_Toc399775391"/>
      <w:r>
        <w:t>Shrnutí</w:t>
      </w:r>
      <w:bookmarkEnd w:id="26"/>
    </w:p>
    <w:p w:rsidR="009773C5" w:rsidRPr="00E268A0" w:rsidRDefault="009773C5" w:rsidP="00E268A0">
      <w:pPr>
        <w:spacing w:after="120" w:line="276" w:lineRule="auto"/>
        <w:jc w:val="both"/>
      </w:pPr>
      <w:r w:rsidRPr="00E268A0">
        <w:t>Definic kompetencí je značné množství (Klieme et al., 2007, s. 19), většina prací v německé jazykové oblasti, ve které je v didaktice geografie koncept kompetencí rozpracován patrně nejvíce, se opírá o definici Weinerta (2001</w:t>
      </w:r>
      <w:r w:rsidR="00EE4D9E" w:rsidRPr="00E268A0">
        <w:t>a</w:t>
      </w:r>
      <w:r w:rsidRPr="00E268A0">
        <w:t>).</w:t>
      </w:r>
      <w:r w:rsidR="005478D5" w:rsidRPr="00E268A0">
        <w:t xml:space="preserve"> Ten chápe kompetence jako </w:t>
      </w:r>
      <w:r w:rsidR="005478D5" w:rsidRPr="00E268A0">
        <w:rPr>
          <w:rFonts w:ascii="CharterBT-Italic" w:hAnsi="CharterBT-Italic" w:cs="CharterBT-Italic"/>
          <w:i/>
          <w:iCs/>
        </w:rPr>
        <w:t>kontextově specifické kognitivní výkonové dispozice</w:t>
      </w:r>
      <w:r w:rsidR="005478D5" w:rsidRPr="00E268A0">
        <w:rPr>
          <w:rFonts w:ascii="CharterBT-Roman" w:hAnsi="CharterBT-Roman" w:cs="CharterBT-Roman"/>
        </w:rPr>
        <w:t xml:space="preserve">, které </w:t>
      </w:r>
      <w:r w:rsidR="005478D5" w:rsidRPr="00E268A0">
        <w:t>umožňují úspěšně a zodpovědně řešit specifické a proměnlivé problémové situace v určité doméně (srov. Weinert</w:t>
      </w:r>
      <w:r w:rsidR="00D303A7" w:rsidRPr="00E268A0">
        <w:t>,</w:t>
      </w:r>
      <w:r w:rsidR="005478D5" w:rsidRPr="00E268A0">
        <w:t xml:space="preserve"> 2001</w:t>
      </w:r>
      <w:r w:rsidR="00EE4D9E" w:rsidRPr="00E268A0">
        <w:t>a</w:t>
      </w:r>
      <w:r w:rsidR="005478D5" w:rsidRPr="00E268A0">
        <w:t>, s. 57).</w:t>
      </w:r>
      <w:r w:rsidR="00E268A0" w:rsidRPr="00E268A0">
        <w:t xml:space="preserve"> V </w:t>
      </w:r>
      <w:r w:rsidR="005533C8" w:rsidRPr="00E268A0">
        <w:t>této práci nezkoumáme kompetence k řešení problémů ve smyslu dispozic, ale zaměřujeme se na učební úlohy, resp. výukové situace (a uvnitř těchto situací na učební úlohy), se zv</w:t>
      </w:r>
      <w:r w:rsidR="00F869A3" w:rsidRPr="00E268A0">
        <w:t>láštním zřetelem k situacím, kte</w:t>
      </w:r>
      <w:r w:rsidR="005533C8" w:rsidRPr="00E268A0">
        <w:t>ré je možné vyhodnotit jako podporují</w:t>
      </w:r>
      <w:r w:rsidR="00002951" w:rsidRPr="00E268A0">
        <w:t>cí</w:t>
      </w:r>
      <w:r w:rsidR="005533C8" w:rsidRPr="00E268A0">
        <w:t xml:space="preserve"> a rozvíjející vzhledem k požadavku na utváření a rozvíjení kompetence k řešení problémů.</w:t>
      </w:r>
      <w:r w:rsidR="00E268A0" w:rsidRPr="00E268A0">
        <w:t xml:space="preserve"> </w:t>
      </w:r>
      <w:r w:rsidRPr="00E268A0">
        <w:t>V kapitole jsme exemplárně pojednali o standardech geografického vzdělávání aktuálně zaváděných v Německu a USA. Navzdory odlišnostem ve struktuře a terminologii je možné v obecné rovině konstatovat, že oba klíčové dokumenty ve svých hlavních cílových dimenzích směřují k tomu, aby žáci byli schopni využívat své geografické znalosti</w:t>
      </w:r>
      <w:r w:rsidR="00496763" w:rsidRPr="00E268A0">
        <w:t xml:space="preserve"> </w:t>
      </w:r>
      <w:r w:rsidRPr="00E268A0">
        <w:t>a dovednosti a) k informovanému a zdůvodněnému rozhodování a jednání, b)</w:t>
      </w:r>
      <w:r w:rsidR="00496763" w:rsidRPr="00E268A0">
        <w:t xml:space="preserve"> </w:t>
      </w:r>
      <w:r w:rsidRPr="00E268A0">
        <w:t xml:space="preserve">k řešení (geografických) problémů. </w:t>
      </w:r>
      <w:r w:rsidR="00F869A3" w:rsidRPr="00E268A0">
        <w:t>Jelikož je vymezení kompetence k řešení problémů v aktuálně platných kurikulárních dokumentech (např. RVP ZV, 2007</w:t>
      </w:r>
      <w:r w:rsidR="00112168" w:rsidRPr="00E268A0">
        <w:t>, s. 15</w:t>
      </w:r>
      <w:r w:rsidR="00F869A3" w:rsidRPr="00E268A0">
        <w:t xml:space="preserve">) poměrně neostré, a pro výzkum učebních úloh obtížně operacionalizovatelné, </w:t>
      </w:r>
      <w:r w:rsidR="004F1B94" w:rsidRPr="00E268A0">
        <w:t>vymezujeme</w:t>
      </w:r>
      <w:r w:rsidR="00F869A3" w:rsidRPr="00E268A0">
        <w:t xml:space="preserve"> ř</w:t>
      </w:r>
      <w:r w:rsidRPr="00E268A0">
        <w:t>ešení problémů podrobněji v následující kapitole.</w:t>
      </w:r>
    </w:p>
    <w:p w:rsidR="009773C5" w:rsidRPr="009773C5" w:rsidRDefault="009773C5" w:rsidP="009773C5"/>
    <w:p w:rsidR="004932AD" w:rsidRPr="00440277" w:rsidRDefault="0006151A" w:rsidP="003922A5">
      <w:pPr>
        <w:pStyle w:val="Nadpis2"/>
        <w:spacing w:after="120"/>
        <w:ind w:left="578" w:hanging="578"/>
      </w:pPr>
      <w:bookmarkStart w:id="27" w:name="_Toc399775392"/>
      <w:r w:rsidRPr="00440277">
        <w:t>Problém a jeho řešení</w:t>
      </w:r>
      <w:bookmarkEnd w:id="27"/>
    </w:p>
    <w:p w:rsidR="0006151A" w:rsidRPr="00440277" w:rsidRDefault="0006151A" w:rsidP="00112168">
      <w:pPr>
        <w:spacing w:line="276" w:lineRule="auto"/>
        <w:jc w:val="both"/>
      </w:pPr>
      <w:r w:rsidRPr="00440277">
        <w:t xml:space="preserve">Řešení problémů je typické pro mnoho každodenních životních situací, aniž bychom si to explicitně uvědomovali. Existují problémy, které je možné vyřešit prostřednictvím jednoduchých mentálních operací, ale zároveň se často potýkáme s problémy, </w:t>
      </w:r>
      <w:r w:rsidR="004363E8" w:rsidRPr="00440277">
        <w:t>které</w:t>
      </w:r>
      <w:r w:rsidRPr="00440277">
        <w:t xml:space="preserve"> vyžadují hluboké a intenzivní přemýšlení, neboť jsme se s nimi dosud nesetkali. Problémy je možné dělit do mnoha odlišných dimenzí, rozlišovat je na základě procesů zapojených do jejich řešení, případně je členit do jednotlivých fází. Mimo jiné o všem uvedeném pojednáme v následující kapitole. Námi poskytovaný přehled není vyčer</w:t>
      </w:r>
      <w:r w:rsidR="00966C92">
        <w:t>p</w:t>
      </w:r>
      <w:r w:rsidRPr="00440277">
        <w:t>ávající. Odkazujeme v této souvislosti na teoretické i přehledové práce, které se řešením problémů zabývají podrobněji</w:t>
      </w:r>
      <w:r w:rsidR="00850BAD">
        <w:t xml:space="preserve"> (viz níže)</w:t>
      </w:r>
      <w:r w:rsidRPr="00440277">
        <w:t>. Účel</w:t>
      </w:r>
      <w:r w:rsidR="00966C92">
        <w:t>e</w:t>
      </w:r>
      <w:r w:rsidRPr="00440277">
        <w:t xml:space="preserve">m této kapitoly není </w:t>
      </w:r>
      <w:r w:rsidR="00850BAD">
        <w:t>zmiňované</w:t>
      </w:r>
      <w:r w:rsidRPr="00440277">
        <w:t xml:space="preserve"> práce parafrázovat či syntetizovat. </w:t>
      </w:r>
      <w:r w:rsidR="006F59BB" w:rsidRPr="00440277">
        <w:t>Zároveň čtenáře upozorňujeme, že</w:t>
      </w:r>
      <w:r w:rsidRPr="00440277">
        <w:t xml:space="preserve"> poznatky</w:t>
      </w:r>
      <w:r w:rsidR="00A24CEC" w:rsidRPr="00440277">
        <w:t xml:space="preserve"> uváděné v této kapitole překračují rámec poznatků</w:t>
      </w:r>
      <w:r w:rsidRPr="00440277">
        <w:t xml:space="preserve"> relevantní</w:t>
      </w:r>
      <w:r w:rsidR="00A24CEC" w:rsidRPr="00440277">
        <w:t>ch</w:t>
      </w:r>
      <w:r w:rsidRPr="00440277">
        <w:t xml:space="preserve"> pro výzkumné šetření, jehož výsledky předkládáme v této publikaci.</w:t>
      </w:r>
      <w:r w:rsidR="00A24CEC" w:rsidRPr="00440277">
        <w:t xml:space="preserve"> Důvodem je naše ambice zaplnit mezeru, která v české pedagogice a psychologii vznikla po roce 1992, kdy byla publikována vlivná a doposud v mnoha ohledech nepřekonaná Kuličova práce </w:t>
      </w:r>
      <w:r w:rsidR="008C6E2A" w:rsidRPr="00850BAD">
        <w:rPr>
          <w:i/>
        </w:rPr>
        <w:t xml:space="preserve">Psychologie řízeného učení </w:t>
      </w:r>
      <w:r w:rsidR="008C6E2A" w:rsidRPr="00850BAD">
        <w:t>(</w:t>
      </w:r>
      <w:r w:rsidR="008C6E2A" w:rsidRPr="00440277">
        <w:t>Kulič, 1992). Od této doby, navzdory bohaté tradici, u nás</w:t>
      </w:r>
      <w:r w:rsidR="00EF5DB2" w:rsidRPr="00440277">
        <w:t xml:space="preserve"> až na výjimky</w:t>
      </w:r>
      <w:r w:rsidR="008C6E2A" w:rsidRPr="00440277">
        <w:t xml:space="preserve"> nebyly publikovány </w:t>
      </w:r>
      <w:r w:rsidR="00EF5DB2" w:rsidRPr="00440277">
        <w:t xml:space="preserve">originální teoretické a přehledové práce, které by se explicitně hlásily k problémovému </w:t>
      </w:r>
      <w:r w:rsidR="00850BAD" w:rsidRPr="00440277">
        <w:t xml:space="preserve">učení </w:t>
      </w:r>
      <w:r w:rsidR="00850BAD">
        <w:t xml:space="preserve">a vyučování </w:t>
      </w:r>
      <w:r w:rsidR="00EF5DB2" w:rsidRPr="00440277">
        <w:t xml:space="preserve">ve školním kontextu. </w:t>
      </w:r>
    </w:p>
    <w:p w:rsidR="0006151A" w:rsidRPr="00440277" w:rsidRDefault="0006151A" w:rsidP="00440277">
      <w:pPr>
        <w:spacing w:after="120" w:line="276" w:lineRule="auto"/>
      </w:pPr>
    </w:p>
    <w:p w:rsidR="004E736E" w:rsidRPr="00440277" w:rsidRDefault="004E736E" w:rsidP="00D053A8">
      <w:pPr>
        <w:pStyle w:val="Nadpis3"/>
      </w:pPr>
      <w:bookmarkStart w:id="28" w:name="_Toc399775393"/>
      <w:r w:rsidRPr="00440277">
        <w:t>Historické kořeny</w:t>
      </w:r>
      <w:bookmarkEnd w:id="28"/>
    </w:p>
    <w:p w:rsidR="000C6AF7" w:rsidRPr="00440277" w:rsidRDefault="00F20780" w:rsidP="000C6AF7">
      <w:pPr>
        <w:spacing w:after="120" w:line="276" w:lineRule="auto"/>
        <w:jc w:val="both"/>
      </w:pPr>
      <w:r>
        <w:t xml:space="preserve">Směřování současné psychologie </w:t>
      </w:r>
      <w:r w:rsidR="002F47BE">
        <w:t xml:space="preserve">řešení problémů </w:t>
      </w:r>
      <w:r>
        <w:t xml:space="preserve">ovlivňují </w:t>
      </w:r>
      <w:r w:rsidR="002F47BE">
        <w:t xml:space="preserve">silné tradice </w:t>
      </w:r>
      <w:r>
        <w:t>behaviorismu, kognitivismu a hlubinné psychologie (</w:t>
      </w:r>
      <w:r w:rsidR="00850BAD">
        <w:t xml:space="preserve">podrobněji viz </w:t>
      </w:r>
      <w:r>
        <w:t>Schönpflug, 2000). Zatímco v centru zájmu behaviorismu byly především reakce na jednání, které (ne)vede k určitému cíli (úsilí bylo směřováno zejména do hledání co nejlepších podmínek pro zapamatování, upevňování a reprodukování vědomostí</w:t>
      </w:r>
      <w:r w:rsidR="00C23E52">
        <w:t xml:space="preserve"> (srov. </w:t>
      </w:r>
      <w:r w:rsidRPr="00A6500C">
        <w:t xml:space="preserve">Skinner, </w:t>
      </w:r>
      <w:r w:rsidR="00C23E52" w:rsidRPr="00A6500C">
        <w:t>1938</w:t>
      </w:r>
      <w:r w:rsidR="004C0FE3">
        <w:t>/1991; 19</w:t>
      </w:r>
      <w:r w:rsidR="000560A3">
        <w:t>53</w:t>
      </w:r>
      <w:r w:rsidRPr="00A6500C">
        <w:t xml:space="preserve">) </w:t>
      </w:r>
      <w:r>
        <w:t xml:space="preserve">pro kognitivismus bylo klíčové systémové (gestaltové) chápání řešení problémů a zájem o strukturu poznatků a vědomostí, přičemž kritickým místem řešení problémových úloh je v tomto pojetí reprezentace problému – jeho mentální model. </w:t>
      </w:r>
      <w:r w:rsidR="00FE72F0" w:rsidRPr="00440277">
        <w:t>Počínaje německými gestaltisty (</w:t>
      </w:r>
      <w:r w:rsidR="00850BAD">
        <w:t xml:space="preserve">např. </w:t>
      </w:r>
      <w:r w:rsidR="00FE72F0" w:rsidRPr="00440277">
        <w:t xml:space="preserve">Duncker, 1935) probíhaly výzkumy týkající se řešení problémů většinou formou laboratorních experimentů. </w:t>
      </w:r>
      <w:r w:rsidR="004363E8">
        <w:t>Gestaltistič</w:t>
      </w:r>
      <w:r w:rsidR="008E60C6">
        <w:t>t</w:t>
      </w:r>
      <w:r>
        <w:t>í a neogestaltističtí psychologové zdůrazňují, že zkušení řešitelé problémů vnímají problém jako celek, což může vést k náhlému rozpoznání řešení (vhledové řešení problémů; celek je něco víc, než jen suma částí). Psychoanalytikové při</w:t>
      </w:r>
      <w:r w:rsidR="008E60C6">
        <w:t>s</w:t>
      </w:r>
      <w:r>
        <w:t>tupovali k řešení problémů jako k uvědomování si obsahů nevědomí. U</w:t>
      </w:r>
      <w:r w:rsidR="000C6AF7">
        <w:t xml:space="preserve">vedené tři přístupy byly postupně </w:t>
      </w:r>
      <w:r>
        <w:t>překonány funkcionalistickou teorií zpracování informací (řešení problémů jako zpracovávání informací), v rámci níž vznikly propracované strukturní modely procesu řešení problémů a souvisejících faktorů (</w:t>
      </w:r>
      <w:r w:rsidR="00C3752D">
        <w:t xml:space="preserve">srov. </w:t>
      </w:r>
      <w:r>
        <w:t>Newell</w:t>
      </w:r>
      <w:r w:rsidR="000560A3">
        <w:t xml:space="preserve"> &amp; </w:t>
      </w:r>
      <w:r>
        <w:t>Simon, 1979</w:t>
      </w:r>
      <w:r w:rsidR="00C3752D">
        <w:t>;</w:t>
      </w:r>
      <w:r>
        <w:t xml:space="preserve"> Dörner, 1981</w:t>
      </w:r>
      <w:r w:rsidR="00C3752D">
        <w:t xml:space="preserve"> aj.</w:t>
      </w:r>
      <w:r w:rsidR="000C6AF7">
        <w:t>). Z</w:t>
      </w:r>
      <w:r w:rsidR="000C6AF7" w:rsidRPr="00440277">
        <w:t>jistilo</w:t>
      </w:r>
      <w:r w:rsidR="000C6AF7">
        <w:t xml:space="preserve"> se</w:t>
      </w:r>
      <w:r w:rsidR="000C6AF7" w:rsidRPr="00440277">
        <w:t>, že proces řešení problémů je specifický pro různé obsahové domény (</w:t>
      </w:r>
      <w:r w:rsidR="00C3752D">
        <w:t xml:space="preserve">srov. </w:t>
      </w:r>
      <w:r w:rsidR="000C6AF7" w:rsidRPr="00440277">
        <w:t>Anzai &amp; Simon, 1979). Výzkumníci se posléze začali zaměřovat na řešení problémů v jednotlivých obsahových doménách, neboť se mimo jiné ukazovalo, že řešení oborově specifických problémů může být považováno za jeden z hlavních znaků expertnosti (viz Chi, Feltowich, &amp; Glaser, 1981). Zvýšenému zájmu výzkumníků se těš</w:t>
      </w:r>
      <w:r w:rsidR="00C46CD8">
        <w:t>ilo</w:t>
      </w:r>
      <w:r w:rsidR="000C6AF7" w:rsidRPr="00440277">
        <w:t xml:space="preserve"> zejména řešení problémů v oblasti čtení, psaní, počítání, politického rozhodování, manažerského rozhodování, právních otázek, počítačových technologií a hraní (počítačových) her (odkazy na jednotlivé výzkumy viz Buchner, 1995).</w:t>
      </w:r>
      <w:r w:rsidR="006C61C3">
        <w:t xml:space="preserve"> </w:t>
      </w:r>
    </w:p>
    <w:p w:rsidR="00F20780" w:rsidRDefault="00F53B94" w:rsidP="000560A3">
      <w:pPr>
        <w:spacing w:after="120" w:line="276" w:lineRule="auto"/>
        <w:jc w:val="both"/>
      </w:pPr>
      <w:r w:rsidRPr="00440277">
        <w:t xml:space="preserve">Na počátku 70. let 20. stol. si ale začali vědci čím dál více uvědomovat, že empirická zjištění a od nich odvozené teorie není možné aplikovat na komplexní problémy řešené v každodenních životních situacích. </w:t>
      </w:r>
      <w:r w:rsidR="00F20780">
        <w:t xml:space="preserve">Důležité </w:t>
      </w:r>
      <w:r w:rsidR="000560A3">
        <w:t xml:space="preserve">vědecké </w:t>
      </w:r>
      <w:r w:rsidR="00F20780">
        <w:t>poznatky</w:t>
      </w:r>
      <w:r w:rsidR="000560A3">
        <w:t xml:space="preserve"> řešení problémů</w:t>
      </w:r>
      <w:r w:rsidR="00F20780">
        <w:t xml:space="preserve"> je možné </w:t>
      </w:r>
      <w:r>
        <w:t>čerpat také z</w:t>
      </w:r>
      <w:r w:rsidR="006C61C3">
        <w:t xml:space="preserve"> </w:t>
      </w:r>
      <w:r w:rsidR="00F20780">
        <w:t>teorie jednání (Ajzen, 1991), která se orientuje zejména na záměry a jednání subjektů při řešení problémů a následně toto jednání dále rozděluje například do jednotlivých dílčích kroků a stanovuje</w:t>
      </w:r>
      <w:r w:rsidR="000560A3">
        <w:t xml:space="preserve"> jeho</w:t>
      </w:r>
      <w:r w:rsidR="00F20780">
        <w:t xml:space="preserve"> ideálně typický průběh. Z pohledu řešení problémů jsou také podnětné snahy o integraci funkcionalistických teorií a teorie jednání při tvorbě originálních teoretických modelů procesu řešení problémů, které umožňují podrobně zmapovat vnitřní i vnější strukturu souvisejí</w:t>
      </w:r>
      <w:r w:rsidR="00C3752D">
        <w:t>cí</w:t>
      </w:r>
      <w:r w:rsidR="00F20780">
        <w:t>ch prvků a procesů (srov. např. Roll</w:t>
      </w:r>
      <w:r w:rsidR="00DE5AEF">
        <w:t xml:space="preserve">ett, </w:t>
      </w:r>
      <w:r w:rsidR="00F20780">
        <w:t xml:space="preserve">2008). </w:t>
      </w:r>
    </w:p>
    <w:p w:rsidR="00D7672B" w:rsidRPr="00440277" w:rsidRDefault="002F47BE" w:rsidP="00440277">
      <w:pPr>
        <w:spacing w:after="120" w:line="276" w:lineRule="auto"/>
        <w:jc w:val="both"/>
      </w:pPr>
      <w:r>
        <w:t>Z pohledu pedagogiky není možné p</w:t>
      </w:r>
      <w:r w:rsidR="002E532C" w:rsidRPr="00440277">
        <w:t>roblémové vyučování a učení považovat za nový jev. Jeho prvky je možné pozorovat už ve starém Řecku u sofistů, zejm. u Sokrata</w:t>
      </w:r>
      <w:r w:rsidR="00CA3D9B" w:rsidRPr="00440277">
        <w:rPr>
          <w:rStyle w:val="Znakapoznpodarou"/>
        </w:rPr>
        <w:footnoteReference w:id="28"/>
      </w:r>
      <w:r w:rsidR="00C006B6" w:rsidRPr="00440277">
        <w:t xml:space="preserve">. </w:t>
      </w:r>
      <w:r w:rsidR="00C53E0C" w:rsidRPr="00440277">
        <w:t xml:space="preserve">Mnozí filozofové (Aristoteles, F. Bacon, R. Descartes) vycházeli z předpokladu, že uvědomění si problému je počátkem veškerého procesu myšlení. </w:t>
      </w:r>
      <w:r w:rsidR="00C006B6" w:rsidRPr="00440277">
        <w:t>První ucelenější a systematické teorie problémového vyučování a učení vznikly v ob</w:t>
      </w:r>
      <w:r w:rsidR="00345F8D" w:rsidRPr="00440277">
        <w:t>do</w:t>
      </w:r>
      <w:r w:rsidR="00C006B6" w:rsidRPr="00440277">
        <w:t xml:space="preserve">bí tzv. reformní pedagogiky. </w:t>
      </w:r>
      <w:r w:rsidR="00345F8D" w:rsidRPr="00440277">
        <w:t xml:space="preserve">Za zmínku v této souvislosti stojí </w:t>
      </w:r>
      <w:r w:rsidR="001C41D3" w:rsidRPr="00440277">
        <w:t>zejména J</w:t>
      </w:r>
      <w:r w:rsidR="00345F8D" w:rsidRPr="00440277">
        <w:t>. Dewey</w:t>
      </w:r>
      <w:r w:rsidR="00C53E0C" w:rsidRPr="00440277">
        <w:t xml:space="preserve"> (19</w:t>
      </w:r>
      <w:r w:rsidR="002C676F" w:rsidRPr="00440277">
        <w:t>10/2012</w:t>
      </w:r>
      <w:r w:rsidR="00C53E0C" w:rsidRPr="00440277">
        <w:t>)</w:t>
      </w:r>
      <w:r w:rsidR="00085DC0" w:rsidRPr="00440277">
        <w:t xml:space="preserve">, jenž </w:t>
      </w:r>
      <w:r w:rsidR="006207C1" w:rsidRPr="00440277">
        <w:t xml:space="preserve">ve své době </w:t>
      </w:r>
      <w:r w:rsidR="00085DC0" w:rsidRPr="00440277">
        <w:t>kritizoval mimo jiné herbartismus, od</w:t>
      </w:r>
      <w:r w:rsidR="00C3752D">
        <w:t>t</w:t>
      </w:r>
      <w:r w:rsidR="00085DC0" w:rsidRPr="00440277">
        <w:t xml:space="preserve">ržení školy od života, neznalost psychiky dětí a pasivitu žáků. Dle jeho názoru </w:t>
      </w:r>
      <w:r w:rsidR="006207C1" w:rsidRPr="00440277">
        <w:t>měly</w:t>
      </w:r>
      <w:r w:rsidR="00085DC0" w:rsidRPr="00440277">
        <w:t xml:space="preserve"> být základem činnosti žáků praktická </w:t>
      </w:r>
      <w:r w:rsidR="001E1BC3" w:rsidRPr="00440277">
        <w:t>zku</w:t>
      </w:r>
      <w:r w:rsidR="002D3904" w:rsidRPr="00440277">
        <w:t>š</w:t>
      </w:r>
      <w:r w:rsidR="001E1BC3" w:rsidRPr="00440277">
        <w:t>enost</w:t>
      </w:r>
      <w:r w:rsidR="00085DC0" w:rsidRPr="00440277">
        <w:t xml:space="preserve"> a experimentování, neboť </w:t>
      </w:r>
      <w:r w:rsidR="002D3904" w:rsidRPr="00440277">
        <w:t xml:space="preserve">poskytují množství autentických problémů k řešení. </w:t>
      </w:r>
      <w:r w:rsidR="00307D31" w:rsidRPr="00440277">
        <w:t>S nárůstem vědeckých poznatků se objevila potřeba řešit nejen jejich výběr, ale zejména způsob jejich prezentace ve výuce</w:t>
      </w:r>
      <w:r w:rsidR="00891D83" w:rsidRPr="00440277">
        <w:t xml:space="preserve"> (srov. Bruner, 1965)</w:t>
      </w:r>
      <w:r w:rsidR="00307D31" w:rsidRPr="00440277">
        <w:t xml:space="preserve">. </w:t>
      </w:r>
      <w:r w:rsidR="001C41D3" w:rsidRPr="00440277">
        <w:t xml:space="preserve">Z těchto postulátů následně </w:t>
      </w:r>
      <w:r w:rsidR="006207C1" w:rsidRPr="00440277">
        <w:t xml:space="preserve">také </w:t>
      </w:r>
      <w:r w:rsidR="001C41D3" w:rsidRPr="00440277">
        <w:t>vycházely</w:t>
      </w:r>
      <w:r w:rsidR="006207C1" w:rsidRPr="00440277">
        <w:t xml:space="preserve"> některé</w:t>
      </w:r>
      <w:r w:rsidR="001C41D3" w:rsidRPr="00440277">
        <w:t xml:space="preserve"> psychologické teorie učení. </w:t>
      </w:r>
      <w:r w:rsidR="00FE72F0">
        <w:t xml:space="preserve">To </w:t>
      </w:r>
      <w:r w:rsidR="002C0733">
        <w:t>naznačuje</w:t>
      </w:r>
      <w:r w:rsidR="00FE72F0">
        <w:t>, že</w:t>
      </w:r>
      <w:r w:rsidR="00307D31" w:rsidRPr="00440277">
        <w:t xml:space="preserve"> </w:t>
      </w:r>
      <w:r w:rsidR="002C0733">
        <w:t>pro problémové vyučová</w:t>
      </w:r>
      <w:r w:rsidR="00F949D8">
        <w:t>ní</w:t>
      </w:r>
      <w:r w:rsidR="002C0733">
        <w:t xml:space="preserve"> a učení odehrávající se ve školním kontextu </w:t>
      </w:r>
      <w:r w:rsidR="00F949D8">
        <w:t>mohou být užitečné vazby na</w:t>
      </w:r>
      <w:r w:rsidR="002C0733">
        <w:t xml:space="preserve"> příslušné</w:t>
      </w:r>
      <w:r w:rsidR="00F949D8">
        <w:t xml:space="preserve"> psychologické výzkumy a z nich odvozené</w:t>
      </w:r>
      <w:r w:rsidR="002C0733">
        <w:t xml:space="preserve"> teorie učení.</w:t>
      </w:r>
    </w:p>
    <w:p w:rsidR="000C14DD" w:rsidRDefault="00A24975" w:rsidP="00440277">
      <w:pPr>
        <w:spacing w:after="120" w:line="276" w:lineRule="auto"/>
        <w:jc w:val="both"/>
      </w:pPr>
      <w:r w:rsidRPr="00440277">
        <w:t xml:space="preserve">V současnosti je možné ve výzkumu řešení problémů </w:t>
      </w:r>
      <w:r w:rsidR="00966C92">
        <w:t xml:space="preserve">pozorovat </w:t>
      </w:r>
      <w:r w:rsidRPr="00440277">
        <w:t>mnoho para</w:t>
      </w:r>
      <w:r w:rsidR="00215580" w:rsidRPr="00440277">
        <w:t xml:space="preserve">digmat, které se liší především v teoretickém ukotvení a používané výzkumné metodologii. Nejvlivnější paradigmata jsou </w:t>
      </w:r>
      <w:r w:rsidR="00717729" w:rsidRPr="00440277">
        <w:t xml:space="preserve">odlišována geograficky – hovoří se o evropském a </w:t>
      </w:r>
      <w:r w:rsidR="000C14DD" w:rsidRPr="00440277">
        <w:t>severo</w:t>
      </w:r>
      <w:r w:rsidR="00717729" w:rsidRPr="00440277">
        <w:t xml:space="preserve">americkém přístupu. </w:t>
      </w:r>
      <w:r w:rsidR="000C14DD" w:rsidRPr="00440277">
        <w:t>Severoamerický přístup spočívá ve zkoumání problémovýc</w:t>
      </w:r>
      <w:r w:rsidR="00926542" w:rsidRPr="00440277">
        <w:t>h situací</w:t>
      </w:r>
      <w:r w:rsidR="00B441E5" w:rsidRPr="00440277">
        <w:t xml:space="preserve"> vztahujících se k relativně úzce vymezeným obsahovým doménám v oblasti </w:t>
      </w:r>
      <w:r w:rsidR="00DE0547" w:rsidRPr="00440277">
        <w:t xml:space="preserve">lidského poznání, v centru jeho </w:t>
      </w:r>
      <w:r w:rsidR="00926542" w:rsidRPr="00440277">
        <w:t>zájmu jsou zejména výzkumy expertnosti a jsou zaměřené především na procesy učení</w:t>
      </w:r>
      <w:r w:rsidR="00B441E5" w:rsidRPr="00440277">
        <w:t xml:space="preserve">. </w:t>
      </w:r>
      <w:r w:rsidR="00926542" w:rsidRPr="00440277">
        <w:t>Evropský přístup je širší a zaměřuje se na zkoumání</w:t>
      </w:r>
      <w:r w:rsidR="00502304" w:rsidRPr="00440277">
        <w:t xml:space="preserve"> procesu řešení a vlastností</w:t>
      </w:r>
      <w:r w:rsidR="00926542" w:rsidRPr="00440277">
        <w:t xml:space="preserve"> neznámých komplexních p</w:t>
      </w:r>
      <w:r w:rsidR="00B11C7D" w:rsidRPr="00440277">
        <w:t xml:space="preserve">roblémů. Tyto problémy jsou počítačově simulovány a důraz je kladen především na identifikování mentálních procesů </w:t>
      </w:r>
      <w:r w:rsidR="00AB0F32" w:rsidRPr="00440277">
        <w:t xml:space="preserve">probíhajících při </w:t>
      </w:r>
      <w:r w:rsidR="00502304" w:rsidRPr="00440277">
        <w:t>řešení problémů</w:t>
      </w:r>
      <w:r w:rsidR="00AB0F32" w:rsidRPr="00440277">
        <w:t>, identifikaci souvisejících proměnných a jejich následné modelování</w:t>
      </w:r>
      <w:r w:rsidR="00B11C7D" w:rsidRPr="00440277">
        <w:t>.</w:t>
      </w:r>
      <w:r w:rsidR="00AB0F32" w:rsidRPr="00440277">
        <w:t xml:space="preserve"> E</w:t>
      </w:r>
      <w:r w:rsidR="00717729" w:rsidRPr="00440277">
        <w:t>vropský přístup je dále možné rozdělovat na britskou a kontinentální větev. Britská větev je charakteristická výzkumným zájmem o</w:t>
      </w:r>
      <w:r w:rsidR="00650F8E" w:rsidRPr="00440277">
        <w:t xml:space="preserve"> rozlišování </w:t>
      </w:r>
      <w:r w:rsidR="00717729" w:rsidRPr="00440277">
        <w:t>vědom</w:t>
      </w:r>
      <w:r w:rsidR="00650F8E" w:rsidRPr="00440277">
        <w:t xml:space="preserve">ých </w:t>
      </w:r>
      <w:r w:rsidR="00717729" w:rsidRPr="00440277">
        <w:t>a nevědom</w:t>
      </w:r>
      <w:r w:rsidR="00650F8E" w:rsidRPr="00440277">
        <w:t xml:space="preserve">ých </w:t>
      </w:r>
      <w:r w:rsidR="00717729" w:rsidRPr="00440277">
        <w:t>myšlenkov</w:t>
      </w:r>
      <w:r w:rsidR="00650F8E" w:rsidRPr="00440277">
        <w:t>ých procesů</w:t>
      </w:r>
      <w:r w:rsidR="00717729" w:rsidRPr="00440277">
        <w:t xml:space="preserve"> odehrávající</w:t>
      </w:r>
      <w:r w:rsidR="00650F8E" w:rsidRPr="00440277">
        <w:t>ch se při řešení</w:t>
      </w:r>
      <w:r w:rsidR="00717729" w:rsidRPr="00440277">
        <w:t xml:space="preserve"> problémů, kontinentální větev </w:t>
      </w:r>
      <w:r w:rsidR="00A842E3" w:rsidRPr="00440277">
        <w:t xml:space="preserve">se </w:t>
      </w:r>
      <w:r w:rsidR="00650F8E" w:rsidRPr="00440277">
        <w:t xml:space="preserve">zaměřuje </w:t>
      </w:r>
      <w:r w:rsidR="00A842E3" w:rsidRPr="00440277">
        <w:t>na zkoumání vzájemných souvislostí mezi kognitivními, motivačními a sociálními aspekty proces</w:t>
      </w:r>
      <w:r w:rsidR="00650F8E" w:rsidRPr="00440277">
        <w:t>u</w:t>
      </w:r>
      <w:r w:rsidR="00A842E3" w:rsidRPr="00440277">
        <w:t xml:space="preserve"> řešení problémů (podrobněji viz </w:t>
      </w:r>
      <w:r w:rsidR="00E15689" w:rsidRPr="00440277">
        <w:t>Frensch &amp; Funke</w:t>
      </w:r>
      <w:r w:rsidR="000C14DD" w:rsidRPr="00440277">
        <w:t>, 1995).</w:t>
      </w:r>
    </w:p>
    <w:p w:rsidR="006512EB" w:rsidRPr="00440277" w:rsidRDefault="006512EB" w:rsidP="00440277">
      <w:pPr>
        <w:spacing w:after="120" w:line="276" w:lineRule="auto"/>
        <w:jc w:val="both"/>
      </w:pPr>
      <w:r w:rsidRPr="00440277">
        <w:t>Řešení problémů je složitý a komplikovaný proces, který se s pomocí doposud známých vědeckých teorií doposud nepodařilo plnohodnotně popsat a vysvětlit (srov. Sell</w:t>
      </w:r>
      <w:r w:rsidR="00A720FB">
        <w:t xml:space="preserve"> &amp;</w:t>
      </w:r>
      <w:r w:rsidRPr="00440277">
        <w:t xml:space="preserve"> Schimweg, s. 53). Přesto, nebo možná právě proto, zaměstnávají některé dílčí otázky související s procesem řešení problémů již několikátou generaci psychologů, pedagogů, neurovědců a zástupců mnohých dalších vědních oborů. Vzhledem k multidimenzionalitě procesu řešení problémů a souvisejícího výzkumného pole není překvapivé, že závěry jednotlivých výzkumů jsou často protichůdné. Dokonce ani není možné dosáhnout shody týkající se definic základních konceptů, které s řešením problémů souvisí.</w:t>
      </w:r>
    </w:p>
    <w:p w:rsidR="00215580" w:rsidRPr="00440277" w:rsidRDefault="00215580" w:rsidP="00440277">
      <w:pPr>
        <w:spacing w:after="120" w:line="276" w:lineRule="auto"/>
      </w:pPr>
    </w:p>
    <w:p w:rsidR="00E706CC" w:rsidRPr="00440277" w:rsidRDefault="00E706CC" w:rsidP="00D053A8">
      <w:pPr>
        <w:pStyle w:val="Nadpis3"/>
      </w:pPr>
      <w:bookmarkStart w:id="29" w:name="_Toc399775394"/>
      <w:r w:rsidRPr="00440277">
        <w:t>Definice</w:t>
      </w:r>
      <w:r w:rsidR="00C91113">
        <w:t xml:space="preserve"> problému</w:t>
      </w:r>
      <w:bookmarkEnd w:id="29"/>
    </w:p>
    <w:p w:rsidR="002E65DB" w:rsidRPr="00440277" w:rsidRDefault="00A175D0" w:rsidP="00F24728">
      <w:pPr>
        <w:spacing w:after="120" w:line="276" w:lineRule="auto"/>
        <w:jc w:val="both"/>
      </w:pPr>
      <w:r w:rsidRPr="00440277">
        <w:t>Frensch a Funke (1995, s. 5</w:t>
      </w:r>
      <w:r w:rsidR="00FB0944" w:rsidRPr="00440277">
        <w:t>–</w:t>
      </w:r>
      <w:r w:rsidRPr="00440277">
        <w:t xml:space="preserve">6) upozorňují, že patrně existují desítky a možná i stovky vzájemně odlišných definic problémů. </w:t>
      </w:r>
      <w:r w:rsidR="00966C92">
        <w:t>Za</w:t>
      </w:r>
      <w:r w:rsidR="002E65DB" w:rsidRPr="00440277">
        <w:t xml:space="preserve"> klasickou </w:t>
      </w:r>
      <w:r w:rsidR="00966C92" w:rsidRPr="00440277">
        <w:t xml:space="preserve">definici </w:t>
      </w:r>
      <w:r w:rsidR="00966C92">
        <w:t xml:space="preserve">problému </w:t>
      </w:r>
      <w:r w:rsidR="002E65DB" w:rsidRPr="00440277">
        <w:t xml:space="preserve">je možné považovat </w:t>
      </w:r>
      <w:r w:rsidR="00966C92">
        <w:t xml:space="preserve">definici </w:t>
      </w:r>
      <w:r w:rsidR="002E65DB" w:rsidRPr="00440277">
        <w:t xml:space="preserve">Dunckera (1935/1974, s. 1), který uvádí: </w:t>
      </w:r>
    </w:p>
    <w:p w:rsidR="002E65DB" w:rsidRPr="00440277" w:rsidRDefault="002E65DB" w:rsidP="002E65DB">
      <w:pPr>
        <w:autoSpaceDE w:val="0"/>
        <w:autoSpaceDN w:val="0"/>
        <w:adjustRightInd w:val="0"/>
        <w:spacing w:after="120" w:line="276" w:lineRule="auto"/>
        <w:ind w:left="426"/>
        <w:jc w:val="both"/>
        <w:rPr>
          <w:sz w:val="20"/>
        </w:rPr>
      </w:pPr>
      <w:r w:rsidRPr="00440277">
        <w:rPr>
          <w:sz w:val="20"/>
        </w:rPr>
        <w:t>„Problém vyvstane např. tehdy, když nějak</w:t>
      </w:r>
      <w:r w:rsidR="00851CBB">
        <w:rPr>
          <w:sz w:val="20"/>
        </w:rPr>
        <w:t>ý</w:t>
      </w:r>
      <w:r w:rsidRPr="00440277">
        <w:rPr>
          <w:sz w:val="20"/>
        </w:rPr>
        <w:t xml:space="preserve"> </w:t>
      </w:r>
      <w:r w:rsidR="00851CBB">
        <w:rPr>
          <w:sz w:val="20"/>
        </w:rPr>
        <w:t>subjekt</w:t>
      </w:r>
      <w:r w:rsidRPr="00440277">
        <w:rPr>
          <w:sz w:val="20"/>
        </w:rPr>
        <w:t xml:space="preserve"> má cíl a neví, jak tohoto cíle dosáhnout. Problém je tam, kde daný vnitřní nebo vnější stav není možné změnit ve stav požadovaný prostřednictvím běžného jednání (vykonávání </w:t>
      </w:r>
      <w:r w:rsidR="00851CBB">
        <w:rPr>
          <w:sz w:val="20"/>
        </w:rPr>
        <w:t>zautomatizovaných</w:t>
      </w:r>
      <w:r w:rsidRPr="00440277">
        <w:rPr>
          <w:sz w:val="20"/>
        </w:rPr>
        <w:t xml:space="preserve"> operací). </w:t>
      </w:r>
      <w:r w:rsidR="00851CBB">
        <w:rPr>
          <w:sz w:val="20"/>
        </w:rPr>
        <w:t>Subjektu</w:t>
      </w:r>
      <w:r w:rsidRPr="00440277">
        <w:rPr>
          <w:sz w:val="20"/>
        </w:rPr>
        <w:t xml:space="preserve"> jde o to koncipovat jednání směřující k přemostění výchozího a cílového stavu.“</w:t>
      </w:r>
    </w:p>
    <w:p w:rsidR="002E65DB" w:rsidRPr="00440277" w:rsidRDefault="002E65DB" w:rsidP="002E65DB">
      <w:pPr>
        <w:autoSpaceDE w:val="0"/>
        <w:autoSpaceDN w:val="0"/>
        <w:adjustRightInd w:val="0"/>
        <w:spacing w:after="120" w:line="276" w:lineRule="auto"/>
        <w:jc w:val="both"/>
      </w:pPr>
      <w:r w:rsidRPr="00440277">
        <w:t>Tato klasická definice má v centru nějaký cíl, kterého by mělo být dosaženo, přičemž tento cíl řídí jednání. Řešení problémů je prostředek k účelově regulovanému jednání. D</w:t>
      </w:r>
      <w:r w:rsidR="00843192">
        <w:t>u</w:t>
      </w:r>
      <w:r w:rsidRPr="00440277">
        <w:t>nckerova definice je s drobnými obměnami používána dodnes.</w:t>
      </w:r>
      <w:r w:rsidR="00843192">
        <w:t xml:space="preserve"> </w:t>
      </w:r>
      <w:r w:rsidRPr="00440277">
        <w:t>Je třeba si uvědomit, že problém vzniká až při jisté proporci známého a neznámého, tedy až v okamžiku, kdy člověk pocítí potřebu neznámé poznat a projeví snahu se na tomto poznávání osobně podílet.</w:t>
      </w:r>
    </w:p>
    <w:p w:rsidR="002E65DB" w:rsidRPr="00440277" w:rsidRDefault="005B70D8" w:rsidP="002E65DB">
      <w:pPr>
        <w:autoSpaceDE w:val="0"/>
        <w:autoSpaceDN w:val="0"/>
        <w:adjustRightInd w:val="0"/>
        <w:spacing w:after="120" w:line="276" w:lineRule="auto"/>
        <w:jc w:val="both"/>
      </w:pPr>
      <w:r>
        <w:t>V odborné literatuře je často citovaná také definice</w:t>
      </w:r>
      <w:r w:rsidR="002E65DB" w:rsidRPr="00440277">
        <w:t xml:space="preserve"> Dörnera (1976, s. 10): </w:t>
      </w:r>
      <w:r>
        <w:t>„</w:t>
      </w:r>
      <w:r w:rsidR="002E65DB" w:rsidRPr="00440277">
        <w:t>Individuum se potýká</w:t>
      </w:r>
      <w:r>
        <w:t xml:space="preserve"> s problémem, když se nachází </w:t>
      </w:r>
      <w:r w:rsidR="002E65DB" w:rsidRPr="00440277">
        <w:t>ve</w:t>
      </w:r>
      <w:r>
        <w:t xml:space="preserve"> </w:t>
      </w:r>
      <w:r w:rsidR="002E65DB" w:rsidRPr="00440277">
        <w:t>vnitřním nebo vnějším stavu, který z různých důvodů nepovažuje za uspo</w:t>
      </w:r>
      <w:r w:rsidR="008E60C6">
        <w:t>ko</w:t>
      </w:r>
      <w:r w:rsidR="002E65DB" w:rsidRPr="00440277">
        <w:t>jivý, ale zároveň bezprostředně nedisponuje prostředky, jak přemostit neuspokojivý stav směrem k požadovanému stavu.</w:t>
      </w:r>
      <w:r>
        <w:t>“</w:t>
      </w:r>
      <w:r w:rsidR="002E65DB" w:rsidRPr="00440277">
        <w:t xml:space="preserve"> </w:t>
      </w:r>
    </w:p>
    <w:p w:rsidR="002E65DB" w:rsidRPr="00440277" w:rsidRDefault="002E65DB" w:rsidP="00861B71">
      <w:pPr>
        <w:spacing w:after="120" w:line="276" w:lineRule="auto"/>
        <w:jc w:val="both"/>
      </w:pPr>
      <w:r w:rsidRPr="00440277">
        <w:t>Obecně je možné problém definovat jako nějakou situaci, ve které její aktér chce dosáhnout nějakého cíle, ale neví, jak tohoto cíle dosáhnout. Jinými slovy aktér zná výchozí a požadovaný cílový stav, a přesně neví, jak úspěšně dosáhnout přemostění mezi těmito dvěma stavy (volně dle Greiff, 2012, s. 22). Pro řešení problémů je klíčové, aby si byl jedinec vědom cíle, ke kterému problémová situace směřuje. Znalost cíle je také nezbytná pro zhodnocení, zda k vyřešení problému došlo.</w:t>
      </w:r>
    </w:p>
    <w:p w:rsidR="00440277" w:rsidRPr="00440277" w:rsidRDefault="0028131D" w:rsidP="00440277">
      <w:pPr>
        <w:autoSpaceDE w:val="0"/>
        <w:autoSpaceDN w:val="0"/>
        <w:adjustRightInd w:val="0"/>
        <w:spacing w:after="120" w:line="276" w:lineRule="auto"/>
        <w:jc w:val="both"/>
      </w:pPr>
      <w:r>
        <w:t>Většina definic</w:t>
      </w:r>
      <w:r w:rsidR="00440277" w:rsidRPr="00440277">
        <w:t xml:space="preserve"> problému uváděn</w:t>
      </w:r>
      <w:r>
        <w:t>ých</w:t>
      </w:r>
      <w:r w:rsidR="00440277" w:rsidRPr="00440277">
        <w:t xml:space="preserve"> v odborné literatuře vykazuj</w:t>
      </w:r>
      <w:r>
        <w:t>e</w:t>
      </w:r>
      <w:r w:rsidR="00440277" w:rsidRPr="00440277">
        <w:t xml:space="preserve"> následující společné znaky: </w:t>
      </w:r>
    </w:p>
    <w:p w:rsidR="00440277" w:rsidRPr="00F24728" w:rsidRDefault="00440277" w:rsidP="00FE68D6">
      <w:pPr>
        <w:pStyle w:val="Odstavecseseznamem"/>
        <w:numPr>
          <w:ilvl w:val="0"/>
          <w:numId w:val="30"/>
        </w:numPr>
        <w:rPr>
          <w:rFonts w:ascii="Times New Roman" w:hAnsi="Times New Roman"/>
          <w:sz w:val="24"/>
          <w:szCs w:val="24"/>
        </w:rPr>
      </w:pPr>
      <w:r w:rsidRPr="00F24728">
        <w:rPr>
          <w:rFonts w:ascii="Times New Roman" w:hAnsi="Times New Roman"/>
          <w:sz w:val="24"/>
          <w:szCs w:val="24"/>
        </w:rPr>
        <w:t>na začátku nechtěný vnitřní nebo vnější stav</w:t>
      </w:r>
      <w:r w:rsidR="007620DB" w:rsidRPr="00F24728">
        <w:rPr>
          <w:rFonts w:ascii="Times New Roman" w:hAnsi="Times New Roman"/>
          <w:sz w:val="24"/>
          <w:szCs w:val="24"/>
        </w:rPr>
        <w:t xml:space="preserve"> (ve </w:t>
      </w:r>
      <w:r w:rsidR="008E60C6" w:rsidRPr="00F24728">
        <w:rPr>
          <w:rFonts w:ascii="Times New Roman" w:hAnsi="Times New Roman"/>
          <w:sz w:val="24"/>
          <w:szCs w:val="24"/>
        </w:rPr>
        <w:t>formě</w:t>
      </w:r>
      <w:r w:rsidR="007620DB" w:rsidRPr="00F24728">
        <w:rPr>
          <w:rFonts w:ascii="Times New Roman" w:hAnsi="Times New Roman"/>
          <w:sz w:val="24"/>
          <w:szCs w:val="24"/>
        </w:rPr>
        <w:t xml:space="preserve"> podmínky, informace, úkolu apod.)</w:t>
      </w:r>
      <w:r w:rsidR="0025672E" w:rsidRPr="00F24728">
        <w:rPr>
          <w:rFonts w:ascii="Times New Roman" w:hAnsi="Times New Roman"/>
          <w:sz w:val="24"/>
          <w:szCs w:val="24"/>
        </w:rPr>
        <w:t>,</w:t>
      </w:r>
    </w:p>
    <w:p w:rsidR="00440277" w:rsidRPr="00F24728" w:rsidRDefault="00440277" w:rsidP="00FE68D6">
      <w:pPr>
        <w:pStyle w:val="Odstavecseseznamem"/>
        <w:numPr>
          <w:ilvl w:val="0"/>
          <w:numId w:val="30"/>
        </w:numPr>
        <w:rPr>
          <w:rFonts w:ascii="Times New Roman" w:hAnsi="Times New Roman"/>
          <w:sz w:val="24"/>
          <w:szCs w:val="24"/>
        </w:rPr>
      </w:pPr>
      <w:r w:rsidRPr="00F24728">
        <w:rPr>
          <w:rFonts w:ascii="Times New Roman" w:hAnsi="Times New Roman"/>
          <w:sz w:val="24"/>
          <w:szCs w:val="24"/>
        </w:rPr>
        <w:t>usilování o dosažení cílového stavu</w:t>
      </w:r>
      <w:r w:rsidR="007620DB" w:rsidRPr="00F24728">
        <w:rPr>
          <w:rFonts w:ascii="Times New Roman" w:hAnsi="Times New Roman"/>
          <w:sz w:val="24"/>
          <w:szCs w:val="24"/>
        </w:rPr>
        <w:t xml:space="preserve"> spočívající v překonání nějaké překážky</w:t>
      </w:r>
      <w:r w:rsidR="0025672E" w:rsidRPr="00F24728">
        <w:rPr>
          <w:rFonts w:ascii="Times New Roman" w:hAnsi="Times New Roman"/>
          <w:sz w:val="24"/>
          <w:szCs w:val="24"/>
        </w:rPr>
        <w:t>,</w:t>
      </w:r>
    </w:p>
    <w:p w:rsidR="00440277" w:rsidRPr="00F24728" w:rsidRDefault="007620DB" w:rsidP="00FE68D6">
      <w:pPr>
        <w:pStyle w:val="Odstavecseseznamem"/>
        <w:numPr>
          <w:ilvl w:val="0"/>
          <w:numId w:val="30"/>
        </w:numPr>
        <w:rPr>
          <w:rFonts w:ascii="Times New Roman" w:hAnsi="Times New Roman"/>
          <w:sz w:val="24"/>
          <w:szCs w:val="24"/>
        </w:rPr>
      </w:pPr>
      <w:r w:rsidRPr="00F24728">
        <w:rPr>
          <w:rFonts w:ascii="Times New Roman" w:hAnsi="Times New Roman"/>
          <w:sz w:val="24"/>
          <w:szCs w:val="24"/>
        </w:rPr>
        <w:t xml:space="preserve">myšlenkové </w:t>
      </w:r>
      <w:r w:rsidR="00440277" w:rsidRPr="00F24728">
        <w:rPr>
          <w:rFonts w:ascii="Times New Roman" w:hAnsi="Times New Roman"/>
          <w:sz w:val="24"/>
          <w:szCs w:val="24"/>
        </w:rPr>
        <w:t xml:space="preserve">procesy </w:t>
      </w:r>
      <w:r w:rsidRPr="00F24728">
        <w:rPr>
          <w:rFonts w:ascii="Times New Roman" w:hAnsi="Times New Roman"/>
          <w:sz w:val="24"/>
          <w:szCs w:val="24"/>
        </w:rPr>
        <w:t xml:space="preserve">a jednání </w:t>
      </w:r>
      <w:r w:rsidR="00440277" w:rsidRPr="00F24728">
        <w:rPr>
          <w:rFonts w:ascii="Times New Roman" w:hAnsi="Times New Roman"/>
          <w:sz w:val="24"/>
          <w:szCs w:val="24"/>
        </w:rPr>
        <w:t xml:space="preserve">vedoucí k transformaci počátečního stavu ve stav cílový nejsou </w:t>
      </w:r>
      <w:r w:rsidRPr="00F24728">
        <w:rPr>
          <w:rFonts w:ascii="Times New Roman" w:hAnsi="Times New Roman"/>
          <w:sz w:val="24"/>
          <w:szCs w:val="24"/>
        </w:rPr>
        <w:t xml:space="preserve">předem </w:t>
      </w:r>
      <w:r w:rsidR="00440277" w:rsidRPr="00F24728">
        <w:rPr>
          <w:rFonts w:ascii="Times New Roman" w:hAnsi="Times New Roman"/>
          <w:sz w:val="24"/>
          <w:szCs w:val="24"/>
        </w:rPr>
        <w:t>známé nebo jednoduše proveditelné</w:t>
      </w:r>
      <w:r w:rsidR="00826E76" w:rsidRPr="00F24728">
        <w:rPr>
          <w:rFonts w:ascii="Times New Roman" w:hAnsi="Times New Roman"/>
          <w:sz w:val="24"/>
          <w:szCs w:val="24"/>
        </w:rPr>
        <w:t>.</w:t>
      </w:r>
    </w:p>
    <w:p w:rsidR="00B02646" w:rsidRDefault="00826E76" w:rsidP="00843192">
      <w:pPr>
        <w:spacing w:after="120" w:line="276" w:lineRule="auto"/>
        <w:jc w:val="both"/>
      </w:pPr>
      <w:r>
        <w:t>Konkrétní definice problému použitá v jednotlivých výzkumech do značné míry</w:t>
      </w:r>
      <w:r w:rsidRPr="00440277">
        <w:t xml:space="preserve"> ovlivňuje závěry </w:t>
      </w:r>
      <w:r>
        <w:t>plynoucí z výzkumných zjištění</w:t>
      </w:r>
      <w:r w:rsidRPr="00440277">
        <w:t xml:space="preserve">. </w:t>
      </w:r>
      <w:r w:rsidR="00843192">
        <w:t xml:space="preserve">V této práci vymezujeme problém v souladu s výše uvedenými definicemi. Další možné definice problému </w:t>
      </w:r>
      <w:r w:rsidR="00843192" w:rsidRPr="00843192">
        <w:t>uvádí Frensch a Funke (1995, s. 6) a Funke (2003, s. 20–21).</w:t>
      </w:r>
      <w:r w:rsidR="006C61C3">
        <w:t xml:space="preserve"> </w:t>
      </w:r>
      <w:r w:rsidR="00843192" w:rsidRPr="00843192">
        <w:t xml:space="preserve">Souhrn definic problému v češtině </w:t>
      </w:r>
      <w:r w:rsidR="00843192">
        <w:t xml:space="preserve">viz Turek (1982, s. 52–66). </w:t>
      </w:r>
      <w:r>
        <w:t>S vymezením problému úzce souvisí vymezení</w:t>
      </w:r>
      <w:r w:rsidRPr="00440277">
        <w:t xml:space="preserve"> </w:t>
      </w:r>
      <w:r>
        <w:t>procesu řešení problémů, jemuž je věnována následující kapitola.</w:t>
      </w:r>
    </w:p>
    <w:p w:rsidR="00826E76" w:rsidRPr="00440277" w:rsidRDefault="00826E76" w:rsidP="00440277">
      <w:pPr>
        <w:spacing w:after="120" w:line="276" w:lineRule="auto"/>
      </w:pPr>
    </w:p>
    <w:p w:rsidR="00C43519" w:rsidRPr="00440277" w:rsidRDefault="00C43519" w:rsidP="00D053A8">
      <w:pPr>
        <w:pStyle w:val="Nadpis3"/>
      </w:pPr>
      <w:bookmarkStart w:id="30" w:name="_Toc399775395"/>
      <w:r w:rsidRPr="00440277">
        <w:t>Řešení problémů</w:t>
      </w:r>
      <w:bookmarkEnd w:id="30"/>
    </w:p>
    <w:p w:rsidR="00F40D5D" w:rsidRDefault="00F40D5D" w:rsidP="00440277">
      <w:pPr>
        <w:autoSpaceDE w:val="0"/>
        <w:autoSpaceDN w:val="0"/>
        <w:adjustRightInd w:val="0"/>
        <w:spacing w:after="120" w:line="276" w:lineRule="auto"/>
        <w:jc w:val="both"/>
      </w:pPr>
      <w:r w:rsidRPr="00440277">
        <w:t xml:space="preserve">Řešení problémů představuje určitý způsob jednání. Obecně je možné jednání definovat jako </w:t>
      </w:r>
      <w:r w:rsidRPr="00E86849">
        <w:t>jakoukoli motivovanou, více méně reflektovanou a cílevědomou činnost nějakého subjektu</w:t>
      </w:r>
      <w:r w:rsidRPr="00440277">
        <w:rPr>
          <w:color w:val="FF0000"/>
        </w:rPr>
        <w:t xml:space="preserve"> </w:t>
      </w:r>
      <w:r w:rsidRPr="00C3752D">
        <w:t>(</w:t>
      </w:r>
      <w:r w:rsidR="00E86849" w:rsidRPr="00C3752D">
        <w:t>srov. Linhart, 1976, s. 23</w:t>
      </w:r>
      <w:r w:rsidRPr="00C3752D">
        <w:t>).</w:t>
      </w:r>
      <w:r w:rsidRPr="00C3752D">
        <w:rPr>
          <w:rStyle w:val="Znakapoznpodarou"/>
        </w:rPr>
        <w:footnoteReference w:id="29"/>
      </w:r>
      <w:r w:rsidRPr="00C3752D">
        <w:t xml:space="preserve"> Schopnost řešit problémy (resp. kompetence k řešení problémů) spočívá v souhrnu všech schémat</w:t>
      </w:r>
      <w:r w:rsidRPr="00440277">
        <w:t xml:space="preserve"> jednání, které je možné využít k řešení problémů. </w:t>
      </w:r>
    </w:p>
    <w:p w:rsidR="005B70D8" w:rsidRPr="00C91113" w:rsidRDefault="00A67CF6" w:rsidP="005B70D8">
      <w:pPr>
        <w:spacing w:after="120" w:line="276" w:lineRule="auto"/>
        <w:jc w:val="both"/>
      </w:pPr>
      <w:r w:rsidRPr="00C91113">
        <w:t xml:space="preserve">Funke (2003, s. 20) zdůrazňuje, že pro většinu definic problému je společná snaha hledat adekvátní řešení. </w:t>
      </w:r>
      <w:r w:rsidR="00740612" w:rsidRPr="00C91113">
        <w:t>Řešení problému spočívá v nalezení přechodu z počátečního stavu do finálního stavu spočívající v proces</w:t>
      </w:r>
      <w:r w:rsidR="00861B71">
        <w:t>u</w:t>
      </w:r>
      <w:r w:rsidR="00740612" w:rsidRPr="00C91113">
        <w:t xml:space="preserve"> transformace struktur činnosti i poznání a v odstranění rozporu mezi počátečním a finálním stavem</w:t>
      </w:r>
      <w:r w:rsidR="006512EB" w:rsidRPr="00C91113">
        <w:t xml:space="preserve"> (srov. Linhart, 1976, s. 382).</w:t>
      </w:r>
      <w:r w:rsidR="005B70D8" w:rsidRPr="00C91113">
        <w:t xml:space="preserve"> Popper (</w:t>
      </w:r>
      <w:r w:rsidRPr="00C91113">
        <w:t xml:space="preserve">1997, </w:t>
      </w:r>
      <w:r w:rsidR="005B70D8" w:rsidRPr="00C91113">
        <w:t xml:space="preserve">s. 16) navrhuje trojstupňové schéma, s nímž se </w:t>
      </w:r>
      <w:r w:rsidRPr="00C91113">
        <w:t xml:space="preserve">každý organismus řešící problém </w:t>
      </w:r>
      <w:r w:rsidR="005B70D8" w:rsidRPr="00C91113">
        <w:t>vypořádává:</w:t>
      </w:r>
    </w:p>
    <w:p w:rsidR="005B70D8" w:rsidRPr="00C91113" w:rsidRDefault="005B70D8" w:rsidP="00DF722D">
      <w:pPr>
        <w:numPr>
          <w:ilvl w:val="0"/>
          <w:numId w:val="10"/>
        </w:numPr>
        <w:spacing w:after="120" w:line="276" w:lineRule="auto"/>
        <w:jc w:val="both"/>
      </w:pPr>
      <w:r w:rsidRPr="00C91113">
        <w:rPr>
          <w:i/>
          <w:iCs/>
        </w:rPr>
        <w:t>problém</w:t>
      </w:r>
      <w:r w:rsidRPr="00C91113">
        <w:t xml:space="preserve"> – ten vznikne, nastane-li nějaká porucha, což obvykle znamená "porušení vrozených očekávání, nebo takových očekávání, která byla objevena nebo osvojena pokusy a omylem."</w:t>
      </w:r>
    </w:p>
    <w:p w:rsidR="005B70D8" w:rsidRPr="00C91113" w:rsidRDefault="005B70D8" w:rsidP="00DF722D">
      <w:pPr>
        <w:numPr>
          <w:ilvl w:val="0"/>
          <w:numId w:val="10"/>
        </w:numPr>
        <w:spacing w:after="120" w:line="276" w:lineRule="auto"/>
        <w:jc w:val="both"/>
      </w:pPr>
      <w:r w:rsidRPr="00C91113">
        <w:rPr>
          <w:i/>
          <w:iCs/>
        </w:rPr>
        <w:t>pokusy o řešení</w:t>
      </w:r>
      <w:r w:rsidRPr="00C91113">
        <w:t xml:space="preserve"> – neboli pokusy vyřešit problém, což můžou být zkusmé pohyby mikroorganismu nebo třeba nové vědecké hypotézy.</w:t>
      </w:r>
    </w:p>
    <w:p w:rsidR="005B70D8" w:rsidRPr="00C91113" w:rsidRDefault="005B70D8" w:rsidP="00DF722D">
      <w:pPr>
        <w:numPr>
          <w:ilvl w:val="0"/>
          <w:numId w:val="10"/>
        </w:numPr>
        <w:spacing w:after="120" w:line="276" w:lineRule="auto"/>
        <w:jc w:val="both"/>
      </w:pPr>
      <w:r w:rsidRPr="00C91113">
        <w:rPr>
          <w:i/>
          <w:iCs/>
        </w:rPr>
        <w:t>eliminace</w:t>
      </w:r>
      <w:r w:rsidR="00C91113" w:rsidRPr="00C91113">
        <w:t xml:space="preserve"> – </w:t>
      </w:r>
      <w:r w:rsidRPr="00C91113">
        <w:t xml:space="preserve">čili vylučování </w:t>
      </w:r>
      <w:r w:rsidR="00C91113" w:rsidRPr="00C91113">
        <w:t>neúspěšných řešitelských pokusů</w:t>
      </w:r>
      <w:r w:rsidRPr="00C91113">
        <w:t>, eliminace omylů.</w:t>
      </w:r>
    </w:p>
    <w:p w:rsidR="006512EB" w:rsidRPr="00C91113" w:rsidRDefault="006512EB" w:rsidP="006512EB">
      <w:pPr>
        <w:autoSpaceDE w:val="0"/>
        <w:autoSpaceDN w:val="0"/>
        <w:adjustRightInd w:val="0"/>
        <w:spacing w:after="120" w:line="276" w:lineRule="auto"/>
        <w:jc w:val="both"/>
      </w:pPr>
      <w:r w:rsidRPr="00C91113">
        <w:t>K řešení problémů dochází tehdy, když se jedinec snaží vyplnit prázdná místa v plánu určitého jednání, která není možné eliminovat ru</w:t>
      </w:r>
      <w:r w:rsidR="00A67CF6" w:rsidRPr="00C91113">
        <w:t>tinními postupy. K tomu si jedin</w:t>
      </w:r>
      <w:r w:rsidRPr="00C91113">
        <w:t xml:space="preserve">ec vytváří mentální reprezentaci, která přemosťuje cestu z výchozího k cílovému stavu (srov. </w:t>
      </w:r>
      <w:r w:rsidR="00A67CF6" w:rsidRPr="00C91113">
        <w:t>Funke, 2003</w:t>
      </w:r>
      <w:r w:rsidRPr="00C91113">
        <w:t>, s. 25). Bývá pravidlem, že v procesu řešení problémů je hlavní cíl rozdělen do několika dílčích cílů, které odpovídají dílčím krokům nutným k řešení problému, které se odehrávají převážně v mentální rovině.</w:t>
      </w:r>
    </w:p>
    <w:p w:rsidR="00F07DE4" w:rsidRPr="00440277" w:rsidRDefault="00E706CC" w:rsidP="00440277">
      <w:pPr>
        <w:autoSpaceDE w:val="0"/>
        <w:autoSpaceDN w:val="0"/>
        <w:adjustRightInd w:val="0"/>
        <w:spacing w:after="120" w:line="276" w:lineRule="auto"/>
        <w:jc w:val="both"/>
      </w:pPr>
      <w:r w:rsidRPr="00C91113">
        <w:t>Anderson (1980</w:t>
      </w:r>
      <w:r w:rsidR="00F5281F" w:rsidRPr="00C91113">
        <w:t>, s. 257</w:t>
      </w:r>
      <w:r w:rsidRPr="00C91113">
        <w:t>) definuje řešení problémů jako cílově orientovanou sekvenci kognitivních operací, aniž by odlišoval, zda je problémová situace pro subjekt zcela nová nebo naopak důvěrně známá, a nebere ani ohled na počet překážek, které je třeba překonat na cestě od výchozího k požadovanému</w:t>
      </w:r>
      <w:r w:rsidRPr="00440277">
        <w:t xml:space="preserve"> stavu.</w:t>
      </w:r>
      <w:r w:rsidR="00F5281F" w:rsidRPr="00440277">
        <w:t xml:space="preserve"> Tato definice se z pohledu výzkumu prezentovaného v této práci jeví jako </w:t>
      </w:r>
      <w:r w:rsidR="00527C36" w:rsidRPr="00440277">
        <w:t>přiléhavá</w:t>
      </w:r>
      <w:r w:rsidR="008C0013" w:rsidRPr="00440277">
        <w:t xml:space="preserve">, neboť se náš výzkum zaměřuje na povahu příležitostí k řešení problémů v učebnicích a ve školní výuce. Z tohoto důvodu nepovažujeme za vhodné vycházet z definic </w:t>
      </w:r>
      <w:r w:rsidR="00CB4794" w:rsidRPr="00440277">
        <w:t xml:space="preserve">tzv. komplexních problémů. </w:t>
      </w:r>
      <w:r w:rsidR="000159D8" w:rsidRPr="00440277">
        <w:t>Ander</w:t>
      </w:r>
      <w:r w:rsidR="00B424FF" w:rsidRPr="00440277">
        <w:t>s</w:t>
      </w:r>
      <w:r w:rsidR="000159D8" w:rsidRPr="00440277">
        <w:t xml:space="preserve">on (1985, s. 199) je zastáncem poměrně širokého vymezení řešení problémů. Mimo jiné </w:t>
      </w:r>
      <w:r w:rsidR="00055D1C" w:rsidRPr="00440277">
        <w:t>uvádí: „Všechny kognitivní aktivity jsou ve své podstatě řešením problémů. Důvodem pro toto tvrzení je, že lidské poznávání je vždy zaměřené na cíl, směřuje k plnění cílů a odstraňování překážek na cestě k cílům.“</w:t>
      </w:r>
      <w:r w:rsidR="00740612">
        <w:t xml:space="preserve"> </w:t>
      </w:r>
      <w:r w:rsidR="00F07DE4" w:rsidRPr="00440277">
        <w:t xml:space="preserve">Tato široká definice je často kritizována zejména proto, že redukuje myšlení pouze na řešení problémů, přičemž znemožňuje diferencovat myšlení </w:t>
      </w:r>
      <w:r w:rsidR="00047820" w:rsidRPr="00440277">
        <w:t>dílčí procesy,</w:t>
      </w:r>
      <w:r w:rsidR="00F07DE4" w:rsidRPr="00440277">
        <w:t xml:space="preserve"> například hodnotící, kreativní, shrnující aj.</w:t>
      </w:r>
      <w:r w:rsidR="00047820" w:rsidRPr="00440277">
        <w:t>, jejichž hlavní těžiště směř</w:t>
      </w:r>
      <w:r w:rsidR="00740612">
        <w:t>uje jinam než k řešení problémů</w:t>
      </w:r>
      <w:r w:rsidR="00047820" w:rsidRPr="00440277">
        <w:t xml:space="preserve"> (</w:t>
      </w:r>
      <w:r w:rsidR="00740612">
        <w:t xml:space="preserve">srov. </w:t>
      </w:r>
      <w:r w:rsidR="00047820" w:rsidRPr="00440277">
        <w:t>Funke, 2003, s. 22).</w:t>
      </w:r>
    </w:p>
    <w:p w:rsidR="00C63C02" w:rsidRPr="00440277" w:rsidRDefault="00C63C02" w:rsidP="00440277">
      <w:pPr>
        <w:autoSpaceDE w:val="0"/>
        <w:autoSpaceDN w:val="0"/>
        <w:adjustRightInd w:val="0"/>
        <w:spacing w:after="120" w:line="276" w:lineRule="auto"/>
        <w:jc w:val="both"/>
      </w:pPr>
      <w:r w:rsidRPr="00440277">
        <w:t xml:space="preserve">V této práci se přikláníme k definici </w:t>
      </w:r>
      <w:r w:rsidR="00740612">
        <w:t xml:space="preserve">procesu řešení problémů </w:t>
      </w:r>
      <w:r w:rsidRPr="00440277">
        <w:t xml:space="preserve">vycházející z Greiffa (2012, s. 23), který popisuje jednotlivé fáze řešení problému: </w:t>
      </w:r>
      <w:r w:rsidR="00851CBB">
        <w:t>(</w:t>
      </w:r>
      <w:r w:rsidRPr="00440277">
        <w:t xml:space="preserve">1) získání chybějících, ale pro řešení problému nezbytných informací o souvisejících okolnostech a jejich vzájemných vztazích (generování informací), </w:t>
      </w:r>
      <w:r w:rsidR="00851CBB">
        <w:t>(</w:t>
      </w:r>
      <w:r w:rsidRPr="00440277">
        <w:t xml:space="preserve">2) integrace těchto informací do situačního (mentálního) modelu, který jednotlivé prvky a vztahy uvnitř problému patřičně zobrazuje (bodování modelu), a </w:t>
      </w:r>
      <w:r w:rsidR="00851CBB">
        <w:t>(</w:t>
      </w:r>
      <w:r w:rsidRPr="00440277">
        <w:t xml:space="preserve">3) s přihlédnutím k jednotlivým okolnostem provedení </w:t>
      </w:r>
      <w:r w:rsidR="008E60C6" w:rsidRPr="00440277">
        <w:t>uvědomělého</w:t>
      </w:r>
      <w:r w:rsidRPr="00440277">
        <w:t xml:space="preserve"> výběru možných zásahů a jejich následné užití (prognóza).</w:t>
      </w:r>
      <w:r w:rsidR="006512EB" w:rsidRPr="006512EB">
        <w:t xml:space="preserve"> </w:t>
      </w:r>
    </w:p>
    <w:p w:rsidR="00A67CF6" w:rsidRDefault="00A67CF6" w:rsidP="00A67CF6">
      <w:pPr>
        <w:autoSpaceDE w:val="0"/>
        <w:autoSpaceDN w:val="0"/>
        <w:adjustRightInd w:val="0"/>
        <w:spacing w:after="120" w:line="276" w:lineRule="auto"/>
        <w:jc w:val="both"/>
      </w:pPr>
      <w:r w:rsidRPr="00440277">
        <w:t xml:space="preserve">Obecně je možné konstatovat, že většina definic řešení problémů obsahuje termín „hledání“. Hledání očekávaného cílového stavu, prostředků k jeho dosažení, případných překážek, nejlepšího pracovního postupu, překonání rozporu, hledání metody, nějakého objektu, hledání alternativy z množiny možných způsobů řešení, vhodných reprezentací (ústní, ikonická aj.) apod. </w:t>
      </w:r>
    </w:p>
    <w:p w:rsidR="00C3752D" w:rsidRPr="00440277" w:rsidRDefault="00C3752D" w:rsidP="00A67CF6">
      <w:pPr>
        <w:autoSpaceDE w:val="0"/>
        <w:autoSpaceDN w:val="0"/>
        <w:adjustRightInd w:val="0"/>
        <w:spacing w:after="120" w:line="276" w:lineRule="auto"/>
        <w:jc w:val="both"/>
      </w:pPr>
    </w:p>
    <w:p w:rsidR="002B7D3B" w:rsidRPr="00440277" w:rsidRDefault="002B7D3B" w:rsidP="00D053A8">
      <w:pPr>
        <w:pStyle w:val="Nadpis3"/>
      </w:pPr>
      <w:bookmarkStart w:id="31" w:name="_Toc399775396"/>
      <w:r w:rsidRPr="00440277">
        <w:t>Problémov</w:t>
      </w:r>
      <w:r>
        <w:t>á</w:t>
      </w:r>
      <w:r w:rsidRPr="00440277">
        <w:t xml:space="preserve"> situace</w:t>
      </w:r>
      <w:bookmarkEnd w:id="31"/>
    </w:p>
    <w:p w:rsidR="002B7D3B" w:rsidRDefault="002B7D3B" w:rsidP="002B7D3B">
      <w:pPr>
        <w:spacing w:after="120" w:line="276" w:lineRule="auto"/>
        <w:jc w:val="both"/>
      </w:pPr>
      <w:r w:rsidRPr="00440277">
        <w:t>Počáteční i cílový stav určitého problému se vždy týkají nějaké reálné situace, do které je problém usazen. To znamená, že z hlediska procesu řešení problému jsou klíčové charakteristiky výchozí situace</w:t>
      </w:r>
      <w:r>
        <w:t xml:space="preserve">, neboli souhrnu </w:t>
      </w:r>
      <w:r w:rsidRPr="000863C2">
        <w:t>podmínek</w:t>
      </w:r>
      <w:r w:rsidR="0002033F">
        <w:t>, které určují vznik a specifičnost</w:t>
      </w:r>
      <w:r w:rsidRPr="000863C2">
        <w:t xml:space="preserve"> </w:t>
      </w:r>
      <w:r w:rsidR="00C7612C">
        <w:t xml:space="preserve">určitého </w:t>
      </w:r>
      <w:r w:rsidRPr="000863C2">
        <w:t>problému</w:t>
      </w:r>
      <w:r w:rsidRPr="00440277">
        <w:t>. Od nich se odvíjí procesy směřující k</w:t>
      </w:r>
      <w:r w:rsidR="00C7612C">
        <w:t> jeho (vy)</w:t>
      </w:r>
      <w:r w:rsidRPr="00440277">
        <w:t xml:space="preserve">řešení. </w:t>
      </w:r>
      <w:r w:rsidRPr="000863C2">
        <w:t>Problémová situace je určena vztahem mezi tím, co je v ní dáno implicitně (</w:t>
      </w:r>
      <w:r>
        <w:t>t</w:t>
      </w:r>
      <w:r w:rsidRPr="000863C2">
        <w:t xml:space="preserve">j. co v ní objektivně existuje, ale není poznáno), a mezi tím, co je určeno explicitně (v podobě určení úkolu, instrukce, </w:t>
      </w:r>
      <w:r>
        <w:t xml:space="preserve">otázky </w:t>
      </w:r>
      <w:r w:rsidRPr="000863C2">
        <w:t xml:space="preserve">aj.). </w:t>
      </w:r>
      <w:r w:rsidR="0002033F">
        <w:t>Při řešení problému žák</w:t>
      </w:r>
      <w:r w:rsidR="0002033F" w:rsidRPr="0002033F">
        <w:t xml:space="preserve"> překračuje to, co je bezprostředně dáno, tj. překračuje rámce aktuální situace a dané informace a hledá nové postupy. </w:t>
      </w:r>
      <w:r w:rsidRPr="00440277">
        <w:t>Pokud je situace proměnlivá a má složitou strukturu, je možné hovořit o s</w:t>
      </w:r>
      <w:r w:rsidR="00C7612C">
        <w:t>ituaci s vyšší mírou komplex</w:t>
      </w:r>
      <w:r w:rsidRPr="00440277">
        <w:t>i</w:t>
      </w:r>
      <w:r w:rsidR="00C7612C">
        <w:t>ty</w:t>
      </w:r>
      <w:r w:rsidRPr="00440277">
        <w:t>. Komplex</w:t>
      </w:r>
      <w:r w:rsidR="00C7612C">
        <w:t>itu</w:t>
      </w:r>
      <w:r w:rsidRPr="00440277">
        <w:t xml:space="preserve"> ovlivňuje interakce mnoha často na sobě nezávislých systémových komponent. Pokud žák nedisponuje dostatečnými znalostmi o jednotlivých systémových komponentách, může být </w:t>
      </w:r>
      <w:r>
        <w:t xml:space="preserve">jeho mentální </w:t>
      </w:r>
      <w:r w:rsidRPr="00440277">
        <w:t>model problémové situace příliš zjednodušený nebo chybný. Řešení problémů se tak do značné míry odvíjí od výchozích znalostí jednotlivých komponent sys</w:t>
      </w:r>
      <w:r>
        <w:t>tému a jejich vzájemných vztahů.</w:t>
      </w:r>
      <w:r>
        <w:rPr>
          <w:rStyle w:val="Znakapoznpodarou"/>
        </w:rPr>
        <w:footnoteReference w:id="30"/>
      </w:r>
      <w:r w:rsidRPr="00440277">
        <w:rPr>
          <w:color w:val="FF0000"/>
        </w:rPr>
        <w:t xml:space="preserve"> </w:t>
      </w:r>
      <w:r w:rsidRPr="00440277">
        <w:t xml:space="preserve">Znalosti o těchto dílčích komponentách systému a </w:t>
      </w:r>
      <w:r w:rsidR="0002033F">
        <w:t>jeji</w:t>
      </w:r>
      <w:r w:rsidRPr="00440277">
        <w:t>ch vzájemných vztazích je možné získat prostřednictvím řešení méně komple</w:t>
      </w:r>
      <w:r>
        <w:t xml:space="preserve">xních problémových situací a </w:t>
      </w:r>
      <w:r w:rsidR="00C7612C">
        <w:t xml:space="preserve">učebních </w:t>
      </w:r>
      <w:r>
        <w:t xml:space="preserve">úloh. </w:t>
      </w:r>
    </w:p>
    <w:p w:rsidR="002B7D3B" w:rsidRPr="00440277" w:rsidRDefault="002B7D3B" w:rsidP="002B7D3B">
      <w:pPr>
        <w:autoSpaceDE w:val="0"/>
        <w:autoSpaceDN w:val="0"/>
        <w:adjustRightInd w:val="0"/>
        <w:spacing w:after="120" w:line="276" w:lineRule="auto"/>
        <w:jc w:val="both"/>
      </w:pPr>
      <w:r w:rsidRPr="00440277">
        <w:t xml:space="preserve">Stupeň komplexity problémové situace také do značné míry ovlivňuje specifikaci cílového stavu. V komplexních problémových situacích mohou být stanovovány pouze obecné cíle, které mnohdy nepopisují cílový stav na základě konkrétného popisu cílového stavu jednotlivých systémových komponent. Mnohdy jsou tyto cíle formulovány negativně. Pokud je například cílem </w:t>
      </w:r>
      <w:r w:rsidRPr="00440277">
        <w:rPr>
          <w:i/>
        </w:rPr>
        <w:t>napravit nevyhovující stav</w:t>
      </w:r>
      <w:r w:rsidRPr="00440277">
        <w:t>, nevypovídá tento cíl nic konkrétního o požadovaných cílových vlastnostech systému (srov. Ullrich, 2005, s. 80). Takto obecně formulované cíle je zpravidla nutné nejprve rozdělit do většího množství dílčích cílů, které spolu vzájemně souvisí. Pro komplexní problémové situace je typické, že jednotlivé dílčí cíle mohou být vzájemně protichůdné nebo se mohou navzájem negativně ovlivňovat. Řešení komplexních situací proto vyžadují komplexní řešení.</w:t>
      </w:r>
    </w:p>
    <w:p w:rsidR="002B7D3B" w:rsidRPr="00440277" w:rsidRDefault="004A7C24" w:rsidP="00966C92">
      <w:pPr>
        <w:autoSpaceDE w:val="0"/>
        <w:autoSpaceDN w:val="0"/>
        <w:adjustRightInd w:val="0"/>
        <w:spacing w:after="120" w:line="276" w:lineRule="auto"/>
        <w:jc w:val="both"/>
      </w:pPr>
      <w:r>
        <w:t>Mayer a Wittrock</w:t>
      </w:r>
      <w:r w:rsidR="002B7D3B" w:rsidRPr="00440277">
        <w:t xml:space="preserve"> (1996, s. 47) definují řešení problémů jako cílově orientované myšlení a jednání v situacích, pro jejichž ovládnutí nejsou k dispozici žádné rutinní postupy. Řešitel problému má více </w:t>
      </w:r>
      <w:r w:rsidR="002B7D3B">
        <w:t>či</w:t>
      </w:r>
      <w:r w:rsidR="002B7D3B" w:rsidRPr="00440277">
        <w:t xml:space="preserve"> méně </w:t>
      </w:r>
      <w:r w:rsidR="002B7D3B">
        <w:t>jasně</w:t>
      </w:r>
      <w:r w:rsidR="002B7D3B" w:rsidRPr="00440277">
        <w:t xml:space="preserve"> definovaný cíl, ale bezprostředně neví, jak tohoto cíle dosáhnout. Inkongruence mezi cílem a dostupnými prostředk</w:t>
      </w:r>
      <w:r w:rsidR="002B7D3B">
        <w:t>y vyžaduje p</w:t>
      </w:r>
      <w:r w:rsidR="002B7D3B" w:rsidRPr="00440277">
        <w:t xml:space="preserve">orozumění problémové situaci </w:t>
      </w:r>
      <w:r w:rsidR="002B7D3B">
        <w:t>a její</w:t>
      </w:r>
      <w:r w:rsidR="002B7D3B" w:rsidRPr="00440277">
        <w:t xml:space="preserve"> postupn</w:t>
      </w:r>
      <w:r w:rsidR="002B7D3B">
        <w:t>ou</w:t>
      </w:r>
      <w:r w:rsidR="002B7D3B" w:rsidRPr="00440277">
        <w:t xml:space="preserve"> proměn</w:t>
      </w:r>
      <w:r w:rsidR="002B7D3B">
        <w:t xml:space="preserve">u. Uvedené skutečnosti jsou </w:t>
      </w:r>
      <w:r w:rsidRPr="00440277">
        <w:t>konstitutivní pro proces řešení problémů</w:t>
      </w:r>
      <w:r w:rsidRPr="000A2D0E">
        <w:t xml:space="preserve"> </w:t>
      </w:r>
      <w:r w:rsidR="002B7D3B">
        <w:t xml:space="preserve">spolu s potřebou subjektu zabývat se určitým problémem </w:t>
      </w:r>
      <w:r w:rsidR="002B7D3B" w:rsidRPr="000A2D0E">
        <w:t>(mimo subjektu není problémové situace)</w:t>
      </w:r>
      <w:r w:rsidR="002B7D3B" w:rsidRPr="00440277">
        <w:t>.</w:t>
      </w:r>
    </w:p>
    <w:p w:rsidR="002B7D3B" w:rsidRDefault="002B7D3B" w:rsidP="002B7D3B">
      <w:pPr>
        <w:spacing w:after="120" w:line="276" w:lineRule="auto"/>
        <w:jc w:val="both"/>
      </w:pPr>
      <w:r>
        <w:t xml:space="preserve">Obdobným způsobem definuje </w:t>
      </w:r>
      <w:r w:rsidR="0002033F">
        <w:t>charakteristiky problémové</w:t>
      </w:r>
      <w:r>
        <w:t xml:space="preserve"> situac</w:t>
      </w:r>
      <w:r w:rsidR="0002033F">
        <w:t>e</w:t>
      </w:r>
      <w:r>
        <w:t xml:space="preserve"> také Tollingerová (1973): </w:t>
      </w:r>
    </w:p>
    <w:p w:rsidR="001B47C8" w:rsidRDefault="002B7D3B" w:rsidP="0002033F">
      <w:pPr>
        <w:autoSpaceDE w:val="0"/>
        <w:autoSpaceDN w:val="0"/>
        <w:adjustRightInd w:val="0"/>
        <w:spacing w:after="120" w:line="276" w:lineRule="auto"/>
        <w:ind w:left="426"/>
        <w:jc w:val="both"/>
        <w:rPr>
          <w:sz w:val="22"/>
        </w:rPr>
      </w:pPr>
      <w:r w:rsidRPr="00440277">
        <w:rPr>
          <w:sz w:val="22"/>
        </w:rPr>
        <w:t>Problémová situace je […] složitá subjektivně objektivní kategorie, jejíž stránku objektivní, tj. vlastnosti předmětu, kterého se problémová situace týká, i subjektivní, tj. vlastnosti osoby, která tuto situaci chápe jako svůj problém, jsou vzájemně prokomponovány do složité struktury […]. (s. 8)</w:t>
      </w:r>
    </w:p>
    <w:p w:rsidR="002B7D3B" w:rsidRPr="00440277" w:rsidRDefault="004A7C24" w:rsidP="0034159B">
      <w:pPr>
        <w:autoSpaceDE w:val="0"/>
        <w:autoSpaceDN w:val="0"/>
        <w:adjustRightInd w:val="0"/>
        <w:spacing w:after="120" w:line="276" w:lineRule="auto"/>
        <w:jc w:val="both"/>
      </w:pPr>
      <w:r>
        <w:t xml:space="preserve">Užší vymezení problémové </w:t>
      </w:r>
      <w:r w:rsidR="00A720FB">
        <w:t>situace</w:t>
      </w:r>
      <w:r>
        <w:t xml:space="preserve"> uvádí Linhart </w:t>
      </w:r>
      <w:r w:rsidRPr="004A7C24">
        <w:t>(1976, s. 34)</w:t>
      </w:r>
      <w:r>
        <w:t xml:space="preserve">, </w:t>
      </w:r>
      <w:r w:rsidR="0034159B">
        <w:t>který</w:t>
      </w:r>
      <w:r>
        <w:t xml:space="preserve"> uvádí, že problémo</w:t>
      </w:r>
      <w:r w:rsidRPr="004A7C24">
        <w:t>vá situace zahrnuje větší množství předmětů se vzáj</w:t>
      </w:r>
      <w:r w:rsidR="0034159B">
        <w:t>e</w:t>
      </w:r>
      <w:r w:rsidRPr="004A7C24">
        <w:t xml:space="preserve">mně protikladnými vlastnostmi, které vytvářejí vnitřně rozporné vztahy. Řešení problému spočívá v odhalení podstatných vztahů, daných </w:t>
      </w:r>
      <w:r w:rsidR="0034159B">
        <w:t xml:space="preserve">implicitně v problémové situaci. </w:t>
      </w:r>
      <w:r w:rsidR="002B7D3B" w:rsidRPr="00440277">
        <w:t xml:space="preserve">Problémové situace jsou zdrojem problémových učebních úloh a podkladem pro utváření </w:t>
      </w:r>
      <w:r w:rsidR="002B7D3B">
        <w:t xml:space="preserve">znalostí (zejm. pojmů) </w:t>
      </w:r>
      <w:r w:rsidR="002B7D3B" w:rsidRPr="00440277">
        <w:t xml:space="preserve">potřebných k jejich řešení. </w:t>
      </w:r>
      <w:r w:rsidR="002B7D3B">
        <w:t>V kognitivní</w:t>
      </w:r>
      <w:r w:rsidR="002B7D3B" w:rsidRPr="00440277">
        <w:t xml:space="preserve"> psychologii </w:t>
      </w:r>
      <w:r w:rsidR="002B7D3B">
        <w:t xml:space="preserve">se </w:t>
      </w:r>
      <w:r w:rsidR="002B7D3B" w:rsidRPr="00440277">
        <w:t>rozlišují dva druhy strategií plánování – algoritmické a heuristické. Algoritmus spočívá v řadě určitých pravidel, která, pokud jsou správně aplikována, vedou jednoznačně ke správnému výsledku. Heurismus výrazně přispívá k nalezení řešení, ale negarantuje ho (</w:t>
      </w:r>
      <w:r w:rsidR="0034159B">
        <w:t xml:space="preserve">srov. </w:t>
      </w:r>
      <w:r w:rsidR="002B7D3B" w:rsidRPr="00440277">
        <w:t>Lass</w:t>
      </w:r>
      <w:r w:rsidR="002B7D3B">
        <w:t xml:space="preserve"> &amp; </w:t>
      </w:r>
      <w:r w:rsidR="002B7D3B" w:rsidRPr="00440277">
        <w:t>Lüer, 1990, s. 302).</w:t>
      </w:r>
      <w:r w:rsidR="002B7D3B">
        <w:t xml:space="preserve"> </w:t>
      </w:r>
      <w:r w:rsidR="002B7D3B" w:rsidRPr="00440277">
        <w:t>Zde je třeba rozlišovat problém a úlohu, přičemž úlohu je možné vyřešit s využitím bě</w:t>
      </w:r>
      <w:r w:rsidR="00002951">
        <w:t>žných rutinních postupů (</w:t>
      </w:r>
      <w:r w:rsidR="0034159B">
        <w:t xml:space="preserve">podrobněji viz </w:t>
      </w:r>
      <w:r w:rsidR="00002951">
        <w:t>Abele e</w:t>
      </w:r>
      <w:r w:rsidR="002B7D3B" w:rsidRPr="00440277">
        <w:t>t al., 2012</w:t>
      </w:r>
      <w:r w:rsidR="0034159B">
        <w:t xml:space="preserve"> aj.</w:t>
      </w:r>
      <w:r w:rsidR="002B7D3B" w:rsidRPr="00440277">
        <w:t>). Úloha je požadavek, k jehož řešení vystačí rutinní (reproduktivní) jednání, kterým již subjekt di</w:t>
      </w:r>
      <w:r w:rsidR="002B7D3B">
        <w:t>sponuje. Problém je požadavek,</w:t>
      </w:r>
      <w:r w:rsidR="002B7D3B" w:rsidRPr="00440277">
        <w:t xml:space="preserve"> jehož </w:t>
      </w:r>
      <w:r w:rsidR="002B7D3B">
        <w:t xml:space="preserve">splnění </w:t>
      </w:r>
      <w:r w:rsidR="002B7D3B" w:rsidRPr="00440277">
        <w:t>nespočívá v aplikaci běžných (rutinních postupů), neboť ty nevedou k očekávanému cíli</w:t>
      </w:r>
      <w:r w:rsidR="002B7D3B">
        <w:t>, a</w:t>
      </w:r>
      <w:r w:rsidR="002B7D3B" w:rsidRPr="00440277">
        <w:t>le ve vytvoření plánu, který následně může vést k dosažení cíle</w:t>
      </w:r>
      <w:r w:rsidR="002B7D3B">
        <w:t xml:space="preserve"> a případně k vytvoření příslušného algoritmu</w:t>
      </w:r>
      <w:r w:rsidR="002B7D3B" w:rsidRPr="00440277">
        <w:t xml:space="preserve"> (produktivní jednání).</w:t>
      </w:r>
    </w:p>
    <w:p w:rsidR="002B7D3B" w:rsidRPr="00440277" w:rsidRDefault="002B7D3B" w:rsidP="002B7D3B">
      <w:pPr>
        <w:autoSpaceDE w:val="0"/>
        <w:autoSpaceDN w:val="0"/>
        <w:adjustRightInd w:val="0"/>
        <w:spacing w:after="120" w:line="276" w:lineRule="auto"/>
        <w:jc w:val="both"/>
      </w:pPr>
      <w:r w:rsidRPr="00440277">
        <w:t>Linhart (1976, s. 384</w:t>
      </w:r>
      <w:r w:rsidR="009960B5">
        <w:t>, srov. obr. 6</w:t>
      </w:r>
      <w:r w:rsidRPr="00440277">
        <w:t xml:space="preserve">) vytvořil na základě stanovení objektivních i subjektivních podmínek typologii situací, které člověk poznává a řeší. </w:t>
      </w:r>
    </w:p>
    <w:p w:rsidR="002B7D3B" w:rsidRPr="00440277" w:rsidRDefault="002B7D3B" w:rsidP="00FE68D6">
      <w:pPr>
        <w:numPr>
          <w:ilvl w:val="0"/>
          <w:numId w:val="15"/>
        </w:numPr>
        <w:autoSpaceDE w:val="0"/>
        <w:autoSpaceDN w:val="0"/>
        <w:adjustRightInd w:val="0"/>
        <w:spacing w:after="120" w:line="276" w:lineRule="auto"/>
        <w:jc w:val="both"/>
      </w:pPr>
      <w:r w:rsidRPr="00440277">
        <w:t xml:space="preserve">Člověk neprovádí (resp. nemůže provádět) žádnou činnost a situace, v níž se nachází, a) se buď mění, b) nebo se </w:t>
      </w:r>
      <w:r w:rsidR="008E60C6" w:rsidRPr="00440277">
        <w:t>nemění</w:t>
      </w:r>
      <w:r w:rsidRPr="00440277">
        <w:t xml:space="preserve">. </w:t>
      </w:r>
      <w:r w:rsidRPr="00440277">
        <w:tab/>
      </w:r>
    </w:p>
    <w:p w:rsidR="002B7D3B" w:rsidRPr="00440277" w:rsidRDefault="002B7D3B" w:rsidP="00FE68D6">
      <w:pPr>
        <w:numPr>
          <w:ilvl w:val="0"/>
          <w:numId w:val="15"/>
        </w:numPr>
        <w:autoSpaceDE w:val="0"/>
        <w:autoSpaceDN w:val="0"/>
        <w:adjustRightInd w:val="0"/>
        <w:spacing w:after="120" w:line="276" w:lineRule="auto"/>
        <w:jc w:val="both"/>
      </w:pPr>
      <w:r w:rsidRPr="00440277">
        <w:t xml:space="preserve">Člověk je aktivní a a) může měnit situaci a vývoj událostí, b) nemůže je měnit. </w:t>
      </w:r>
    </w:p>
    <w:p w:rsidR="002B7D3B" w:rsidRPr="00440277" w:rsidRDefault="00A11026" w:rsidP="00952E6A">
      <w:pPr>
        <w:autoSpaceDE w:val="0"/>
        <w:autoSpaceDN w:val="0"/>
        <w:adjustRightInd w:val="0"/>
        <w:spacing w:after="120" w:line="276" w:lineRule="auto"/>
        <w:jc w:val="both"/>
      </w:pPr>
      <w:r>
        <w:t>Uvedené</w:t>
      </w:r>
      <w:r w:rsidR="002B7D3B" w:rsidRPr="00440277">
        <w:t xml:space="preserve"> třídění činností je možné považovat za východisko typologie problémových situací. Situace lze rozdělit předně na situace podle kritéria aktivity</w:t>
      </w:r>
      <w:r w:rsidR="002B7D3B">
        <w:t>. Č</w:t>
      </w:r>
      <w:r w:rsidR="002B7D3B" w:rsidRPr="00440277">
        <w:t xml:space="preserve">lověk buď nemůže být aktivní a neřeší žádný problém (situace NA), nebo jsou vytvořeny podmínky pro jeho aktivitu (situace A). Alternativa A se dále dělí podle subjektivních kritérií nutnosti nebo náhodnosti (pravděpodobnosti). Kategorie nutnosti je charakteristická pro známé situace; zde je člověk činný podle vrozeného nebo naučeného programu, jenž se určen cílem chování (situace P). V nových </w:t>
      </w:r>
      <w:r w:rsidR="008E60C6" w:rsidRPr="00440277">
        <w:t>situacích</w:t>
      </w:r>
      <w:r w:rsidR="002B7D3B" w:rsidRPr="00440277">
        <w:t>, pro něž je příznačný moment neurčitosti, člověk řeší problém (PS), hledí nový postup a tvoří si nový program činnosti. Zde nastává vlastní produktivní nebo heuristická činnost; člověk buď nemá program činnosti, nebo má program nedostatečný. Problémové situace (PS) lze dále dělit na dobře strukturované problémy (DSP) a neúplně strukturované problémy (NSP); DSP mohou být řešeny algoritmickým postupem (může je řešit i stroj). Naproti tomu neúplně strukturované problémy může řešit jen člověk; většina problémů, které člověk řeší, jsou typu NSP. Pro tyto neúplně strukturované problémy buď existuje algoritmus, ale je neznámý (ANZ), nebo neexistuje možnost algoritmického v</w:t>
      </w:r>
      <w:r w:rsidR="002B7D3B">
        <w:t>y</w:t>
      </w:r>
      <w:r w:rsidR="002B7D3B" w:rsidRPr="00440277">
        <w:t xml:space="preserve">jádření (AN). </w:t>
      </w:r>
    </w:p>
    <w:p w:rsidR="002B7D3B" w:rsidRDefault="00F24728" w:rsidP="00F24728">
      <w:pPr>
        <w:autoSpaceDE w:val="0"/>
        <w:autoSpaceDN w:val="0"/>
        <w:adjustRightInd w:val="0"/>
        <w:spacing w:after="120" w:line="276" w:lineRule="auto"/>
        <w:jc w:val="center"/>
      </w:pPr>
      <w:r>
        <w:rPr>
          <w:noProof/>
        </w:rPr>
        <w:drawing>
          <wp:inline distT="0" distB="0" distL="0" distR="0">
            <wp:extent cx="2048157" cy="2656936"/>
            <wp:effectExtent l="19050" t="0" r="9243" b="0"/>
            <wp:docPr id="15" name="Obrázek 14" descr="Obrázek 05_Linh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05_Linhart.png"/>
                    <pic:cNvPicPr/>
                  </pic:nvPicPr>
                  <pic:blipFill>
                    <a:blip r:embed="rId17" cstate="print"/>
                    <a:stretch>
                      <a:fillRect/>
                    </a:stretch>
                  </pic:blipFill>
                  <pic:spPr>
                    <a:xfrm>
                      <a:off x="0" y="0"/>
                      <a:ext cx="2047588" cy="2656198"/>
                    </a:xfrm>
                    <a:prstGeom prst="rect">
                      <a:avLst/>
                    </a:prstGeom>
                  </pic:spPr>
                </pic:pic>
              </a:graphicData>
            </a:graphic>
          </wp:inline>
        </w:drawing>
      </w:r>
    </w:p>
    <w:p w:rsidR="0060360F" w:rsidRPr="0060360F" w:rsidRDefault="0060360F" w:rsidP="0060360F">
      <w:pPr>
        <w:pStyle w:val="Titulek"/>
        <w:rPr>
          <w:b w:val="0"/>
          <w:sz w:val="24"/>
          <w:szCs w:val="24"/>
        </w:rPr>
      </w:pPr>
      <w:bookmarkStart w:id="32" w:name="_Toc399789144"/>
      <w:r w:rsidRPr="0060360F">
        <w:rPr>
          <w:b w:val="0"/>
          <w:i/>
          <w:sz w:val="24"/>
          <w:szCs w:val="24"/>
        </w:rPr>
        <w:t xml:space="preserve">Obrázek </w:t>
      </w:r>
      <w:r w:rsidR="003818A1" w:rsidRPr="0060360F">
        <w:rPr>
          <w:b w:val="0"/>
          <w:i/>
          <w:sz w:val="24"/>
          <w:szCs w:val="24"/>
        </w:rPr>
        <w:fldChar w:fldCharType="begin"/>
      </w:r>
      <w:r w:rsidRPr="0060360F">
        <w:rPr>
          <w:b w:val="0"/>
          <w:i/>
          <w:sz w:val="24"/>
          <w:szCs w:val="24"/>
        </w:rPr>
        <w:instrText xml:space="preserve"> SEQ Obrázek \* ARABIC </w:instrText>
      </w:r>
      <w:r w:rsidR="003818A1" w:rsidRPr="0060360F">
        <w:rPr>
          <w:b w:val="0"/>
          <w:i/>
          <w:sz w:val="24"/>
          <w:szCs w:val="24"/>
        </w:rPr>
        <w:fldChar w:fldCharType="separate"/>
      </w:r>
      <w:r w:rsidR="00FB20B9">
        <w:rPr>
          <w:b w:val="0"/>
          <w:i/>
          <w:noProof/>
          <w:sz w:val="24"/>
          <w:szCs w:val="24"/>
        </w:rPr>
        <w:t>6</w:t>
      </w:r>
      <w:r w:rsidR="003818A1" w:rsidRPr="0060360F">
        <w:rPr>
          <w:b w:val="0"/>
          <w:i/>
          <w:sz w:val="24"/>
          <w:szCs w:val="24"/>
        </w:rPr>
        <w:fldChar w:fldCharType="end"/>
      </w:r>
      <w:r w:rsidRPr="0060360F">
        <w:rPr>
          <w:b w:val="0"/>
          <w:i/>
          <w:sz w:val="24"/>
          <w:szCs w:val="24"/>
        </w:rPr>
        <w:t>.</w:t>
      </w:r>
      <w:r w:rsidRPr="0060360F">
        <w:rPr>
          <w:b w:val="0"/>
          <w:sz w:val="24"/>
          <w:szCs w:val="24"/>
        </w:rPr>
        <w:t xml:space="preserve"> </w:t>
      </w:r>
      <w:r w:rsidR="002B7D3B" w:rsidRPr="0060360F">
        <w:rPr>
          <w:b w:val="0"/>
          <w:sz w:val="24"/>
          <w:szCs w:val="24"/>
        </w:rPr>
        <w:t>Klasifikace situací s</w:t>
      </w:r>
      <w:r w:rsidRPr="0060360F">
        <w:rPr>
          <w:b w:val="0"/>
          <w:sz w:val="24"/>
          <w:szCs w:val="24"/>
        </w:rPr>
        <w:t>e zřetelem k typologii problémů.</w:t>
      </w:r>
      <w:bookmarkEnd w:id="32"/>
      <w:r w:rsidRPr="0060360F">
        <w:rPr>
          <w:b w:val="0"/>
          <w:sz w:val="24"/>
          <w:szCs w:val="24"/>
        </w:rPr>
        <w:t xml:space="preserve"> </w:t>
      </w:r>
    </w:p>
    <w:p w:rsidR="002B7D3B" w:rsidRPr="000E6CEC" w:rsidRDefault="000E6CEC" w:rsidP="00952E6A">
      <w:pPr>
        <w:autoSpaceDE w:val="0"/>
        <w:autoSpaceDN w:val="0"/>
        <w:adjustRightInd w:val="0"/>
        <w:spacing w:after="120" w:line="276" w:lineRule="auto"/>
        <w:jc w:val="both"/>
        <w:rPr>
          <w:sz w:val="20"/>
          <w:szCs w:val="20"/>
        </w:rPr>
      </w:pPr>
      <w:r w:rsidRPr="000E6CEC">
        <w:rPr>
          <w:sz w:val="20"/>
          <w:szCs w:val="20"/>
        </w:rPr>
        <w:t>Pozn.: Převzato z</w:t>
      </w:r>
      <w:r w:rsidR="0060360F" w:rsidRPr="000E6CEC">
        <w:rPr>
          <w:sz w:val="20"/>
          <w:szCs w:val="20"/>
        </w:rPr>
        <w:t xml:space="preserve"> </w:t>
      </w:r>
      <w:r w:rsidR="002B7D3B" w:rsidRPr="000E6CEC">
        <w:rPr>
          <w:sz w:val="20"/>
          <w:szCs w:val="20"/>
        </w:rPr>
        <w:t>Linhart</w:t>
      </w:r>
      <w:r w:rsidR="0060360F" w:rsidRPr="000E6CEC">
        <w:rPr>
          <w:sz w:val="20"/>
          <w:szCs w:val="20"/>
        </w:rPr>
        <w:t xml:space="preserve"> (</w:t>
      </w:r>
      <w:r w:rsidR="002B7D3B" w:rsidRPr="000E6CEC">
        <w:rPr>
          <w:sz w:val="20"/>
          <w:szCs w:val="20"/>
        </w:rPr>
        <w:t>1976, s. 384)</w:t>
      </w:r>
      <w:r w:rsidR="0060360F" w:rsidRPr="000E6CEC">
        <w:rPr>
          <w:sz w:val="20"/>
          <w:szCs w:val="20"/>
        </w:rPr>
        <w:t xml:space="preserve">. </w:t>
      </w:r>
      <w:r w:rsidR="002B7D3B" w:rsidRPr="000E6CEC">
        <w:rPr>
          <w:sz w:val="20"/>
          <w:szCs w:val="20"/>
        </w:rPr>
        <w:t xml:space="preserve">S – situace; NA – člověk nemůže být aktivní; A – člověk může být aktivní; P – člověk má program; PS – problémová situace; DSP – dobře strukturované problémy; ANZ – algoritmus není znám; AN – algoritmus neexistuje. </w:t>
      </w:r>
    </w:p>
    <w:p w:rsidR="002B7D3B" w:rsidRDefault="002B7D3B" w:rsidP="00952E6A">
      <w:pPr>
        <w:autoSpaceDE w:val="0"/>
        <w:autoSpaceDN w:val="0"/>
        <w:adjustRightInd w:val="0"/>
        <w:spacing w:after="120" w:line="276" w:lineRule="auto"/>
        <w:jc w:val="both"/>
      </w:pPr>
    </w:p>
    <w:p w:rsidR="002B7D3B" w:rsidRPr="00440277" w:rsidRDefault="002B7D3B" w:rsidP="00952E6A">
      <w:pPr>
        <w:autoSpaceDE w:val="0"/>
        <w:autoSpaceDN w:val="0"/>
        <w:adjustRightInd w:val="0"/>
        <w:spacing w:after="120" w:line="276" w:lineRule="auto"/>
        <w:jc w:val="both"/>
      </w:pPr>
      <w:r w:rsidRPr="00440277">
        <w:t>Rutinní učební úlohy je třeba odlišit od řešení problémů, neboť z psychologického hlediska vyžadují jiné strategie řešení. Rutinní učební úlohy je možné zvládat s využitím algoritmu. Algoritmus je možné definovat jako sled jasně stanovených kroků vedoucích k řešení učební úlohy nebo typově obdobných úloh. Pro řešení autentických problémů není žádný algoritmus k dispozici. Postup řešení není algoritmický, ale heuristický. V případě heuristických strategií</w:t>
      </w:r>
      <w:r w:rsidRPr="00440277">
        <w:rPr>
          <w:rStyle w:val="Znakapoznpodarou"/>
        </w:rPr>
        <w:footnoteReference w:id="31"/>
      </w:r>
      <w:r w:rsidRPr="00440277">
        <w:t xml:space="preserve"> není zaručeno, že zvolený postup povede k úspěšnému řešení učební úlohy. V případě nalezení úspěšného řešení se může problémová učební úloha stát úlohou rutinní.</w:t>
      </w:r>
    </w:p>
    <w:p w:rsidR="002B7D3B" w:rsidRDefault="002B7D3B" w:rsidP="00952E6A">
      <w:pPr>
        <w:autoSpaceDE w:val="0"/>
        <w:autoSpaceDN w:val="0"/>
        <w:adjustRightInd w:val="0"/>
        <w:spacing w:after="120" w:line="276" w:lineRule="auto"/>
        <w:jc w:val="both"/>
      </w:pPr>
      <w:r w:rsidRPr="00FF27C3">
        <w:t>Jestliže dosažení cíle (nalezení řešení problému) vyžaduje vybavení si nějaké vzpomínky, nejedná se o problém. Pokud si ale postup k úspěšnému řešení okamžitě nevybavíme, máme problém, který je třeba řešit. S přihlédnutím k výše uvedenému vymezení je třeba upozornit, že ve školní výuce se v podstatě o klasické řešení problémů nejedná, procesy komplexních problémů tam možná vůbec nejsou rozvíjeny. Jedná se o řešení problémových učebních úloh, jejichž charakteristiky a situační kontext jsou blízké teoretickému vymezení problému, o němž pojednáváme v této kapitole. V následující kapitole se věnujeme klasifikaci problémů.</w:t>
      </w:r>
    </w:p>
    <w:p w:rsidR="002B7D3B" w:rsidRPr="00FF27C3" w:rsidRDefault="002B7D3B" w:rsidP="00952E6A">
      <w:pPr>
        <w:autoSpaceDE w:val="0"/>
        <w:autoSpaceDN w:val="0"/>
        <w:adjustRightInd w:val="0"/>
        <w:spacing w:after="120" w:line="276" w:lineRule="auto"/>
        <w:jc w:val="both"/>
      </w:pPr>
    </w:p>
    <w:p w:rsidR="002B7D3B" w:rsidRDefault="002B7D3B" w:rsidP="00952E6A">
      <w:pPr>
        <w:pStyle w:val="Nadpis3"/>
        <w:spacing w:before="0" w:after="120"/>
      </w:pPr>
      <w:bookmarkStart w:id="33" w:name="_Toc399775397"/>
      <w:r>
        <w:t>Typologie problémů</w:t>
      </w:r>
      <w:bookmarkEnd w:id="33"/>
    </w:p>
    <w:p w:rsidR="002B7D3B" w:rsidRDefault="002B7D3B" w:rsidP="00952E6A">
      <w:pPr>
        <w:spacing w:after="120" w:line="276" w:lineRule="auto"/>
        <w:jc w:val="both"/>
      </w:pPr>
      <w:r>
        <w:t xml:space="preserve">Klasifikace a typologie problémů jsou poměrně nejednotné. </w:t>
      </w:r>
      <w:r w:rsidR="0034159B" w:rsidRPr="00EC6EC8">
        <w:t>Detailní přehled různých klasifikací problémů podávají např. Arlin (1989), Lüer a Spada (1992) aj.</w:t>
      </w:r>
      <w:r w:rsidR="0034159B">
        <w:t xml:space="preserve"> </w:t>
      </w:r>
      <w:r>
        <w:t xml:space="preserve">Přestože je poměrně obtížné různé problémy jednoznačně klasifikovat, jsou taxonomie nezbytnou pomůckou při zkoumání problémů. Řešení problémů není uniformní aktivita. Všechny problémy nejsou stejné – liší se z hlediska obsahu, formy nebo komplexnosti mentálních schémat vzniklých v procesu jejich řešení. </w:t>
      </w:r>
      <w:r w:rsidR="001A4A35">
        <w:t>V této kapitole popisujeme pouze vybrané klasifikace problémů, které jsme posoudili jako relevantní vzhledem k tématu publikace.</w:t>
      </w:r>
    </w:p>
    <w:p w:rsidR="002B7D3B" w:rsidRDefault="002B7D3B" w:rsidP="00952E6A">
      <w:pPr>
        <w:autoSpaceDE w:val="0"/>
        <w:autoSpaceDN w:val="0"/>
        <w:adjustRightInd w:val="0"/>
        <w:spacing w:after="120" w:line="276" w:lineRule="auto"/>
        <w:jc w:val="both"/>
      </w:pPr>
    </w:p>
    <w:p w:rsidR="002B7D3B" w:rsidRPr="00A74542" w:rsidRDefault="0025672E" w:rsidP="00A74542">
      <w:pPr>
        <w:pStyle w:val="Nadpis4"/>
        <w:numPr>
          <w:ilvl w:val="0"/>
          <w:numId w:val="0"/>
        </w:numPr>
      </w:pPr>
      <w:r w:rsidRPr="00A74542">
        <w:t>Typologie problémů d</w:t>
      </w:r>
      <w:r w:rsidR="002B7D3B" w:rsidRPr="00A74542">
        <w:t xml:space="preserve">le úplnosti </w:t>
      </w:r>
      <w:r w:rsidRPr="00A74542">
        <w:t xml:space="preserve">jejich </w:t>
      </w:r>
      <w:r w:rsidR="002B7D3B" w:rsidRPr="00A74542">
        <w:t xml:space="preserve">specifikace </w:t>
      </w:r>
    </w:p>
    <w:p w:rsidR="002B7D3B" w:rsidRDefault="002B7D3B" w:rsidP="00952E6A">
      <w:pPr>
        <w:spacing w:after="120" w:line="276" w:lineRule="auto"/>
        <w:jc w:val="both"/>
      </w:pPr>
      <w:r>
        <w:t xml:space="preserve">Problémy, které je možné řešit poměrně jasným postupy, bývají kognitivními psychology označovány jako </w:t>
      </w:r>
      <w:r w:rsidRPr="00C407C1">
        <w:rPr>
          <w:i/>
        </w:rPr>
        <w:t>dobře strukturovan</w:t>
      </w:r>
      <w:r>
        <w:rPr>
          <w:i/>
        </w:rPr>
        <w:t>é</w:t>
      </w:r>
      <w:r w:rsidRPr="00C407C1">
        <w:rPr>
          <w:i/>
        </w:rPr>
        <w:t xml:space="preserve"> </w:t>
      </w:r>
      <w:r>
        <w:t xml:space="preserve">(nebo také dobře definované; angl. well-structured / well-defined, </w:t>
      </w:r>
      <w:r w:rsidRPr="00FF27C3">
        <w:t>např. „Vymaluj pokoj na růžovo!“</w:t>
      </w:r>
      <w:r>
        <w:t xml:space="preserve">). Problémy, které řešení nemají, se nazývají </w:t>
      </w:r>
      <w:r>
        <w:rPr>
          <w:i/>
        </w:rPr>
        <w:t>neúplně</w:t>
      </w:r>
      <w:r w:rsidRPr="00C407C1">
        <w:rPr>
          <w:i/>
        </w:rPr>
        <w:t xml:space="preserve"> strukturované </w:t>
      </w:r>
      <w:r>
        <w:t>(nebo také neúplně definované; angl. ill-structured / ill-defined,</w:t>
      </w:r>
      <w:r w:rsidRPr="00B40B77">
        <w:t xml:space="preserve"> </w:t>
      </w:r>
      <w:r w:rsidRPr="00FF27C3">
        <w:t>např. „Zútulni to tu!“</w:t>
      </w:r>
      <w:r w:rsidR="0034159B">
        <w:t>).</w:t>
      </w:r>
      <w:r w:rsidRPr="00FF27C3">
        <w:rPr>
          <w:vertAlign w:val="superscript"/>
        </w:rPr>
        <w:footnoteReference w:id="32"/>
      </w:r>
    </w:p>
    <w:p w:rsidR="002B7D3B" w:rsidRPr="00FF27C3" w:rsidRDefault="002B7D3B" w:rsidP="00952E6A">
      <w:pPr>
        <w:spacing w:after="120" w:line="276" w:lineRule="auto"/>
        <w:jc w:val="both"/>
      </w:pPr>
      <w:r w:rsidRPr="00FF27C3">
        <w:t xml:space="preserve">Dobře </w:t>
      </w:r>
      <w:r>
        <w:t>strukturovaný</w:t>
      </w:r>
      <w:r w:rsidRPr="00FF27C3">
        <w:t xml:space="preserve"> problém je možné v případě potřeby rozložit do řady menších problémů. Problém je poté možné </w:t>
      </w:r>
      <w:r w:rsidR="008E60C6" w:rsidRPr="00FF27C3">
        <w:t>vyřešit</w:t>
      </w:r>
      <w:r w:rsidRPr="00FF27C3">
        <w:t xml:space="preserve"> s využitím souboru rekurzivních operací nebo algoritmů. Oproti tomu, špatně definovaný problém není možné </w:t>
      </w:r>
      <w:r w:rsidR="008E60C6">
        <w:t>v</w:t>
      </w:r>
      <w:r w:rsidRPr="00FF27C3">
        <w:t>yřešit s využitím algoritmů, protože problém není možné rozložit na dílčí komponenty.</w:t>
      </w:r>
      <w:r w:rsidRPr="00C800C7">
        <w:t xml:space="preserve"> </w:t>
      </w:r>
      <w:r>
        <w:t xml:space="preserve">Jsou to právě dobře strukturované problémy, se kterými se žáci zpravidla setkávají ve školní výuce. </w:t>
      </w:r>
      <w:r w:rsidRPr="00FF27C3">
        <w:t>Dobře strukturované problémy</w:t>
      </w:r>
      <w:r>
        <w:t xml:space="preserve"> mají většinou </w:t>
      </w:r>
      <w:r w:rsidRPr="00FF27C3">
        <w:t>jasný</w:t>
      </w:r>
      <w:r>
        <w:t xml:space="preserve"> způsob řešení; </w:t>
      </w:r>
      <w:r w:rsidRPr="00FF27C3">
        <w:t xml:space="preserve">vyžadují aplikovat určité koncepty, pravidla a principy, které jsou zpravidla probírány ve výuce. Počáteční stav problému i cílový stav jsou předem známy a zpravidla je znám také postup nebo sled logických operací vedoucí k vytýčenému cíli. </w:t>
      </w:r>
      <w:r>
        <w:t xml:space="preserve">Některé tyto problémy je možné řešit například </w:t>
      </w:r>
      <w:r w:rsidRPr="00966C92">
        <w:t xml:space="preserve">pomocí algoritmů </w:t>
      </w:r>
      <w:r w:rsidR="00966C92">
        <w:t>(</w:t>
      </w:r>
      <w:r w:rsidRPr="00966C92">
        <w:t>v tomto případě jedná o problémové učební úlohy</w:t>
      </w:r>
      <w:r w:rsidR="00966C92">
        <w:t>; srov. předchozí kapitolu</w:t>
      </w:r>
      <w:r w:rsidRPr="00966C92">
        <w:t>).</w:t>
      </w:r>
      <w:r w:rsidRPr="00C800C7">
        <w:rPr>
          <w:color w:val="FF0000"/>
        </w:rPr>
        <w:t xml:space="preserve"> </w:t>
      </w:r>
    </w:p>
    <w:p w:rsidR="002B7D3B" w:rsidRDefault="002B7D3B" w:rsidP="00952E6A">
      <w:pPr>
        <w:autoSpaceDE w:val="0"/>
        <w:autoSpaceDN w:val="0"/>
        <w:adjustRightInd w:val="0"/>
        <w:spacing w:after="120" w:line="276" w:lineRule="auto"/>
        <w:jc w:val="both"/>
      </w:pPr>
      <w:r w:rsidRPr="00FF27C3">
        <w:t>Opakem dobře strukturovaných problémů jsou špatně strukturované problémy. Tyto problémy jsou zpravidla nepředvídatelné, přesahují hranice jednotlivých oborů a proces jejich řešení není předem znám</w:t>
      </w:r>
      <w:r w:rsidRPr="00FF27C3">
        <w:rPr>
          <w:vertAlign w:val="superscript"/>
        </w:rPr>
        <w:footnoteReference w:id="33"/>
      </w:r>
      <w:r w:rsidRPr="00FF27C3">
        <w:t xml:space="preserve">. </w:t>
      </w:r>
      <w:r>
        <w:t>Při řešení špatně strukturovaných problémů má na úspěšnost jejich řešení vliv především volba vhodné reprezentace problému (založená především na organizaci a schematizaci znalostí).</w:t>
      </w:r>
    </w:p>
    <w:p w:rsidR="002B7D3B" w:rsidRDefault="002B7D3B" w:rsidP="00952E6A">
      <w:pPr>
        <w:autoSpaceDE w:val="0"/>
        <w:autoSpaceDN w:val="0"/>
        <w:adjustRightInd w:val="0"/>
        <w:spacing w:after="120" w:line="276" w:lineRule="auto"/>
        <w:jc w:val="both"/>
        <w:rPr>
          <w:i/>
        </w:rPr>
      </w:pPr>
    </w:p>
    <w:p w:rsidR="002B7D3B" w:rsidRPr="002D5F18" w:rsidRDefault="0025672E" w:rsidP="00A74542">
      <w:pPr>
        <w:pStyle w:val="Nadpis4"/>
        <w:numPr>
          <w:ilvl w:val="0"/>
          <w:numId w:val="0"/>
        </w:numPr>
        <w:spacing w:before="0" w:after="120"/>
      </w:pPr>
      <w:r>
        <w:t>Typologie problémů d</w:t>
      </w:r>
      <w:r w:rsidRPr="000362AC">
        <w:t>le</w:t>
      </w:r>
      <w:r w:rsidR="002B7D3B" w:rsidRPr="002D5F18">
        <w:t xml:space="preserve"> </w:t>
      </w:r>
      <w:r w:rsidR="00B4676B">
        <w:t>jejich cílového zaměření</w:t>
      </w:r>
    </w:p>
    <w:p w:rsidR="002B7D3B" w:rsidRDefault="002B7D3B" w:rsidP="00952E6A">
      <w:pPr>
        <w:autoSpaceDE w:val="0"/>
        <w:autoSpaceDN w:val="0"/>
        <w:adjustRightInd w:val="0"/>
        <w:spacing w:after="120" w:line="276" w:lineRule="auto"/>
        <w:jc w:val="both"/>
      </w:pPr>
      <w:r>
        <w:t>Ferstl (1979, s. 43) rozděluje jednotlivé typy problémů na základě jejich cíl</w:t>
      </w:r>
      <w:r w:rsidR="00B4676B">
        <w:t>ového zaměření</w:t>
      </w:r>
      <w:r>
        <w:t>. Problémová situace se dle Ferstla skládá z objektu, cíle a množství postupů, s využitím kterých je možné dospět k cíli. V problémové situaci je nejprve nutné specifikovat všechny známé vlastnosti zkoumaného objektu. Následně je formulován cíl, ze kterého mimo jiné vyplývá, jaké neznámé vlastnosti systému je třeba posoudit. Ferstl (1979, s. 44) rozlišuje následující typy problémů:</w:t>
      </w:r>
    </w:p>
    <w:p w:rsidR="002B7D3B" w:rsidRDefault="002B7D3B" w:rsidP="00FE68D6">
      <w:pPr>
        <w:numPr>
          <w:ilvl w:val="0"/>
          <w:numId w:val="19"/>
        </w:numPr>
        <w:autoSpaceDE w:val="0"/>
        <w:autoSpaceDN w:val="0"/>
        <w:adjustRightInd w:val="0"/>
        <w:spacing w:after="120" w:line="276" w:lineRule="auto"/>
        <w:jc w:val="both"/>
      </w:pPr>
      <w:r>
        <w:t>Kontrukční problémy – usiluje se o hledání struktury systému, která se určitým způsobem projevuje. Konstrukční problém je možné pokládat za vyřešený, pokud je vytvořen systém, který se projevuje žádoucím způsobem</w:t>
      </w:r>
    </w:p>
    <w:p w:rsidR="002B7D3B" w:rsidRDefault="002B7D3B" w:rsidP="00FE68D6">
      <w:pPr>
        <w:numPr>
          <w:ilvl w:val="0"/>
          <w:numId w:val="19"/>
        </w:numPr>
        <w:autoSpaceDE w:val="0"/>
        <w:autoSpaceDN w:val="0"/>
        <w:adjustRightInd w:val="0"/>
        <w:spacing w:after="120" w:line="276" w:lineRule="auto"/>
        <w:jc w:val="both"/>
      </w:pPr>
      <w:r>
        <w:t>Analytické problémy – usiluje se o hledání podstaty (nežádoucího) chování systému, jehož struktura je předem známá. Často se jedná o hledání možných příčin jednak na vstupech a jednak na výstupech systému.</w:t>
      </w:r>
    </w:p>
    <w:p w:rsidR="002B7D3B" w:rsidRDefault="002B7D3B" w:rsidP="00FE68D6">
      <w:pPr>
        <w:numPr>
          <w:ilvl w:val="0"/>
          <w:numId w:val="19"/>
        </w:numPr>
        <w:autoSpaceDE w:val="0"/>
        <w:autoSpaceDN w:val="0"/>
        <w:adjustRightInd w:val="0"/>
        <w:spacing w:after="120" w:line="276" w:lineRule="auto"/>
        <w:jc w:val="both"/>
      </w:pPr>
      <w:r>
        <w:t xml:space="preserve">Rozhodovací problémy – </w:t>
      </w:r>
      <w:r w:rsidR="00A72745">
        <w:t>hledají se nutné vstupy</w:t>
      </w:r>
      <w:r>
        <w:t xml:space="preserve"> do systému, které vedou ke stanoveným výstupům. Výstupy ovšem nejsou detailně specifikovány, jejich charakteristiky je možné odvozovat pouze na základě hlavního cíle. Hlavní cíl přitom může být představovat úběžník komplexních, proměnlivých a vzájemně si konkurujících dílčích cílů.</w:t>
      </w:r>
    </w:p>
    <w:p w:rsidR="002B7D3B" w:rsidRDefault="002B7D3B" w:rsidP="00FE68D6">
      <w:pPr>
        <w:numPr>
          <w:ilvl w:val="0"/>
          <w:numId w:val="19"/>
        </w:numPr>
        <w:autoSpaceDE w:val="0"/>
        <w:autoSpaceDN w:val="0"/>
        <w:adjustRightInd w:val="0"/>
        <w:spacing w:after="120" w:line="276" w:lineRule="auto"/>
        <w:jc w:val="both"/>
      </w:pPr>
      <w:r>
        <w:t>Problémy černé skříňky</w:t>
      </w:r>
      <w:r w:rsidR="00BF37DF">
        <w:t xml:space="preserve"> </w:t>
      </w:r>
      <w:r>
        <w:t>– stejně jako v případě analytických problémů se usiluje o hledání příčiny určitého chování systému. Struktura tohoto systému ale není předem známá (černá skříňka).</w:t>
      </w:r>
    </w:p>
    <w:p w:rsidR="002B7D3B" w:rsidRDefault="002B7D3B" w:rsidP="00952E6A">
      <w:pPr>
        <w:autoSpaceDE w:val="0"/>
        <w:autoSpaceDN w:val="0"/>
        <w:adjustRightInd w:val="0"/>
        <w:spacing w:after="120" w:line="276" w:lineRule="auto"/>
        <w:jc w:val="both"/>
      </w:pPr>
      <w:r>
        <w:t>Výše uvedené dělení není bez výhrad. Ullrich (2005, s. 83) například upozorňuje, že každý analytický problém ukotvený v realitě je možné v mentální rovině převést do podoby konstrukčního problému. Při jeho řešení si subjekt může mentálně modelovat strukturu a podobu příslušného systému, a na základě tohoto mentálního modelu zaujímat stanoviska k projevům tohoto systému. Proto bývají ve výzkumu řešení problémů odlišovány reálné a formální problémové systémy, neboť v případě reálných systémů existuje možnost, že subjekt bude při řešení problémů čerpat ze svých dosavadních zkušeností, představ a mentálních modelů.</w:t>
      </w:r>
      <w:r>
        <w:rPr>
          <w:color w:val="FF0000"/>
        </w:rPr>
        <w:t xml:space="preserve"> </w:t>
      </w:r>
      <w:r>
        <w:t>To je také důvodem</w:t>
      </w:r>
      <w:r w:rsidR="00260799">
        <w:t xml:space="preserve"> vzájemné odlišnosti</w:t>
      </w:r>
      <w:r>
        <w:t xml:space="preserve"> </w:t>
      </w:r>
      <w:r w:rsidRPr="001F5B4F">
        <w:t>kognitivní</w:t>
      </w:r>
      <w:r w:rsidR="00260799">
        <w:t>ch</w:t>
      </w:r>
      <w:r>
        <w:t xml:space="preserve"> proces</w:t>
      </w:r>
      <w:r w:rsidR="00260799">
        <w:t>ů uplatňovaných</w:t>
      </w:r>
      <w:r>
        <w:t xml:space="preserve"> při řešení reálných a formálních </w:t>
      </w:r>
      <w:r w:rsidRPr="00B4676B">
        <w:t>problémů.</w:t>
      </w:r>
    </w:p>
    <w:p w:rsidR="002B7D3B" w:rsidRPr="00463202" w:rsidRDefault="002B7D3B" w:rsidP="00952E6A">
      <w:pPr>
        <w:autoSpaceDE w:val="0"/>
        <w:autoSpaceDN w:val="0"/>
        <w:adjustRightInd w:val="0"/>
        <w:spacing w:after="120" w:line="276" w:lineRule="auto"/>
        <w:jc w:val="both"/>
      </w:pPr>
      <w:r w:rsidRPr="00C62637">
        <w:t>Jonassen (</w:t>
      </w:r>
      <w:r w:rsidRPr="00463202">
        <w:t>2000</w:t>
      </w:r>
      <w:r w:rsidR="00A5680E" w:rsidRPr="00463202">
        <w:t>a</w:t>
      </w:r>
      <w:r w:rsidRPr="00463202">
        <w:t xml:space="preserve">) rozčlenil úplně a neúplně strukturované problémy </w:t>
      </w:r>
      <w:r w:rsidR="00B4676B" w:rsidRPr="00463202">
        <w:t xml:space="preserve">(srov. předchozí kapitolu) </w:t>
      </w:r>
      <w:r w:rsidRPr="00463202">
        <w:t>do dílčích kategorií.</w:t>
      </w:r>
      <w:r w:rsidRPr="00463202">
        <w:rPr>
          <w:rStyle w:val="Znakapoznpodarou"/>
        </w:rPr>
        <w:footnoteReference w:id="34"/>
      </w:r>
      <w:r w:rsidRPr="00463202">
        <w:t xml:space="preserve"> Jednotlivé kategorie problémů se nacházejí na trajektorii od dobře strukturovaných k neúplně strukturovaným, konkrétní</w:t>
      </w:r>
      <w:r w:rsidR="003922A5">
        <w:t>ch</w:t>
      </w:r>
      <w:r w:rsidRPr="00463202">
        <w:t xml:space="preserve"> k abstraktním, od jednoduchý</w:t>
      </w:r>
      <w:r w:rsidR="00260799" w:rsidRPr="00463202">
        <w:t>ch</w:t>
      </w:r>
      <w:r w:rsidRPr="00463202">
        <w:t xml:space="preserve"> ke komplexním.</w:t>
      </w:r>
      <w:r w:rsidR="00463202" w:rsidRPr="00463202">
        <w:t xml:space="preserve"> Konkrétně se jedná o:</w:t>
      </w:r>
    </w:p>
    <w:p w:rsidR="002B7D3B" w:rsidRPr="00463202" w:rsidRDefault="00A72745" w:rsidP="00952E6A">
      <w:pPr>
        <w:numPr>
          <w:ilvl w:val="0"/>
          <w:numId w:val="8"/>
        </w:numPr>
        <w:spacing w:after="120" w:line="276" w:lineRule="auto"/>
        <w:jc w:val="both"/>
      </w:pPr>
      <w:r w:rsidRPr="00463202">
        <w:t>Problémy v podobě příběhů (angl.</w:t>
      </w:r>
      <w:r w:rsidR="00A73E2E" w:rsidRPr="00463202">
        <w:t xml:space="preserve"> </w:t>
      </w:r>
      <w:r w:rsidR="00A73E2E" w:rsidRPr="00751F54">
        <w:rPr>
          <w:i/>
        </w:rPr>
        <w:t>s</w:t>
      </w:r>
      <w:r w:rsidR="002B7D3B" w:rsidRPr="00751F54">
        <w:rPr>
          <w:i/>
        </w:rPr>
        <w:t>tory problems</w:t>
      </w:r>
      <w:r w:rsidR="00A73E2E" w:rsidRPr="00463202">
        <w:t>)</w:t>
      </w:r>
      <w:r w:rsidR="002B7D3B" w:rsidRPr="00463202">
        <w:t xml:space="preserve"> – žáci se s tímto typem problémů nejčastěji setkávají ve výuce matematiky a přírodních věd. Typicky se jedná o krátký příběh zpravidla </w:t>
      </w:r>
      <w:r w:rsidR="00A73E2E" w:rsidRPr="00463202">
        <w:t>popsaný</w:t>
      </w:r>
      <w:r w:rsidR="002B7D3B" w:rsidRPr="00463202">
        <w:t xml:space="preserve"> v učebnici. </w:t>
      </w:r>
      <w:r w:rsidR="00A73E2E" w:rsidRPr="00463202">
        <w:t>Problémové příběhy</w:t>
      </w:r>
      <w:r w:rsidR="002B7D3B" w:rsidRPr="00463202">
        <w:t xml:space="preserve"> jsou z</w:t>
      </w:r>
      <w:r w:rsidR="00A73E2E" w:rsidRPr="00463202">
        <w:t>p</w:t>
      </w:r>
      <w:r w:rsidR="002B7D3B" w:rsidRPr="00463202">
        <w:t>ravidla řešeny tak, že žáci identifikují klíčové číselné hodnoty na základě stručného scénáře</w:t>
      </w:r>
      <w:r w:rsidR="00A73E2E" w:rsidRPr="00463202">
        <w:t>,</w:t>
      </w:r>
      <w:r w:rsidR="002B7D3B" w:rsidRPr="00463202">
        <w:t xml:space="preserve"> zvolí patřičný algoritmus, aplikují algoritmus za účelem získání kvantifikovatelného výsledku a následně si zkontrolují své odpovědi. Tento typ problémů je </w:t>
      </w:r>
      <w:r w:rsidR="00A73E2E" w:rsidRPr="00463202">
        <w:t xml:space="preserve">typický pro školní </w:t>
      </w:r>
      <w:r w:rsidR="00D22446" w:rsidRPr="00463202">
        <w:t>vzdělávání, kde je často reprezentovaný tzv. slovními úlohami</w:t>
      </w:r>
      <w:r w:rsidR="00A73E2E" w:rsidRPr="00463202">
        <w:t>.</w:t>
      </w:r>
      <w:r w:rsidR="002B7D3B" w:rsidRPr="00463202">
        <w:t xml:space="preserve"> </w:t>
      </w:r>
      <w:r w:rsidR="00A73E2E" w:rsidRPr="00463202">
        <w:t>Ř</w:t>
      </w:r>
      <w:r w:rsidR="002B7D3B" w:rsidRPr="00463202">
        <w:t xml:space="preserve">ešení tohoto typu problémů </w:t>
      </w:r>
      <w:r w:rsidR="00A73E2E" w:rsidRPr="00463202">
        <w:t>většinou ne</w:t>
      </w:r>
      <w:r w:rsidR="002B7D3B" w:rsidRPr="00463202">
        <w:t>vede k přirozenému transferu a aplikaci při řešení komplexních každodenních problémových situací.</w:t>
      </w:r>
      <w:r w:rsidR="00C805EA" w:rsidRPr="00463202">
        <w:rPr>
          <w:rStyle w:val="Znakapoznpodarou"/>
        </w:rPr>
        <w:footnoteReference w:id="35"/>
      </w:r>
    </w:p>
    <w:p w:rsidR="002B7D3B" w:rsidRPr="00463202" w:rsidRDefault="00A73E2E" w:rsidP="00952E6A">
      <w:pPr>
        <w:numPr>
          <w:ilvl w:val="0"/>
          <w:numId w:val="8"/>
        </w:numPr>
        <w:spacing w:after="120" w:line="276" w:lineRule="auto"/>
        <w:jc w:val="both"/>
      </w:pPr>
      <w:r w:rsidRPr="00463202">
        <w:t xml:space="preserve">Problémy založené na užití nebo </w:t>
      </w:r>
      <w:r w:rsidR="00A72745" w:rsidRPr="00463202">
        <w:t>vyvození</w:t>
      </w:r>
      <w:r w:rsidRPr="00463202">
        <w:t xml:space="preserve"> určitého pravidla</w:t>
      </w:r>
      <w:r w:rsidR="002B7D3B" w:rsidRPr="00463202">
        <w:t xml:space="preserve"> </w:t>
      </w:r>
      <w:r w:rsidRPr="00463202">
        <w:t xml:space="preserve">(angl. </w:t>
      </w:r>
      <w:r w:rsidRPr="00751F54">
        <w:rPr>
          <w:i/>
        </w:rPr>
        <w:t>rule-using/rule induction</w:t>
      </w:r>
      <w:r w:rsidRPr="00463202">
        <w:t xml:space="preserve">) </w:t>
      </w:r>
      <w:r w:rsidR="002B7D3B" w:rsidRPr="00463202">
        <w:t xml:space="preserve">– tento typ problémů má známá řešení, ale tato řešení jsou vícečetná, nebo vícečetná </w:t>
      </w:r>
      <w:r w:rsidR="00A72745" w:rsidRPr="00463202">
        <w:t xml:space="preserve">postupy/pravidla </w:t>
      </w:r>
      <w:r w:rsidR="002B7D3B" w:rsidRPr="00463202">
        <w:t xml:space="preserve">je třeba použít během procesu řešení těchto problémů. Mají jasný účel a cíl a jsou většinou vázány na specifický postup nebo metodu. Problémy mohou být jednoduché (jak ubytovat více hostů, jak zjistit, že nějaká knihovna má v držení určitou publikaci a následně si ji objednat), ale také složitější (vyplnit daňové přiznání). </w:t>
      </w:r>
      <w:r w:rsidRPr="00463202">
        <w:t>Indukce určitého pravidla</w:t>
      </w:r>
      <w:r w:rsidR="002B7D3B" w:rsidRPr="00463202">
        <w:t xml:space="preserve"> vyžaduje, že se žáci přesvědčí o tom, jak něj</w:t>
      </w:r>
      <w:r w:rsidRPr="00463202">
        <w:t>a</w:t>
      </w:r>
      <w:r w:rsidR="002B7D3B" w:rsidRPr="00463202">
        <w:t xml:space="preserve">ký systém funguje. Např. </w:t>
      </w:r>
      <w:r w:rsidRPr="00463202">
        <w:t xml:space="preserve">když je třeba zjistit, </w:t>
      </w:r>
      <w:r w:rsidR="002B7D3B" w:rsidRPr="00463202">
        <w:t>jak funguje nové dálkové televizní ovládání</w:t>
      </w:r>
      <w:r w:rsidRPr="00463202">
        <w:t>,</w:t>
      </w:r>
      <w:r w:rsidR="002B7D3B" w:rsidRPr="00463202">
        <w:t xml:space="preserve"> je možné</w:t>
      </w:r>
      <w:r w:rsidRPr="00463202">
        <w:t xml:space="preserve"> zkoušet</w:t>
      </w:r>
      <w:r w:rsidR="002B7D3B" w:rsidRPr="00463202">
        <w:t>, jak se stisknutí jednotlivých tlačíte</w:t>
      </w:r>
      <w:r w:rsidR="008E60C6">
        <w:t xml:space="preserve">k </w:t>
      </w:r>
      <w:r w:rsidR="002B7D3B" w:rsidRPr="00463202">
        <w:t xml:space="preserve">projevuje </w:t>
      </w:r>
      <w:r w:rsidR="00A72745" w:rsidRPr="00463202">
        <w:t xml:space="preserve">na </w:t>
      </w:r>
      <w:r w:rsidR="002B7D3B" w:rsidRPr="00463202">
        <w:t xml:space="preserve">fungování televizního přijímače. </w:t>
      </w:r>
    </w:p>
    <w:p w:rsidR="002B7D3B" w:rsidRPr="00463202" w:rsidRDefault="00077FD7" w:rsidP="00952E6A">
      <w:pPr>
        <w:numPr>
          <w:ilvl w:val="0"/>
          <w:numId w:val="8"/>
        </w:numPr>
        <w:spacing w:after="120" w:line="276" w:lineRule="auto"/>
        <w:jc w:val="both"/>
      </w:pPr>
      <w:r w:rsidRPr="00463202">
        <w:t>P</w:t>
      </w:r>
      <w:r w:rsidR="00A73E2E" w:rsidRPr="00463202">
        <w:t>roblémy</w:t>
      </w:r>
      <w:r w:rsidRPr="00463202">
        <w:t xml:space="preserve"> simulující rozhodování</w:t>
      </w:r>
      <w:r w:rsidR="00A73E2E" w:rsidRPr="00463202">
        <w:t xml:space="preserve"> (angl. </w:t>
      </w:r>
      <w:r w:rsidR="00A73E2E" w:rsidRPr="00751F54">
        <w:rPr>
          <w:i/>
        </w:rPr>
        <w:t>d</w:t>
      </w:r>
      <w:r w:rsidR="002B7D3B" w:rsidRPr="00751F54">
        <w:rPr>
          <w:i/>
        </w:rPr>
        <w:t>ecision making problems</w:t>
      </w:r>
      <w:r w:rsidR="00A73E2E" w:rsidRPr="00463202">
        <w:t>)</w:t>
      </w:r>
      <w:r w:rsidR="002B7D3B" w:rsidRPr="00463202">
        <w:t xml:space="preserve"> – vyžadují od jednotlivce nebo skupiny žáků rozhodnutí o tom, jaké řešení nebo způsob jednání považují za nejvhodnějsí. Který plán vybereme? Která investiční strategie bude nejvýnosnější? Ačkoliv tyto problémy mají omezené množství řešení, existuje poměrně významné množství faktorů, které ovlivňují výsledné rozhodnutí. Ačkoliv modely normativně a racionálně založeného výběru řešení jsou založeny na srovnávání, hledání kontrastů a zvažování pozitiv výhod a nevýhod jednotlivých řešení, existují také teorie založené na přirozeném rozhodování zdůrazňující dosavadní zkušenosti a předchozí příběhy. </w:t>
      </w:r>
    </w:p>
    <w:p w:rsidR="002B7D3B" w:rsidRPr="00463202" w:rsidRDefault="00077FD7" w:rsidP="00952E6A">
      <w:pPr>
        <w:numPr>
          <w:ilvl w:val="0"/>
          <w:numId w:val="8"/>
        </w:numPr>
        <w:spacing w:after="120" w:line="276" w:lineRule="auto"/>
        <w:jc w:val="both"/>
      </w:pPr>
      <w:r w:rsidRPr="00463202">
        <w:t>P</w:t>
      </w:r>
      <w:r w:rsidR="007D78BC" w:rsidRPr="00463202">
        <w:t xml:space="preserve">roblémy </w:t>
      </w:r>
      <w:r w:rsidRPr="00463202">
        <w:t xml:space="preserve">zaměřené na vyhledávání a odstraňování závad </w:t>
      </w:r>
      <w:r w:rsidR="007D78BC" w:rsidRPr="00463202">
        <w:t xml:space="preserve">(angl. </w:t>
      </w:r>
      <w:r w:rsidR="007D78BC" w:rsidRPr="00751F54">
        <w:rPr>
          <w:i/>
        </w:rPr>
        <w:t>t</w:t>
      </w:r>
      <w:r w:rsidR="002B7D3B" w:rsidRPr="00751F54">
        <w:rPr>
          <w:i/>
        </w:rPr>
        <w:t>roubleshooting problems</w:t>
      </w:r>
      <w:r w:rsidR="007D78BC" w:rsidRPr="00463202">
        <w:t>)</w:t>
      </w:r>
      <w:r w:rsidR="002B7D3B" w:rsidRPr="00463202">
        <w:t xml:space="preserve"> – údržba automobilů, letadel nebo dalších komplexních systémů vyž</w:t>
      </w:r>
      <w:r w:rsidR="00F50754" w:rsidRPr="00463202">
        <w:t xml:space="preserve">aduje </w:t>
      </w:r>
      <w:r w:rsidR="002B7D3B" w:rsidRPr="00463202">
        <w:t>diagnostikování. Eliminace chyb počítačového programu neb</w:t>
      </w:r>
      <w:r w:rsidR="008E60C6">
        <w:t>o zjišť</w:t>
      </w:r>
      <w:r w:rsidR="007D78BC" w:rsidRPr="00463202">
        <w:t>ování, proč nějaká skupina lidí není schopna spolupracovat</w:t>
      </w:r>
      <w:r w:rsidR="002B7D3B" w:rsidRPr="00463202">
        <w:t xml:space="preserve">, vyžaduje </w:t>
      </w:r>
      <w:r w:rsidR="007D78BC" w:rsidRPr="00463202">
        <w:t>komplexní diagnostiku problému</w:t>
      </w:r>
      <w:r w:rsidR="002B7D3B" w:rsidRPr="00463202">
        <w:t xml:space="preserve">. Pokud nějaká část systému nefunguje správně, symptomy nesprávného fungování by měly být rozpoznány a porovnány s existujícími znalostmi žáka o projevech různých chyb. Primárním cílem </w:t>
      </w:r>
      <w:r w:rsidR="002B7D3B" w:rsidRPr="008E60C6">
        <w:rPr>
          <w:i/>
        </w:rPr>
        <w:t>troubleshootingu</w:t>
      </w:r>
      <w:r w:rsidR="002B7D3B" w:rsidRPr="00463202">
        <w:t xml:space="preserve"> je diagnóza chybného stavu a její oprava nebo eliminace chybného článku systému. Často při řešení tohoto typu problému dochází ke stanovování a ověřování hypotéz.</w:t>
      </w:r>
    </w:p>
    <w:p w:rsidR="002B7D3B" w:rsidRPr="00463202" w:rsidRDefault="007D78BC" w:rsidP="007D78BC">
      <w:pPr>
        <w:numPr>
          <w:ilvl w:val="0"/>
          <w:numId w:val="8"/>
        </w:numPr>
        <w:spacing w:after="120" w:line="276" w:lineRule="auto"/>
        <w:jc w:val="both"/>
      </w:pPr>
      <w:r w:rsidRPr="00463202">
        <w:t xml:space="preserve">Strategické problémy </w:t>
      </w:r>
      <w:r w:rsidR="00F50754" w:rsidRPr="00463202">
        <w:t xml:space="preserve">řešené v reálném čase </w:t>
      </w:r>
      <w:r w:rsidRPr="00463202">
        <w:t xml:space="preserve">(angl. </w:t>
      </w:r>
      <w:r w:rsidRPr="00751F54">
        <w:rPr>
          <w:i/>
        </w:rPr>
        <w:t>strategic performance problems</w:t>
      </w:r>
      <w:r w:rsidRPr="00463202">
        <w:t>) – zahrnují</w:t>
      </w:r>
      <w:r w:rsidR="002B7D3B" w:rsidRPr="00463202">
        <w:t xml:space="preserve"> komplexní aktivity vykonávané v reálném čase, ve kter</w:t>
      </w:r>
      <w:r w:rsidRPr="00463202">
        <w:t>ých</w:t>
      </w:r>
      <w:r w:rsidR="002B7D3B" w:rsidRPr="00463202">
        <w:t xml:space="preserve"> žáci musí použít několik taktických úkonů</w:t>
      </w:r>
      <w:r w:rsidRPr="00463202">
        <w:t xml:space="preserve">. Cílem je </w:t>
      </w:r>
      <w:r w:rsidR="002B7D3B" w:rsidRPr="00463202">
        <w:t xml:space="preserve">vyřešit komplexní a </w:t>
      </w:r>
      <w:r w:rsidRPr="00463202">
        <w:t>neúplně strukturovaný problém</w:t>
      </w:r>
      <w:r w:rsidR="002B7D3B" w:rsidRPr="00463202">
        <w:t>, často doprovázený časovým tlakem a požadavkem mít celou</w:t>
      </w:r>
      <w:r w:rsidRPr="00463202">
        <w:t xml:space="preserve"> problémovou</w:t>
      </w:r>
      <w:r w:rsidR="002B7D3B" w:rsidRPr="00463202">
        <w:t xml:space="preserve"> situaci pod kontrolou. Aby bylo možné splnit strategický cíl (např. cestovat letadlem, </w:t>
      </w:r>
      <w:r w:rsidRPr="00463202">
        <w:t>rozvinout útočnou akci</w:t>
      </w:r>
      <w:r w:rsidR="002B7D3B" w:rsidRPr="00463202">
        <w:t xml:space="preserve"> ve fotbalu, přizpůsobit způsob jízdy </w:t>
      </w:r>
      <w:r w:rsidRPr="00463202">
        <w:t>na kole změněn</w:t>
      </w:r>
      <w:r w:rsidR="002B7D3B" w:rsidRPr="00463202">
        <w:t xml:space="preserve">ým podmínkám), </w:t>
      </w:r>
      <w:r w:rsidRPr="00463202">
        <w:t xml:space="preserve">musí </w:t>
      </w:r>
      <w:r w:rsidR="002B7D3B" w:rsidRPr="00463202">
        <w:t xml:space="preserve">žák </w:t>
      </w:r>
      <w:r w:rsidRPr="00463202">
        <w:t>použít soubor komplexníc</w:t>
      </w:r>
      <w:r w:rsidR="002B7D3B" w:rsidRPr="00463202">
        <w:t>h taktických aktivit směřujících ke zvládnutí strategického cíle. Řešení tohoto typu problémů je často označováno za přirozené (intuitivní).</w:t>
      </w:r>
    </w:p>
    <w:p w:rsidR="002B7D3B" w:rsidRPr="00463202" w:rsidRDefault="00F50754" w:rsidP="00952E6A">
      <w:pPr>
        <w:numPr>
          <w:ilvl w:val="0"/>
          <w:numId w:val="8"/>
        </w:numPr>
        <w:spacing w:after="120" w:line="276" w:lineRule="auto"/>
        <w:jc w:val="both"/>
      </w:pPr>
      <w:r w:rsidRPr="00463202">
        <w:t>P</w:t>
      </w:r>
      <w:r w:rsidR="00FA6AE2" w:rsidRPr="00463202">
        <w:t xml:space="preserve">roblémy </w:t>
      </w:r>
      <w:r w:rsidRPr="00463202">
        <w:t xml:space="preserve">z oblasti politiky </w:t>
      </w:r>
      <w:r w:rsidR="00FA6AE2" w:rsidRPr="00463202">
        <w:t xml:space="preserve">(angl. </w:t>
      </w:r>
      <w:r w:rsidR="00FA6AE2" w:rsidRPr="00751F54">
        <w:rPr>
          <w:i/>
        </w:rPr>
        <w:t>p</w:t>
      </w:r>
      <w:r w:rsidR="002B7D3B" w:rsidRPr="00751F54">
        <w:rPr>
          <w:i/>
        </w:rPr>
        <w:t>olicy problems</w:t>
      </w:r>
      <w:r w:rsidR="00FA6AE2" w:rsidRPr="00463202">
        <w:t>)</w:t>
      </w:r>
      <w:r w:rsidR="002B7D3B" w:rsidRPr="00463202">
        <w:t xml:space="preserve"> –</w:t>
      </w:r>
      <w:r w:rsidR="00FA6AE2" w:rsidRPr="00463202">
        <w:t xml:space="preserve"> </w:t>
      </w:r>
      <w:r w:rsidR="007D78BC" w:rsidRPr="00463202">
        <w:t>(celo)</w:t>
      </w:r>
      <w:r w:rsidR="002B7D3B" w:rsidRPr="00463202">
        <w:t>s</w:t>
      </w:r>
      <w:r w:rsidR="007D78BC" w:rsidRPr="00463202">
        <w:t>poleče</w:t>
      </w:r>
      <w:r w:rsidR="00FA6AE2" w:rsidRPr="00463202">
        <w:t>nské problémy jsou většinou k</w:t>
      </w:r>
      <w:r w:rsidR="002B7D3B" w:rsidRPr="00463202">
        <w:t>omplexní, nejednoznačn</w:t>
      </w:r>
      <w:r w:rsidR="00FA6AE2" w:rsidRPr="00463202">
        <w:t>é</w:t>
      </w:r>
      <w:r w:rsidR="002B7D3B" w:rsidRPr="00463202">
        <w:t xml:space="preserve">, je možné </w:t>
      </w:r>
      <w:r w:rsidR="00FA6AE2" w:rsidRPr="00463202">
        <w:t xml:space="preserve">vůči nim </w:t>
      </w:r>
      <w:r w:rsidR="002B7D3B" w:rsidRPr="00463202">
        <w:t xml:space="preserve">zaujímat různé názory a úhly pohledu. </w:t>
      </w:r>
      <w:r w:rsidR="007D78BC" w:rsidRPr="00463202">
        <w:t>Do této kategorie spadá například ř</w:t>
      </w:r>
      <w:r w:rsidR="002B7D3B" w:rsidRPr="00463202">
        <w:t>ešení problémů zahraniční politiky, problémy ekonomického rozvoje či nejrůznější právní problémy. Tyto problémy jsou komplikované mnoha protichůdnými, často konfliktními pohledy.</w:t>
      </w:r>
    </w:p>
    <w:p w:rsidR="002B7D3B" w:rsidRPr="00463202" w:rsidRDefault="00FA6AE2" w:rsidP="00952E6A">
      <w:pPr>
        <w:numPr>
          <w:ilvl w:val="0"/>
          <w:numId w:val="8"/>
        </w:numPr>
        <w:spacing w:after="120" w:line="276" w:lineRule="auto"/>
        <w:jc w:val="both"/>
      </w:pPr>
      <w:r w:rsidRPr="00463202">
        <w:t>Projektov</w:t>
      </w:r>
      <w:r w:rsidR="00F50754" w:rsidRPr="00463202">
        <w:t>ací</w:t>
      </w:r>
      <w:r w:rsidRPr="00463202">
        <w:t xml:space="preserve"> problémy (angl. </w:t>
      </w:r>
      <w:r w:rsidRPr="00751F54">
        <w:rPr>
          <w:i/>
        </w:rPr>
        <w:t>design problems</w:t>
      </w:r>
      <w:r w:rsidRPr="00463202">
        <w:t>)</w:t>
      </w:r>
      <w:r w:rsidR="002B7D3B" w:rsidRPr="00463202">
        <w:t xml:space="preserve"> – představuj</w:t>
      </w:r>
      <w:r w:rsidRPr="00463202">
        <w:t>í</w:t>
      </w:r>
      <w:r w:rsidR="002B7D3B" w:rsidRPr="00463202">
        <w:t xml:space="preserve"> </w:t>
      </w:r>
      <w:r w:rsidRPr="00463202">
        <w:t>typickou kategorii neúplně strukturovaných problémů</w:t>
      </w:r>
      <w:r w:rsidR="002B7D3B" w:rsidRPr="00463202">
        <w:t xml:space="preserve">. Ať se jedná o elektronický okruh, mechanickou součástku nebo nový systém výroby, design vyžaduje použití velkého množství odborných znalostí v kombinaci s množstvím strategických znalostí, které následně vyústí v nový design. Kromě zjevného cíle najít optimální řešení bez předchozích omezení, design problems mají většinou velmi vágní a nejasný cíl s nestálými omezeními. Vyžadují vícečetná řešení s vícečetnými postupy. </w:t>
      </w:r>
      <w:r w:rsidR="008E60C6" w:rsidRPr="00463202">
        <w:t>Často</w:t>
      </w:r>
      <w:r w:rsidR="002B7D3B" w:rsidRPr="00463202">
        <w:t xml:space="preserve"> také vyžadují vícečetná kritéria pro posouzení navrhovaných řešení, která ovšem často nejsou známa.</w:t>
      </w:r>
    </w:p>
    <w:p w:rsidR="002B7D3B" w:rsidRPr="00463202" w:rsidRDefault="002B7D3B" w:rsidP="00952E6A">
      <w:pPr>
        <w:numPr>
          <w:ilvl w:val="0"/>
          <w:numId w:val="8"/>
        </w:numPr>
        <w:spacing w:after="120" w:line="276" w:lineRule="auto"/>
        <w:jc w:val="both"/>
      </w:pPr>
      <w:r w:rsidRPr="00463202">
        <w:t>Dilem</w:t>
      </w:r>
      <w:r w:rsidR="00FA6AE2" w:rsidRPr="00463202">
        <w:t xml:space="preserve">ata (angl. </w:t>
      </w:r>
      <w:r w:rsidR="00FA6AE2" w:rsidRPr="00751F54">
        <w:rPr>
          <w:i/>
        </w:rPr>
        <w:t>dilemmas</w:t>
      </w:r>
      <w:r w:rsidR="00FA6AE2" w:rsidRPr="00463202">
        <w:t>)</w:t>
      </w:r>
      <w:r w:rsidRPr="00463202">
        <w:t xml:space="preserve"> – jedná se </w:t>
      </w:r>
      <w:r w:rsidR="001A4A35" w:rsidRPr="00463202">
        <w:t>o nejvyšší kategorii neúplně strukturovaných problémů</w:t>
      </w:r>
      <w:r w:rsidRPr="00463202">
        <w:t>, neboť se jedná o problém</w:t>
      </w:r>
      <w:r w:rsidR="001A4A35" w:rsidRPr="00463202">
        <w:t>y</w:t>
      </w:r>
      <w:r w:rsidRPr="00463202">
        <w:t>, je</w:t>
      </w:r>
      <w:r w:rsidR="001A4A35" w:rsidRPr="00463202">
        <w:t>jichž</w:t>
      </w:r>
      <w:r w:rsidRPr="00463202">
        <w:t xml:space="preserve"> řešení nikdy nebude akceptovatelné pro určitou skupinu lidí dotčených </w:t>
      </w:r>
      <w:r w:rsidR="001A4A35" w:rsidRPr="00463202">
        <w:t>tímto</w:t>
      </w:r>
      <w:r w:rsidRPr="00463202">
        <w:t xml:space="preserve"> problémem. </w:t>
      </w:r>
      <w:r w:rsidR="001A4A35" w:rsidRPr="00463202">
        <w:t>Jako příklad mohou sloužit s</w:t>
      </w:r>
      <w:r w:rsidRPr="00463202">
        <w:t xml:space="preserve">ňatky osob stejného pohlaví </w:t>
      </w:r>
      <w:r w:rsidR="001A4A35" w:rsidRPr="00463202">
        <w:t>apod</w:t>
      </w:r>
      <w:r w:rsidRPr="00463202">
        <w:t>. Mohou se zde objevovat důležité pohledy na problémovou situaci (politické, sociální, etické, evoluční, náboženské), ale nikdo není schope</w:t>
      </w:r>
      <w:r w:rsidR="001A4A35" w:rsidRPr="00463202">
        <w:t>n nabídnout všeobecně přijateln</w:t>
      </w:r>
      <w:r w:rsidRPr="00463202">
        <w:t>é východisko z</w:t>
      </w:r>
      <w:r w:rsidR="001A4A35" w:rsidRPr="00463202">
        <w:t xml:space="preserve"> názorové </w:t>
      </w:r>
      <w:r w:rsidRPr="00463202">
        <w:t xml:space="preserve">krize. Situace je tak komplexní a nepředvídatelná, že nejlepší řešení nemůže být nikdy předem známé. </w:t>
      </w:r>
    </w:p>
    <w:p w:rsidR="002B7D3B" w:rsidRPr="00FA6AE2" w:rsidRDefault="002B7D3B" w:rsidP="00952E6A">
      <w:pPr>
        <w:autoSpaceDE w:val="0"/>
        <w:autoSpaceDN w:val="0"/>
        <w:adjustRightInd w:val="0"/>
        <w:spacing w:after="120" w:line="276" w:lineRule="auto"/>
        <w:jc w:val="both"/>
      </w:pPr>
      <w:r w:rsidRPr="00463202">
        <w:t>Jonassen (2011</w:t>
      </w:r>
      <w:r w:rsidR="00A5680E" w:rsidRPr="00463202">
        <w:t>b</w:t>
      </w:r>
      <w:r w:rsidRPr="00463202">
        <w:t>, s. 96) upozorňuje, že se nejedná o pevné kategorie, ale že záleží především na tom, jaký typ učení by měl určitý problém rozvíjet. Například většina neúplně strukturovaných problémů (</w:t>
      </w:r>
      <w:r w:rsidR="00FA6AE2" w:rsidRPr="00463202">
        <w:t>diagnostické, politické, projektov</w:t>
      </w:r>
      <w:r w:rsidR="00463202" w:rsidRPr="00463202">
        <w:t>ací aj</w:t>
      </w:r>
      <w:r w:rsidR="009E047F">
        <w:t>.</w:t>
      </w:r>
      <w:r w:rsidR="00FA6AE2" w:rsidRPr="00463202">
        <w:t xml:space="preserve"> problémy</w:t>
      </w:r>
      <w:r w:rsidRPr="00463202">
        <w:t xml:space="preserve">) může reprezentovat </w:t>
      </w:r>
      <w:r w:rsidR="00FA6AE2" w:rsidRPr="00463202">
        <w:t>určitý rozhodovací problé</w:t>
      </w:r>
      <w:r w:rsidRPr="00463202">
        <w:t>m.</w:t>
      </w:r>
      <w:r w:rsidRPr="00FA6AE2">
        <w:t xml:space="preserve"> </w:t>
      </w:r>
    </w:p>
    <w:p w:rsidR="002B7D3B" w:rsidRDefault="002B7D3B" w:rsidP="00952E6A">
      <w:pPr>
        <w:autoSpaceDE w:val="0"/>
        <w:autoSpaceDN w:val="0"/>
        <w:adjustRightInd w:val="0"/>
        <w:spacing w:after="120" w:line="276" w:lineRule="auto"/>
        <w:jc w:val="both"/>
        <w:rPr>
          <w:i/>
        </w:rPr>
      </w:pPr>
    </w:p>
    <w:p w:rsidR="002B7D3B" w:rsidRPr="007E0D9E" w:rsidRDefault="00A11026" w:rsidP="00A74542">
      <w:pPr>
        <w:pStyle w:val="Nadpis4"/>
        <w:numPr>
          <w:ilvl w:val="0"/>
          <w:numId w:val="0"/>
        </w:numPr>
        <w:spacing w:before="0" w:after="120"/>
      </w:pPr>
      <w:r>
        <w:t>Typologie problémů d</w:t>
      </w:r>
      <w:r w:rsidR="002B7D3B" w:rsidRPr="007E0D9E">
        <w:t>le překážky, kter</w:t>
      </w:r>
      <w:r w:rsidR="002B7D3B">
        <w:t>o</w:t>
      </w:r>
      <w:r w:rsidR="002B7D3B" w:rsidRPr="007E0D9E">
        <w:t>u je třeba překonat</w:t>
      </w:r>
    </w:p>
    <w:p w:rsidR="002B7D3B" w:rsidRDefault="002B7D3B" w:rsidP="00952E6A">
      <w:pPr>
        <w:autoSpaceDE w:val="0"/>
        <w:autoSpaceDN w:val="0"/>
        <w:adjustRightInd w:val="0"/>
        <w:spacing w:after="120" w:line="276" w:lineRule="auto"/>
        <w:jc w:val="both"/>
      </w:pPr>
      <w:r>
        <w:t>Patrně nejkomplexnější typologii problémů uvádí Dörner (1987, s. 11), který problémy člení dle povahy překážky, která blokuje přechod od stávajícího nevyhovujícího stavu k požadovanému cílovému stavu.</w:t>
      </w:r>
    </w:p>
    <w:p w:rsidR="002B7D3B" w:rsidRDefault="002B7D3B" w:rsidP="00FE68D6">
      <w:pPr>
        <w:numPr>
          <w:ilvl w:val="0"/>
          <w:numId w:val="19"/>
        </w:numPr>
        <w:spacing w:after="120" w:line="276" w:lineRule="auto"/>
        <w:jc w:val="both"/>
      </w:pPr>
      <w:r>
        <w:t xml:space="preserve">Interpolační problém – počáteční i cílový stav problémy jsou známy. Subjekt zná všechny dílčí kroky, </w:t>
      </w:r>
      <w:r w:rsidR="008E60C6">
        <w:t>které</w:t>
      </w:r>
      <w:r>
        <w:t xml:space="preserve"> jsou nezbytné k dosažení cíle. Subjekt musí nalézt správnou kombinaci příslušných úkonů a následně je vykonat.</w:t>
      </w:r>
      <w:r w:rsidRPr="00D12B13">
        <w:t xml:space="preserve"> </w:t>
      </w:r>
      <w:r>
        <w:t xml:space="preserve">Pokud jsou obeznámenost s prostředky i jasnost cíle vysoké, má subjekt před sebou interpolační překážku, k překonání které je třeba především najít správné řazení dílčích operací, s jejichž pomocí se zadané obsahy přemění v požadované obsahy. Např. cílem šachových hráčů je najít takové pořadí tahů šachových figurek, aby bylo možné co nejrychleji dát mat soupeři. Prostředky i cíle jsou známé. Interpolační překážky mohou působit potíže zejména v případě, kdy počet jednotlivých interpolací mezi výchozím a cílovým stavem je nepřehledný kvůli velikosti problémového prostoru (např. šachovnice). </w:t>
      </w:r>
    </w:p>
    <w:p w:rsidR="002B7D3B" w:rsidRDefault="002B7D3B" w:rsidP="00FE68D6">
      <w:pPr>
        <w:numPr>
          <w:ilvl w:val="0"/>
          <w:numId w:val="18"/>
        </w:numPr>
        <w:autoSpaceDE w:val="0"/>
        <w:autoSpaceDN w:val="0"/>
        <w:adjustRightInd w:val="0"/>
        <w:spacing w:after="120" w:line="276" w:lineRule="auto"/>
        <w:jc w:val="both"/>
      </w:pPr>
      <w:r>
        <w:t>Syntetický problém – oproti interpolačnímu problému nejsou známy dílčí kroky vedoucí k úspěšnému řešení problému. Během procesu řešení jsou průběžně vytvářeny dílčí úlohy, které jsou následně vhodným způsobem propojovány. Po vykonání určité dílčí úlohy je nezbytné ověřit, zda dílčí výsledný stav koresponduje s dílčími cíli. Pokud tomu tak není, je třeba tomu přizpůsobit další možné dílčí kroky.</w:t>
      </w:r>
      <w:r w:rsidRPr="00AB3DC3">
        <w:t xml:space="preserve"> </w:t>
      </w:r>
      <w:r>
        <w:t>Když prostředky nejsou jasné, ale je dobře definován cílový stav (např. vytvořit z olova zlato), má subjekt před sebou syntetickou překážku. Ta vyžaduje nasazení kreativních návrhů řešení, které ale, jako v uvedeném příkladu, nemusí vždy vést k úspěchu.</w:t>
      </w:r>
    </w:p>
    <w:p w:rsidR="002B7D3B" w:rsidRPr="003532B7" w:rsidRDefault="002B7D3B" w:rsidP="00FE68D6">
      <w:pPr>
        <w:numPr>
          <w:ilvl w:val="0"/>
          <w:numId w:val="19"/>
        </w:numPr>
        <w:spacing w:after="120" w:line="276" w:lineRule="auto"/>
        <w:jc w:val="both"/>
      </w:pPr>
      <w:r>
        <w:t>Dialektický problém – nejsou známy dílčí kroky vedoucí k dosažení cíle, není znám ani samotný cíl. Aby bylo možné najít řešení, musí subjekt nejprve stanovit vhodný cíl, který by měl popisovat „nejlepší možný“ stav vzhledem k aktuální situaci. Kritéria pro zpětné posouzení úspěšnosti řešení vznikají průběžně v závislosti na procesu řešení.</w:t>
      </w:r>
      <w:r w:rsidRPr="00AB3DC3">
        <w:t xml:space="preserve"> </w:t>
      </w:r>
      <w:r>
        <w:t xml:space="preserve">Pokud jsou dobře známé prostředky a není známý cíl, musí být tento cíl nejprve jasně pojmenován (např. jako příklad může sloužit vysoká výhry v loterii, o jejímž využití ještě není rozhodnuto). </w:t>
      </w:r>
    </w:p>
    <w:p w:rsidR="002B7D3B" w:rsidRDefault="002B7D3B" w:rsidP="00952E6A">
      <w:pPr>
        <w:spacing w:after="120" w:line="276" w:lineRule="auto"/>
        <w:jc w:val="both"/>
      </w:pPr>
    </w:p>
    <w:p w:rsidR="002B7D3B" w:rsidRPr="002D5F18" w:rsidRDefault="00A11026" w:rsidP="00A74542">
      <w:pPr>
        <w:pStyle w:val="Nadpis4"/>
        <w:numPr>
          <w:ilvl w:val="0"/>
          <w:numId w:val="0"/>
        </w:numPr>
        <w:spacing w:before="0" w:after="120"/>
      </w:pPr>
      <w:r>
        <w:t>Typologie problémů d</w:t>
      </w:r>
      <w:r w:rsidRPr="007E0D9E">
        <w:t xml:space="preserve">le </w:t>
      </w:r>
      <w:r w:rsidR="002B7D3B" w:rsidRPr="002D5F18">
        <w:t>typu zprostředkovávaných znalostí</w:t>
      </w:r>
    </w:p>
    <w:p w:rsidR="002B7D3B" w:rsidRDefault="002B7D3B" w:rsidP="00952E6A">
      <w:pPr>
        <w:spacing w:after="120" w:line="276" w:lineRule="auto"/>
        <w:jc w:val="both"/>
      </w:pPr>
      <w:r>
        <w:t>Lass</w:t>
      </w:r>
      <w:r w:rsidR="0074303C">
        <w:t>ová</w:t>
      </w:r>
      <w:r>
        <w:t xml:space="preserve"> a Lüer (1990, s. 229) rozlišují jednoduché a komplexní problémy (angl. simple/complex problems). P</w:t>
      </w:r>
      <w:r w:rsidRPr="00440277">
        <w:t xml:space="preserve">ři řešení </w:t>
      </w:r>
      <w:r>
        <w:t xml:space="preserve">jednoduchých problémů </w:t>
      </w:r>
      <w:r w:rsidRPr="00440277">
        <w:t>je nezbytné</w:t>
      </w:r>
      <w:r>
        <w:t xml:space="preserve"> překonat pouze jednu překážku. Jedná se o problémy, jejichž řešení musí být nalezeno nezávisle na množství individuálních znalostí a práce s nimi téměř bezvýlučně probíhá dle předem zadaných instrukcí. To zaručuje, že </w:t>
      </w:r>
      <w:r w:rsidR="00216CF9">
        <w:t xml:space="preserve">například </w:t>
      </w:r>
      <w:r>
        <w:t>všichni žáci mohou být konfrontová</w:t>
      </w:r>
      <w:r w:rsidR="00216CF9">
        <w:t>ni se stejnými úlohami. P</w:t>
      </w:r>
      <w:r>
        <w:t>odmínky řešení jsou pro všechny stejné</w:t>
      </w:r>
      <w:r w:rsidR="00216CF9">
        <w:t>,</w:t>
      </w:r>
      <w:r>
        <w:t xml:space="preserve"> </w:t>
      </w:r>
      <w:r w:rsidR="00216CF9">
        <w:t>žáci používají podobné pracovní postupy</w:t>
      </w:r>
      <w:r>
        <w:t>.</w:t>
      </w:r>
      <w:r w:rsidRPr="00000702">
        <w:t xml:space="preserve"> </w:t>
      </w:r>
      <w:r>
        <w:t>V případě jednoduchých (statických) problémů nedochází k dynamické interakci mezi subjektem řešícím problém a samotným problémem. Dochází zde pouze k sekvencovanému lineárnímu odbavování dílčích částí procesu řešení problémů. Jedná se o typicky návodný postup, kdy žák pasivně vykoná všechny dílčí kroky, přičemž má k také k dispozici v hotové podobě připravené všechny potřebné informace a dobere se ke koneč</w:t>
      </w:r>
      <w:r w:rsidR="00216CF9">
        <w:t>nému předem známému cíli. Z</w:t>
      </w:r>
      <w:r w:rsidR="00B54DBA">
        <w:t xml:space="preserve"> hlediska obsahu i </w:t>
      </w:r>
      <w:r>
        <w:t>kognitivn</w:t>
      </w:r>
      <w:r w:rsidR="00B54DBA">
        <w:t xml:space="preserve">ích </w:t>
      </w:r>
      <w:r>
        <w:t>proces</w:t>
      </w:r>
      <w:r w:rsidR="00B54DBA">
        <w:t>ů</w:t>
      </w:r>
      <w:r>
        <w:t xml:space="preserve"> </w:t>
      </w:r>
      <w:r w:rsidR="00F93D5D">
        <w:t>potřebných k jejich řešení j</w:t>
      </w:r>
      <w:r w:rsidR="00216CF9">
        <w:t>sou jednoduché problémy</w:t>
      </w:r>
      <w:r>
        <w:t xml:space="preserve"> </w:t>
      </w:r>
      <w:r w:rsidR="00F93D5D">
        <w:t>většinou</w:t>
      </w:r>
      <w:r>
        <w:t xml:space="preserve"> vzdálené problémům, se kterými se </w:t>
      </w:r>
      <w:r w:rsidR="00216CF9">
        <w:t>jedinec setkává v běžném životě.</w:t>
      </w:r>
    </w:p>
    <w:p w:rsidR="000D78F3" w:rsidRPr="00440277" w:rsidRDefault="002B7D3B" w:rsidP="00952E6A">
      <w:pPr>
        <w:spacing w:after="120" w:line="276" w:lineRule="auto"/>
        <w:jc w:val="both"/>
      </w:pPr>
      <w:r>
        <w:t xml:space="preserve">Komplexní problémy jsou oproti problémům jednoduchým (statickým) charakteristické především úzkou propojeností s každodenními životními situacemi. Kromě toho se očekává, že si žák na základě analýzy dostupných materiálů samostatně připraví potřebné informace. </w:t>
      </w:r>
      <w:r w:rsidR="000D78F3" w:rsidRPr="00440277">
        <w:t>Komplexní problémy musí splňovat následující předpoklady: a) originálnost, neznámost, novost z pohledu subjektu, b) komplexnost, c) proměnlivost v čase, d) netransparentnost. Zmíněné charakteristiky napovídají, že je velmi nepravděpodobné, aby se žáci ve významné míře konfrontovali s komplexními problémy ve školní výuce. Kromě toho nevíme, nakolik jsou z pohledu jednotlivých žáků problémové situace pro žáky neznámé, originální.</w:t>
      </w:r>
    </w:p>
    <w:p w:rsidR="002B7D3B" w:rsidRDefault="00EF6793" w:rsidP="00952E6A">
      <w:pPr>
        <w:spacing w:after="120" w:line="276" w:lineRule="auto"/>
        <w:jc w:val="both"/>
      </w:pPr>
      <w:r>
        <w:t>K</w:t>
      </w:r>
      <w:r w:rsidRPr="00EF6793">
        <w:t>omplexita může být v jistém ohledu vnímána jako relativně nezávislá charakteristika, neboť dobře strukturované problémy i neúplně strukturované problémy mohou dosahovat různých úrovní komplexity. Komplexita souvisí s množstvím proměnných vstupujících do procesu řešení problému a jeho stabilitou. Nejvíce komplexní problémy jsou dynamické – mění se průběžně v čase. Komplexitu problému je možné intuitivně odhadnout, neboť se stoupající komplexitou problému je nutné do jeho řešení zapojit více kognitivních operací (srov. Kluwe, 1995). Neznamená to ovšem, že všechny dobře strukturované problémy jsou zároveň méně komplexní (srov. např. kognitivní strategie používané profesionálními hráči počítačových her) a naopak, všechny neúplně strukturované problémy nemusí být nutně vysoce komplexní (srov. například kognitivní strategie používané při rozhodování o výběru oblečení na návštěvu divadelního představení).</w:t>
      </w:r>
    </w:p>
    <w:p w:rsidR="002B7D3B" w:rsidRDefault="002B7D3B" w:rsidP="00952E6A">
      <w:pPr>
        <w:spacing w:after="120" w:line="276" w:lineRule="auto"/>
        <w:jc w:val="both"/>
      </w:pPr>
      <w:r>
        <w:t>Výzkumy ukazují, že jednoduchost nebo složitost problému souvisí se vstupními znalostmi každého jedince.</w:t>
      </w:r>
      <w:r>
        <w:rPr>
          <w:rStyle w:val="Znakapoznpodarou"/>
        </w:rPr>
        <w:footnoteReference w:id="36"/>
      </w:r>
      <w:r>
        <w:t xml:space="preserve"> Předpokládá se, že žák, který disponuje znalostmi o dostupných prostředcích a znalostmi o cílech, kterých má být dosaženo, bude v řešení problému úspěšnější ve srovnání se žákem, který zmíněnými znalostmi nedisponuje. Uvedená premisa pochopitelně platí pouze v případě, že žák dokáže během řešení problému konkrétních odborné znalost</w:t>
      </w:r>
      <w:r w:rsidR="00950897">
        <w:t>i</w:t>
      </w:r>
      <w:r>
        <w:t xml:space="preserve"> aplikovat (srov. Leutner et </w:t>
      </w:r>
      <w:r w:rsidRPr="00874AA2">
        <w:t>al., 2005).</w:t>
      </w:r>
      <w:r w:rsidRPr="0068723A">
        <w:t xml:space="preserve"> </w:t>
      </w:r>
    </w:p>
    <w:p w:rsidR="00943081" w:rsidRDefault="00943081" w:rsidP="00952E6A">
      <w:pPr>
        <w:autoSpaceDE w:val="0"/>
        <w:autoSpaceDN w:val="0"/>
        <w:adjustRightInd w:val="0"/>
        <w:spacing w:after="120" w:line="276" w:lineRule="auto"/>
        <w:jc w:val="both"/>
      </w:pPr>
      <w:r>
        <w:t>Zumbach (2003, s. 74 s odkazem na Schmidta a Mousta, 1998</w:t>
      </w:r>
      <w:r w:rsidR="00460093">
        <w:t>; srov. obr. 7</w:t>
      </w:r>
      <w:r>
        <w:t>) odlišuje různé typy problémů v závislosti na typu znalostí, které tyto problémy zprostředkovávají.</w:t>
      </w:r>
      <w:r w:rsidRPr="00D257C8">
        <w:t xml:space="preserve"> </w:t>
      </w:r>
      <w:r w:rsidRPr="000442DA">
        <w:t>Odlišnosti se zaměřují především na oddělování deklarat</w:t>
      </w:r>
      <w:r>
        <w:t>i</w:t>
      </w:r>
      <w:r w:rsidRPr="000442DA">
        <w:t>vních, procedurálních a normativních znalostí.</w:t>
      </w:r>
      <w:r>
        <w:t xml:space="preserve"> V okruhu deklarativních znalostí je možné odlišit vysvětlující deklarativní znalosti a deskriptivní deklarativní znalosti. Z této taxonomie vyvstávají čtyři odlišné typy problémů, kt</w:t>
      </w:r>
      <w:r w:rsidR="00A11026">
        <w:t>e</w:t>
      </w:r>
      <w:r>
        <w:t xml:space="preserve">ré podporují utváření a rozvíjení jednoho určitého typu znalostí: Vysvětlující problémy (Vysvětlete, proč se Sahara neustále rozšiřuje), Faktické problémy (Jaké skutečnosti znázorňuje politická mapa?), Strategické problémy (Jak byste zabránili </w:t>
      </w:r>
      <w:r w:rsidRPr="00D257C8">
        <w:t>výstavbě hypermarketu v rekreační oblasti?) a morální problémy (</w:t>
      </w:r>
      <w:r w:rsidR="00533B06">
        <w:t>Jaké důsledky může mít korupce v územním plánování?</w:t>
      </w:r>
      <w:r w:rsidRPr="00D257C8">
        <w:t>).</w:t>
      </w:r>
      <w:r>
        <w:t xml:space="preserve"> </w:t>
      </w:r>
    </w:p>
    <w:p w:rsidR="00E70A64" w:rsidRDefault="00E70A64" w:rsidP="00952E6A">
      <w:pPr>
        <w:autoSpaceDE w:val="0"/>
        <w:autoSpaceDN w:val="0"/>
        <w:adjustRightInd w:val="0"/>
        <w:spacing w:after="120" w:line="276" w:lineRule="auto"/>
        <w:jc w:val="both"/>
      </w:pPr>
    </w:p>
    <w:p w:rsidR="00943081" w:rsidRDefault="000857F5" w:rsidP="00952E6A">
      <w:pPr>
        <w:autoSpaceDE w:val="0"/>
        <w:autoSpaceDN w:val="0"/>
        <w:adjustRightInd w:val="0"/>
        <w:spacing w:after="120" w:line="276" w:lineRule="auto"/>
        <w:jc w:val="both"/>
        <w:rPr>
          <w:color w:val="FF0000"/>
        </w:rPr>
      </w:pPr>
      <w:r>
        <w:rPr>
          <w:noProof/>
          <w:color w:val="FF0000"/>
        </w:rPr>
        <w:drawing>
          <wp:inline distT="0" distB="0" distL="0" distR="0">
            <wp:extent cx="4552950" cy="3107753"/>
            <wp:effectExtent l="19050" t="0" r="0" b="0"/>
            <wp:docPr id="7" name="Obrázek 6" descr="vědění o světě.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ědění o světě.PNG"/>
                    <pic:cNvPicPr/>
                  </pic:nvPicPr>
                  <pic:blipFill>
                    <a:blip r:embed="rId18" cstate="print"/>
                    <a:stretch>
                      <a:fillRect/>
                    </a:stretch>
                  </pic:blipFill>
                  <pic:spPr>
                    <a:xfrm>
                      <a:off x="0" y="0"/>
                      <a:ext cx="4549721" cy="3105549"/>
                    </a:xfrm>
                    <a:prstGeom prst="rect">
                      <a:avLst/>
                    </a:prstGeom>
                  </pic:spPr>
                </pic:pic>
              </a:graphicData>
            </a:graphic>
          </wp:inline>
        </w:drawing>
      </w:r>
    </w:p>
    <w:p w:rsidR="00E70A64" w:rsidRPr="000E6CEC" w:rsidRDefault="000E6CEC" w:rsidP="000E6CEC">
      <w:pPr>
        <w:pStyle w:val="Titulek"/>
        <w:rPr>
          <w:b w:val="0"/>
          <w:sz w:val="24"/>
        </w:rPr>
      </w:pPr>
      <w:bookmarkStart w:id="34" w:name="_Toc399789145"/>
      <w:r w:rsidRPr="000E6CEC">
        <w:rPr>
          <w:b w:val="0"/>
          <w:i/>
          <w:sz w:val="24"/>
        </w:rPr>
        <w:t xml:space="preserve">Obrázek </w:t>
      </w:r>
      <w:r w:rsidR="003818A1" w:rsidRPr="000E6CEC">
        <w:rPr>
          <w:b w:val="0"/>
          <w:i/>
          <w:sz w:val="24"/>
        </w:rPr>
        <w:fldChar w:fldCharType="begin"/>
      </w:r>
      <w:r w:rsidRPr="000E6CEC">
        <w:rPr>
          <w:b w:val="0"/>
          <w:i/>
          <w:sz w:val="24"/>
        </w:rPr>
        <w:instrText xml:space="preserve"> SEQ Obrázek \* ARABIC </w:instrText>
      </w:r>
      <w:r w:rsidR="003818A1" w:rsidRPr="000E6CEC">
        <w:rPr>
          <w:b w:val="0"/>
          <w:i/>
          <w:sz w:val="24"/>
        </w:rPr>
        <w:fldChar w:fldCharType="separate"/>
      </w:r>
      <w:r w:rsidR="00FB20B9">
        <w:rPr>
          <w:b w:val="0"/>
          <w:i/>
          <w:noProof/>
          <w:sz w:val="24"/>
        </w:rPr>
        <w:t>7</w:t>
      </w:r>
      <w:r w:rsidR="003818A1" w:rsidRPr="000E6CEC">
        <w:rPr>
          <w:b w:val="0"/>
          <w:i/>
          <w:sz w:val="24"/>
        </w:rPr>
        <w:fldChar w:fldCharType="end"/>
      </w:r>
      <w:r w:rsidRPr="000E6CEC">
        <w:rPr>
          <w:b w:val="0"/>
          <w:i/>
          <w:sz w:val="24"/>
        </w:rPr>
        <w:t xml:space="preserve">. </w:t>
      </w:r>
      <w:r w:rsidR="00E70A64" w:rsidRPr="000E6CEC">
        <w:rPr>
          <w:b w:val="0"/>
          <w:sz w:val="24"/>
        </w:rPr>
        <w:t>Typy problémů a jejich vztah ke znalostem.</w:t>
      </w:r>
      <w:bookmarkEnd w:id="34"/>
      <w:r w:rsidR="00E70A64" w:rsidRPr="000E6CEC">
        <w:rPr>
          <w:b w:val="0"/>
          <w:sz w:val="24"/>
        </w:rPr>
        <w:t xml:space="preserve"> </w:t>
      </w:r>
    </w:p>
    <w:p w:rsidR="00943081" w:rsidRPr="00460093" w:rsidRDefault="00E70A64" w:rsidP="00952E6A">
      <w:pPr>
        <w:autoSpaceDE w:val="0"/>
        <w:autoSpaceDN w:val="0"/>
        <w:adjustRightInd w:val="0"/>
        <w:spacing w:after="120" w:line="276" w:lineRule="auto"/>
        <w:jc w:val="both"/>
        <w:rPr>
          <w:sz w:val="20"/>
        </w:rPr>
      </w:pPr>
      <w:r w:rsidRPr="00460093">
        <w:rPr>
          <w:sz w:val="20"/>
        </w:rPr>
        <w:t>Pozn.: Upraveno podle</w:t>
      </w:r>
      <w:r w:rsidR="00943081" w:rsidRPr="00460093">
        <w:rPr>
          <w:sz w:val="20"/>
        </w:rPr>
        <w:t xml:space="preserve"> Zumbach (2003, s. 74).</w:t>
      </w:r>
      <w:r w:rsidR="00F24728" w:rsidRPr="00460093">
        <w:rPr>
          <w:sz w:val="20"/>
        </w:rPr>
        <w:t xml:space="preserve"> </w:t>
      </w:r>
    </w:p>
    <w:p w:rsidR="00943081" w:rsidRDefault="00943081" w:rsidP="00952E6A">
      <w:pPr>
        <w:spacing w:after="120" w:line="276" w:lineRule="auto"/>
        <w:jc w:val="both"/>
      </w:pPr>
    </w:p>
    <w:p w:rsidR="002B7D3B" w:rsidRDefault="002B7D3B" w:rsidP="00952E6A">
      <w:pPr>
        <w:spacing w:after="120" w:line="276" w:lineRule="auto"/>
        <w:jc w:val="both"/>
      </w:pPr>
      <w:r>
        <w:t>Zde je třeba kriticky podotknout, že každý žák disponuje rozdílnými znalostmi a individuální schopností zacházet s problémy, která souvisí především s předchozími zkušenostmi. Z tohoto důvodu nemůže být vyloučeno, že určité asociace nebo preference mohou významně ovlivnit počáteční posouzení problému a následně také proces jeho řešení.</w:t>
      </w:r>
    </w:p>
    <w:p w:rsidR="006346E5" w:rsidRDefault="006346E5" w:rsidP="00952E6A">
      <w:pPr>
        <w:autoSpaceDE w:val="0"/>
        <w:autoSpaceDN w:val="0"/>
        <w:adjustRightInd w:val="0"/>
        <w:spacing w:after="120" w:line="276" w:lineRule="auto"/>
        <w:jc w:val="both"/>
      </w:pPr>
      <w:r>
        <w:t xml:space="preserve">Pro řešení problémů jsou klíčové především konceptuální znalosti (oborově vázané znalosti obsahu) a procedurální znalosti (oborově vázané znalosti pravidel a strategií). O jednotlivých typech znalostí podrobněji pojednáváme </w:t>
      </w:r>
      <w:r w:rsidRPr="00966C92">
        <w:t xml:space="preserve">v kapitole </w:t>
      </w:r>
      <w:r w:rsidR="00966C92" w:rsidRPr="00966C92">
        <w:t>1.8</w:t>
      </w:r>
      <w:r w:rsidRPr="00966C92">
        <w:t>.</w:t>
      </w:r>
      <w:r>
        <w:t xml:space="preserve"> </w:t>
      </w:r>
    </w:p>
    <w:p w:rsidR="006346E5" w:rsidRPr="00511111" w:rsidRDefault="006346E5" w:rsidP="00952E6A">
      <w:pPr>
        <w:spacing w:after="120" w:line="276" w:lineRule="auto"/>
        <w:jc w:val="both"/>
      </w:pPr>
    </w:p>
    <w:p w:rsidR="005F28C6" w:rsidRDefault="005F28C6" w:rsidP="00952E6A">
      <w:pPr>
        <w:pStyle w:val="Nadpis3"/>
        <w:spacing w:before="0" w:after="120"/>
      </w:pPr>
      <w:bookmarkStart w:id="35" w:name="_Toc399775398"/>
      <w:r>
        <w:t>Faktory ovlivňující proces řešení problémů</w:t>
      </w:r>
      <w:bookmarkEnd w:id="35"/>
    </w:p>
    <w:p w:rsidR="00C62637" w:rsidRPr="002A0955" w:rsidRDefault="002C4111" w:rsidP="00C62637">
      <w:pPr>
        <w:autoSpaceDE w:val="0"/>
        <w:autoSpaceDN w:val="0"/>
        <w:adjustRightInd w:val="0"/>
        <w:spacing w:after="120" w:line="276" w:lineRule="auto"/>
        <w:jc w:val="both"/>
      </w:pPr>
      <w:r>
        <w:t>Řešení problémů představuje multipara</w:t>
      </w:r>
      <w:r w:rsidR="008E60C6">
        <w:t>d</w:t>
      </w:r>
      <w:r>
        <w:t xml:space="preserve">igmatické výzkumné pole, jehož zmapování přesahuje možnosti této práce. </w:t>
      </w:r>
      <w:r w:rsidR="005F28C6">
        <w:t xml:space="preserve">V této kapitole </w:t>
      </w:r>
      <w:r w:rsidR="008F6313">
        <w:t>prezentujeme syntézu dosavadních výzkumných zjištění týkajících se řešení problémů.</w:t>
      </w:r>
      <w:r w:rsidR="00EF52EA">
        <w:t xml:space="preserve"> </w:t>
      </w:r>
      <w:r w:rsidR="00C62637">
        <w:t>Čtenáře s hlubším zájmem o problematiku odkazujeme na původní monografické přehledové práce</w:t>
      </w:r>
      <w:r w:rsidR="00C62637">
        <w:rPr>
          <w:rStyle w:val="Znakapoznpodarou"/>
        </w:rPr>
        <w:footnoteReference w:id="37"/>
      </w:r>
      <w:r w:rsidR="00C62637">
        <w:t xml:space="preserve"> a na tomto místě shrnujeme nejdůležitější poznatky a nálezy doposud realizovaných výzkumů.</w:t>
      </w:r>
    </w:p>
    <w:p w:rsidR="00EF52EA" w:rsidRDefault="00934170" w:rsidP="00952E6A">
      <w:pPr>
        <w:autoSpaceDE w:val="0"/>
        <w:autoSpaceDN w:val="0"/>
        <w:adjustRightInd w:val="0"/>
        <w:spacing w:after="120" w:line="276" w:lineRule="auto"/>
        <w:jc w:val="both"/>
      </w:pPr>
      <w:r>
        <w:t>Pedagogický i p</w:t>
      </w:r>
      <w:r w:rsidR="00EF52EA">
        <w:t xml:space="preserve">sychologický výzkum řešení jednoduchých i </w:t>
      </w:r>
      <w:r w:rsidR="008E60C6">
        <w:t>komplexních</w:t>
      </w:r>
      <w:r w:rsidR="00EF52EA">
        <w:t xml:space="preserve"> problémů za dobu své existence vyprodukoval množství poznatků, které mohou </w:t>
      </w:r>
      <w:r>
        <w:t>například vypovídat o dílčích</w:t>
      </w:r>
      <w:r w:rsidR="00EF52EA">
        <w:t xml:space="preserve"> proměnných ovlivňující</w:t>
      </w:r>
      <w:r w:rsidR="007E2B2B">
        <w:t>c</w:t>
      </w:r>
      <w:r w:rsidR="00EF52EA">
        <w:t>h proces řešení problémů. Níže uvádíme jejich stručný seznam. Možnosti jejich hlu</w:t>
      </w:r>
      <w:r>
        <w:t>bší interpretace jsou vzhledem šíři</w:t>
      </w:r>
      <w:r w:rsidR="00EF52EA">
        <w:t xml:space="preserve"> výzkumného pole relativně omezené.</w:t>
      </w:r>
      <w:r w:rsidR="00EF52EA" w:rsidRPr="001573EC">
        <w:t xml:space="preserve"> </w:t>
      </w:r>
      <w:r w:rsidR="00EF52EA">
        <w:t>Definice problé</w:t>
      </w:r>
      <w:r w:rsidR="00EF52EA" w:rsidRPr="002A0955">
        <w:t>m</w:t>
      </w:r>
      <w:r w:rsidR="00EF52EA">
        <w:t xml:space="preserve">u, problémového </w:t>
      </w:r>
      <w:r w:rsidR="00C62637">
        <w:t xml:space="preserve">učení a </w:t>
      </w:r>
      <w:r w:rsidR="00EF52EA">
        <w:t xml:space="preserve">vyučování apod. mohou být v jednotlivých výzkumech značně odlišné, stejně jako se odlišují </w:t>
      </w:r>
      <w:r w:rsidR="00EF52EA" w:rsidRPr="002A0955">
        <w:t>jednotliv</w:t>
      </w:r>
      <w:r w:rsidR="00EF52EA">
        <w:t xml:space="preserve">é problémově založené </w:t>
      </w:r>
      <w:r w:rsidR="00C62637">
        <w:t xml:space="preserve">výukové </w:t>
      </w:r>
      <w:r w:rsidR="00EF52EA">
        <w:t>kurzy, související kontexty apod. S přihlédnutím k uvedenému omezení</w:t>
      </w:r>
      <w:r w:rsidR="00EF52EA" w:rsidRPr="002A0955">
        <w:t xml:space="preserve"> je </w:t>
      </w:r>
      <w:r w:rsidR="00EF52EA">
        <w:t>třeba</w:t>
      </w:r>
      <w:r w:rsidR="00FF1FF5">
        <w:t xml:space="preserve"> </w:t>
      </w:r>
      <w:r w:rsidR="00EF52EA" w:rsidRPr="002A0955">
        <w:t xml:space="preserve">interpretovat </w:t>
      </w:r>
      <w:r w:rsidR="00C62637">
        <w:t xml:space="preserve">námi </w:t>
      </w:r>
      <w:r w:rsidR="00C62637" w:rsidRPr="002A0955">
        <w:t xml:space="preserve">prezentované </w:t>
      </w:r>
      <w:r w:rsidR="00C62637">
        <w:t>závěry a myšlenky.</w:t>
      </w:r>
    </w:p>
    <w:p w:rsidR="00890F57" w:rsidRDefault="00F05E89" w:rsidP="00952E6A">
      <w:pPr>
        <w:autoSpaceDE w:val="0"/>
        <w:autoSpaceDN w:val="0"/>
        <w:adjustRightInd w:val="0"/>
        <w:spacing w:after="120" w:line="276" w:lineRule="auto"/>
        <w:jc w:val="both"/>
      </w:pPr>
      <w:r w:rsidRPr="008024B8">
        <w:t>Z</w:t>
      </w:r>
      <w:r w:rsidR="009E047F">
        <w:t> </w:t>
      </w:r>
      <w:r w:rsidR="0073742D">
        <w:t>metodologi</w:t>
      </w:r>
      <w:r w:rsidR="009E047F">
        <w:t>ckého hlediska je možné</w:t>
      </w:r>
      <w:r w:rsidR="0073742D">
        <w:t xml:space="preserve"> </w:t>
      </w:r>
      <w:r w:rsidR="009E047F">
        <w:t xml:space="preserve">ve </w:t>
      </w:r>
      <w:r w:rsidR="0073742D">
        <w:t>výzkumu</w:t>
      </w:r>
      <w:r w:rsidRPr="008024B8">
        <w:t xml:space="preserve"> řešení probl</w:t>
      </w:r>
      <w:r w:rsidR="0073742D">
        <w:t>é</w:t>
      </w:r>
      <w:r w:rsidRPr="008024B8">
        <w:t xml:space="preserve">mů identifikovat dva </w:t>
      </w:r>
      <w:r w:rsidR="0073742D">
        <w:t>odlišné</w:t>
      </w:r>
      <w:r w:rsidRPr="008024B8">
        <w:t xml:space="preserve"> přístupy </w:t>
      </w:r>
      <w:r>
        <w:t xml:space="preserve">a) přístupy orientované na výsledek, b) přístupy orientované na proces. První přístup se zajímá především o výsledek </w:t>
      </w:r>
      <w:r w:rsidR="00C62637">
        <w:t xml:space="preserve">řešení problémů </w:t>
      </w:r>
      <w:r>
        <w:t>a proměnné, které ho mohou ovlivňovat (věk, vzdělání, pohlaví aj.), jako výzkumné techniky se nejčastěji využívají dotazníky</w:t>
      </w:r>
      <w:r w:rsidR="00C62637">
        <w:t xml:space="preserve"> a laboratorní experimenty</w:t>
      </w:r>
      <w:r>
        <w:t xml:space="preserve">. Druhý přístup se zajímá především o mentální procesy, které probíhají při řešení problémů. Jako výzkumná technika bývá využívána např. metoda hlasitého přemýšlení </w:t>
      </w:r>
      <w:r w:rsidR="00C62637">
        <w:t xml:space="preserve">(angl. think-aloud method) </w:t>
      </w:r>
      <w:r>
        <w:t xml:space="preserve">a další metody umožňující zachytit obsah kognitivních procesů </w:t>
      </w:r>
      <w:r w:rsidR="00C62637">
        <w:t xml:space="preserve">na základě verbálních sdělení zkoumaných osob </w:t>
      </w:r>
      <w:r>
        <w:t xml:space="preserve">(podrobněji viz Van Someren, Barnard, &amp; Sandberg, 1994). </w:t>
      </w:r>
      <w:r w:rsidR="006C1E4E">
        <w:t xml:space="preserve">Tyto práce zpravidla vycházejí z výzkumu jednání jedinců vystavených určitým typizovaným problémovým situacím redukovaným zpravidla na tzv. </w:t>
      </w:r>
      <w:r w:rsidR="00013D3B">
        <w:t xml:space="preserve">hádanky a </w:t>
      </w:r>
      <w:r w:rsidR="006C1E4E">
        <w:t xml:space="preserve">hlavolamy (stavba </w:t>
      </w:r>
      <w:r w:rsidR="00F24728">
        <w:t>h</w:t>
      </w:r>
      <w:r w:rsidR="006C1E4E">
        <w:t xml:space="preserve">anojské věže, přerovnávání zápalek, bludiště, strašidla – </w:t>
      </w:r>
      <w:r w:rsidR="006C1E4E" w:rsidRPr="00013D3B">
        <w:t xml:space="preserve">viz Eysenck a Keane, </w:t>
      </w:r>
      <w:r w:rsidR="00013D3B" w:rsidRPr="00013D3B">
        <w:t>2008</w:t>
      </w:r>
      <w:r w:rsidR="006C1E4E" w:rsidRPr="00013D3B">
        <w:t xml:space="preserve">, s. </w:t>
      </w:r>
      <w:r w:rsidR="00013D3B" w:rsidRPr="00013D3B">
        <w:t>474</w:t>
      </w:r>
      <w:r w:rsidR="00C62637">
        <w:softHyphen/>
        <w:t>–</w:t>
      </w:r>
      <w:r w:rsidR="00013D3B" w:rsidRPr="00013D3B">
        <w:t>496</w:t>
      </w:r>
      <w:r w:rsidR="006C1E4E" w:rsidRPr="00013D3B">
        <w:t xml:space="preserve"> </w:t>
      </w:r>
      <w:r w:rsidR="006C1E4E">
        <w:t>a</w:t>
      </w:r>
      <w:r w:rsidR="00533B06">
        <w:t>j</w:t>
      </w:r>
      <w:r w:rsidR="006C1E4E">
        <w:t>.).</w:t>
      </w:r>
      <w:r w:rsidR="00890F57">
        <w:t xml:space="preserve"> Vychází se z předpokladu, že měření procesu řešení problémů by mělo být založeno na uměle vytvořených </w:t>
      </w:r>
      <w:r w:rsidR="00C62637">
        <w:t xml:space="preserve">(počítačově simulovaných) </w:t>
      </w:r>
      <w:r w:rsidR="00890F57">
        <w:t>a realitě vzdálených formálních mo</w:t>
      </w:r>
      <w:r w:rsidR="00F967A9">
        <w:t xml:space="preserve">delech řešení problémů, neboť testy založené na řešení problémových úloh blízkých realitě dlouhodobě vykazují nízkou </w:t>
      </w:r>
      <w:r w:rsidR="00890F57">
        <w:t>validitu a reliabilitu.</w:t>
      </w:r>
    </w:p>
    <w:p w:rsidR="00890F57" w:rsidRDefault="00890F57" w:rsidP="00952E6A">
      <w:pPr>
        <w:autoSpaceDE w:val="0"/>
        <w:autoSpaceDN w:val="0"/>
        <w:adjustRightInd w:val="0"/>
        <w:spacing w:after="120" w:line="276" w:lineRule="auto"/>
        <w:jc w:val="both"/>
      </w:pPr>
    </w:p>
    <w:p w:rsidR="006B014E" w:rsidRDefault="00CB2727" w:rsidP="00952E6A">
      <w:pPr>
        <w:autoSpaceDE w:val="0"/>
        <w:autoSpaceDN w:val="0"/>
        <w:adjustRightInd w:val="0"/>
        <w:spacing w:after="120" w:line="276" w:lineRule="auto"/>
        <w:jc w:val="both"/>
      </w:pPr>
      <w:r>
        <w:t xml:space="preserve">Úspěšnost řešení problémů ovlivňují následující faktory: </w:t>
      </w:r>
    </w:p>
    <w:p w:rsidR="005F28C6" w:rsidRPr="00FB4599" w:rsidRDefault="005F28C6" w:rsidP="00952E6A">
      <w:pPr>
        <w:spacing w:after="120" w:line="276" w:lineRule="auto"/>
        <w:rPr>
          <w:i/>
        </w:rPr>
      </w:pPr>
      <w:r w:rsidRPr="00FB4599">
        <w:rPr>
          <w:i/>
        </w:rPr>
        <w:t>Interní subjektivní faktory</w:t>
      </w:r>
    </w:p>
    <w:p w:rsidR="006D3D5C" w:rsidRDefault="005F28C6" w:rsidP="00FE68D6">
      <w:pPr>
        <w:numPr>
          <w:ilvl w:val="0"/>
          <w:numId w:val="16"/>
        </w:numPr>
        <w:autoSpaceDE w:val="0"/>
        <w:autoSpaceDN w:val="0"/>
        <w:adjustRightInd w:val="0"/>
        <w:spacing w:after="120" w:line="276" w:lineRule="auto"/>
        <w:jc w:val="both"/>
      </w:pPr>
      <w:r>
        <w:t xml:space="preserve">Zkušenost – </w:t>
      </w:r>
      <w:r w:rsidR="00DA4737">
        <w:t>řešení problémů</w:t>
      </w:r>
      <w:r>
        <w:t xml:space="preserve"> závisí na množství zkušeností, kterými subjekt </w:t>
      </w:r>
      <w:r w:rsidR="008E60C6">
        <w:t>disponuje</w:t>
      </w:r>
      <w:r>
        <w:t>. Nejde ale pouze o vyšší pravděpodobno</w:t>
      </w:r>
      <w:r w:rsidR="00DA4737">
        <w:t>st úspěšnosti řešení, ale také</w:t>
      </w:r>
      <w:r>
        <w:t xml:space="preserve"> o typy strategií řešení problémů</w:t>
      </w:r>
      <w:r w:rsidR="00E83B34">
        <w:t xml:space="preserve"> (</w:t>
      </w:r>
      <w:r w:rsidR="00533B06">
        <w:t xml:space="preserve">srov. </w:t>
      </w:r>
      <w:r w:rsidR="00E83B34">
        <w:t>Funke, 1992)</w:t>
      </w:r>
      <w:r>
        <w:t>.</w:t>
      </w:r>
      <w:r w:rsidR="006D3D5C" w:rsidRPr="006D3D5C">
        <w:t xml:space="preserve"> </w:t>
      </w:r>
      <w:r w:rsidR="006D3D5C">
        <w:t>Experti ve srovnání s novici řeší problémy rychleji a důkladněji a pronikají hlouběji do struktury problému a souvisejících abstraktních a skrytých schémat než novicové (srov. Reimann, 1998; Sweller, 1988; Chi, Feltowich, &amp; Glaser, 1981</w:t>
      </w:r>
      <w:r w:rsidR="006C1E4E">
        <w:t>, zejm. s. 121</w:t>
      </w:r>
      <w:r w:rsidR="006D3D5C">
        <w:t>). To dokládají také výsledky laboratorních experimentů, že pro řešení problémů jsou klíčové především oborově vázané konceptuální a procedurální znalosti (</w:t>
      </w:r>
      <w:r w:rsidR="00342705">
        <w:t xml:space="preserve">podrobněji viz </w:t>
      </w:r>
      <w:r w:rsidR="006D3D5C">
        <w:t>Glaser</w:t>
      </w:r>
      <w:r w:rsidR="007E2B2B">
        <w:t xml:space="preserve"> et al.</w:t>
      </w:r>
      <w:r w:rsidR="006D3D5C">
        <w:t>, 1992).</w:t>
      </w:r>
    </w:p>
    <w:p w:rsidR="006D3D5C" w:rsidRDefault="006D3D5C" w:rsidP="00FE68D6">
      <w:pPr>
        <w:numPr>
          <w:ilvl w:val="0"/>
          <w:numId w:val="16"/>
        </w:numPr>
        <w:autoSpaceDE w:val="0"/>
        <w:autoSpaceDN w:val="0"/>
        <w:adjustRightInd w:val="0"/>
        <w:spacing w:after="120" w:line="276" w:lineRule="auto"/>
        <w:jc w:val="both"/>
      </w:pPr>
      <w:r>
        <w:t xml:space="preserve">Procvičování – čím více a déle je problém procvičován, tím lepší jsou výsledky jeho řešení. Proto bývá řešení problémů některými autory považováno za doménově specifické, </w:t>
      </w:r>
      <w:r w:rsidR="00C62637">
        <w:t>neboť je ve většině případů</w:t>
      </w:r>
      <w:r>
        <w:t xml:space="preserve"> kontextově situované </w:t>
      </w:r>
      <w:r w:rsidRPr="00C62637">
        <w:t>(srov. Sternberg &amp; Frensch, 1991).</w:t>
      </w:r>
    </w:p>
    <w:p w:rsidR="005F28C6" w:rsidRPr="00057E96" w:rsidRDefault="005F28C6" w:rsidP="00FE68D6">
      <w:pPr>
        <w:numPr>
          <w:ilvl w:val="0"/>
          <w:numId w:val="16"/>
        </w:numPr>
        <w:autoSpaceDE w:val="0"/>
        <w:autoSpaceDN w:val="0"/>
        <w:adjustRightInd w:val="0"/>
        <w:spacing w:after="120" w:line="276" w:lineRule="auto"/>
        <w:jc w:val="both"/>
      </w:pPr>
      <w:r>
        <w:t xml:space="preserve">Kognitivní proměnné – </w:t>
      </w:r>
      <w:r w:rsidR="00DA4737">
        <w:t xml:space="preserve">řešení problémů ovlivňují </w:t>
      </w:r>
      <w:r>
        <w:t xml:space="preserve">předchozí znalosti, strategie a styly </w:t>
      </w:r>
      <w:r w:rsidRPr="00057E96">
        <w:t>učení (</w:t>
      </w:r>
      <w:r w:rsidR="00057E96">
        <w:t xml:space="preserve">srov. </w:t>
      </w:r>
      <w:r w:rsidRPr="00057E96">
        <w:t>Berry, 1995</w:t>
      </w:r>
      <w:r w:rsidR="00DA4737" w:rsidRPr="00057E96">
        <w:t>)</w:t>
      </w:r>
      <w:r w:rsidRPr="00057E96">
        <w:t>, za určitých podmínek také inteligence (přehle</w:t>
      </w:r>
      <w:r w:rsidR="00DA4737" w:rsidRPr="00057E96">
        <w:t>d výzkumů viz Beckmann &amp; Guthke, 1995</w:t>
      </w:r>
      <w:r w:rsidRPr="00057E96">
        <w:t>).</w:t>
      </w:r>
      <w:r w:rsidR="00F453C3" w:rsidRPr="00057E96">
        <w:t xml:space="preserve"> Výsledky experimentálních studií </w:t>
      </w:r>
      <w:r w:rsidR="00402EB3" w:rsidRPr="00057E96">
        <w:t>týkají</w:t>
      </w:r>
      <w:r w:rsidR="008E60C6">
        <w:t>cí</w:t>
      </w:r>
      <w:r w:rsidR="00402EB3" w:rsidRPr="00057E96">
        <w:t xml:space="preserve">ch se vlivu inteligence na řešení problémů </w:t>
      </w:r>
      <w:r w:rsidR="00F453C3" w:rsidRPr="00057E96">
        <w:t>jsou většinou ambivalentní (</w:t>
      </w:r>
      <w:r w:rsidR="00057E96">
        <w:t xml:space="preserve">srov. </w:t>
      </w:r>
      <w:r w:rsidR="00F453C3" w:rsidRPr="00057E96">
        <w:t>Süß, 1999, s. 225</w:t>
      </w:r>
      <w:r w:rsidR="00807960">
        <w:t>).  Leutner (</w:t>
      </w:r>
      <w:r w:rsidR="00402EB3" w:rsidRPr="00057E96">
        <w:t>2002</w:t>
      </w:r>
      <w:r w:rsidR="00F453C3" w:rsidRPr="00057E96">
        <w:t>)</w:t>
      </w:r>
      <w:r w:rsidR="00807960">
        <w:t xml:space="preserve"> </w:t>
      </w:r>
      <w:r w:rsidR="00807960" w:rsidRPr="00807960">
        <w:t>Upozornil na existenci intervenující proměnné, která udává tzv. komplexitu učební úlohy. Je-li problémová úloha příliš jednoduchá nebo naopak příliš komplexní, nehraje při jejím řešení inteligence významnou roli, neboť úspěšné řešení úlohy je buď příliš jednoduché, nebo téměř nedosažitelné. Inteligence je ale klíčovým faktorem ovlivňujícím řešení úloh ve středním pásmu komplexity, na základě čehož je možné dle Leutnera přijmout hypotézu o vztahu inteligence a řešení problémů.</w:t>
      </w:r>
    </w:p>
    <w:p w:rsidR="005F28C6" w:rsidRPr="00057E96" w:rsidRDefault="005F28C6" w:rsidP="00FE68D6">
      <w:pPr>
        <w:numPr>
          <w:ilvl w:val="0"/>
          <w:numId w:val="16"/>
        </w:numPr>
        <w:autoSpaceDE w:val="0"/>
        <w:autoSpaceDN w:val="0"/>
        <w:adjustRightInd w:val="0"/>
        <w:spacing w:after="120" w:line="276" w:lineRule="auto"/>
        <w:jc w:val="both"/>
      </w:pPr>
      <w:r w:rsidRPr="00057E96">
        <w:t xml:space="preserve">Mimokognitivní proměnné – </w:t>
      </w:r>
      <w:r w:rsidR="00DA4737" w:rsidRPr="00057E96">
        <w:t xml:space="preserve">na řešení problémů má vliv </w:t>
      </w:r>
      <w:r w:rsidRPr="00057E96">
        <w:t>sebevědomí,</w:t>
      </w:r>
      <w:r w:rsidR="00DA4737" w:rsidRPr="00057E96">
        <w:t xml:space="preserve"> vytrvalost, motivace</w:t>
      </w:r>
      <w:r w:rsidR="00830DD6" w:rsidRPr="00057E96">
        <w:t xml:space="preserve">, </w:t>
      </w:r>
      <w:r w:rsidR="002C4740" w:rsidRPr="00057E96">
        <w:t>emoce (</w:t>
      </w:r>
      <w:r w:rsidR="00342705" w:rsidRPr="00057E96">
        <w:t xml:space="preserve">podrobněji viz </w:t>
      </w:r>
      <w:r w:rsidR="002C4740" w:rsidRPr="00057E96">
        <w:t xml:space="preserve">Greeno, 1991; Zimmerman &amp; Campilo, 2003) </w:t>
      </w:r>
      <w:r w:rsidR="00830DD6" w:rsidRPr="00057E96">
        <w:t>časový tlak</w:t>
      </w:r>
      <w:r w:rsidR="002C4740" w:rsidRPr="00057E96">
        <w:t xml:space="preserve">, </w:t>
      </w:r>
      <w:r w:rsidR="00830DD6" w:rsidRPr="00057E96">
        <w:t>schopnost předvídat nečekané důsledky jednání</w:t>
      </w:r>
      <w:r w:rsidR="00DA4737" w:rsidRPr="00057E96">
        <w:t xml:space="preserve"> a </w:t>
      </w:r>
      <w:r w:rsidR="008E60C6" w:rsidRPr="00057E96">
        <w:t>schopnost</w:t>
      </w:r>
      <w:r w:rsidR="00830DD6" w:rsidRPr="00057E96">
        <w:t xml:space="preserve"> předvídat budoucím vývoj a chování systému</w:t>
      </w:r>
      <w:r w:rsidR="002C4740" w:rsidRPr="00057E96">
        <w:t xml:space="preserve"> (</w:t>
      </w:r>
      <w:r w:rsidR="00C805EA" w:rsidRPr="00057E96">
        <w:t xml:space="preserve">srov. </w:t>
      </w:r>
      <w:r w:rsidR="002C4740" w:rsidRPr="00057E96">
        <w:t>Dörner, 1989; Funke &amp; Müller, 1988;</w:t>
      </w:r>
      <w:r w:rsidR="00DA4737" w:rsidRPr="00057E96">
        <w:t xml:space="preserve"> </w:t>
      </w:r>
      <w:r w:rsidRPr="00057E96">
        <w:t>Dörner &amp; Wearing, 1995</w:t>
      </w:r>
      <w:r w:rsidR="00C805EA" w:rsidRPr="00057E96">
        <w:t xml:space="preserve"> aj.</w:t>
      </w:r>
      <w:r w:rsidR="002C4740" w:rsidRPr="00057E96">
        <w:t>)</w:t>
      </w:r>
      <w:r w:rsidR="00BB771C" w:rsidRPr="00057E96">
        <w:t>. Některé neurovědní výzkumy dospěly ke zjištění, že kognitivní procesy aktivované při řešení vybraných problémů jsou u mužů a u žen odlišné (podrobněji viz Stieff et al., 2013).</w:t>
      </w:r>
    </w:p>
    <w:p w:rsidR="00FB4599" w:rsidRPr="00057E96" w:rsidRDefault="00FB4599" w:rsidP="00952E6A">
      <w:pPr>
        <w:spacing w:after="120" w:line="276" w:lineRule="auto"/>
        <w:rPr>
          <w:i/>
        </w:rPr>
      </w:pPr>
    </w:p>
    <w:p w:rsidR="005F28C6" w:rsidRPr="00057E96" w:rsidRDefault="00F85389" w:rsidP="00952E6A">
      <w:pPr>
        <w:spacing w:after="120" w:line="276" w:lineRule="auto"/>
        <w:rPr>
          <w:i/>
        </w:rPr>
      </w:pPr>
      <w:r w:rsidRPr="00057E96">
        <w:rPr>
          <w:i/>
        </w:rPr>
        <w:t xml:space="preserve"> </w:t>
      </w:r>
      <w:r w:rsidR="005F28C6" w:rsidRPr="00057E96">
        <w:rPr>
          <w:i/>
        </w:rPr>
        <w:t>Externí</w:t>
      </w:r>
      <w:r w:rsidRPr="00057E96">
        <w:rPr>
          <w:i/>
        </w:rPr>
        <w:t xml:space="preserve"> = situační</w:t>
      </w:r>
      <w:r w:rsidR="005F28C6" w:rsidRPr="00057E96">
        <w:rPr>
          <w:i/>
        </w:rPr>
        <w:t xml:space="preserve"> faktory</w:t>
      </w:r>
    </w:p>
    <w:p w:rsidR="005F28C6" w:rsidRPr="00057E96" w:rsidRDefault="0048024E" w:rsidP="00FE68D6">
      <w:pPr>
        <w:numPr>
          <w:ilvl w:val="0"/>
          <w:numId w:val="17"/>
        </w:numPr>
        <w:autoSpaceDE w:val="0"/>
        <w:autoSpaceDN w:val="0"/>
        <w:adjustRightInd w:val="0"/>
        <w:spacing w:after="120" w:line="276" w:lineRule="auto"/>
        <w:jc w:val="both"/>
      </w:pPr>
      <w:r w:rsidRPr="00057E96">
        <w:t>Komplexita</w:t>
      </w:r>
      <w:r w:rsidR="005F28C6" w:rsidRPr="00057E96">
        <w:t xml:space="preserve"> problému – </w:t>
      </w:r>
      <w:r w:rsidR="00DA4737" w:rsidRPr="00057E96">
        <w:t xml:space="preserve">úspěšnost řešení problémů </w:t>
      </w:r>
      <w:r w:rsidR="005F28C6" w:rsidRPr="00057E96">
        <w:t xml:space="preserve">ovlivňuje struktura, </w:t>
      </w:r>
      <w:r w:rsidR="00910B40">
        <w:t>složitost a</w:t>
      </w:r>
      <w:r w:rsidR="005F28C6" w:rsidRPr="00057E96">
        <w:t xml:space="preserve"> transparentnost úlohy (</w:t>
      </w:r>
      <w:r w:rsidR="00057E96">
        <w:t xml:space="preserve">srov. </w:t>
      </w:r>
      <w:r w:rsidR="005F28C6" w:rsidRPr="00057E96">
        <w:t>Funke, 1995</w:t>
      </w:r>
      <w:r w:rsidR="00CB2727" w:rsidRPr="00057E96">
        <w:t>)</w:t>
      </w:r>
      <w:r w:rsidR="00BB771C" w:rsidRPr="00057E96">
        <w:t>.</w:t>
      </w:r>
    </w:p>
    <w:p w:rsidR="005F28C6" w:rsidRPr="00057E96" w:rsidRDefault="005F28C6" w:rsidP="00FE68D6">
      <w:pPr>
        <w:numPr>
          <w:ilvl w:val="0"/>
          <w:numId w:val="17"/>
        </w:numPr>
        <w:autoSpaceDE w:val="0"/>
        <w:autoSpaceDN w:val="0"/>
        <w:adjustRightInd w:val="0"/>
        <w:spacing w:after="120" w:line="276" w:lineRule="auto"/>
        <w:jc w:val="both"/>
      </w:pPr>
      <w:r w:rsidRPr="00057E96">
        <w:t xml:space="preserve">Kontext – </w:t>
      </w:r>
      <w:r w:rsidR="00910B40">
        <w:t>pokud je problémová učební úloha zasazena do neznámého kontextu, klesá pravděpodobnost jejího úspěšného řešení</w:t>
      </w:r>
      <w:r w:rsidRPr="00057E96">
        <w:t xml:space="preserve"> (</w:t>
      </w:r>
      <w:r w:rsidR="00057E96">
        <w:t xml:space="preserve">srov. </w:t>
      </w:r>
      <w:r w:rsidRPr="00057E96">
        <w:t>Huber, 1995</w:t>
      </w:r>
      <w:r w:rsidR="00CB2727" w:rsidRPr="00057E96">
        <w:t>)</w:t>
      </w:r>
      <w:r w:rsidR="00BB771C" w:rsidRPr="00057E96">
        <w:t>.</w:t>
      </w:r>
    </w:p>
    <w:p w:rsidR="005F28C6" w:rsidRPr="00057E96" w:rsidRDefault="0048024E" w:rsidP="00FE68D6">
      <w:pPr>
        <w:numPr>
          <w:ilvl w:val="0"/>
          <w:numId w:val="17"/>
        </w:numPr>
        <w:autoSpaceDE w:val="0"/>
        <w:autoSpaceDN w:val="0"/>
        <w:adjustRightInd w:val="0"/>
        <w:spacing w:after="120" w:line="276" w:lineRule="auto"/>
        <w:jc w:val="both"/>
      </w:pPr>
      <w:r w:rsidRPr="00057E96">
        <w:t>F</w:t>
      </w:r>
      <w:r w:rsidR="005F28C6" w:rsidRPr="00057E96">
        <w:t xml:space="preserve">aktory prostředí </w:t>
      </w:r>
      <w:r w:rsidR="005C4A68" w:rsidRPr="00057E96">
        <w:t>–</w:t>
      </w:r>
      <w:r w:rsidR="005F28C6" w:rsidRPr="00057E96">
        <w:t xml:space="preserve"> zpětná vazba, očekávání, spolupráce, tlak na výkon </w:t>
      </w:r>
      <w:r w:rsidR="00CB2727" w:rsidRPr="00057E96">
        <w:t>(</w:t>
      </w:r>
      <w:r w:rsidR="00057E96">
        <w:t xml:space="preserve">srov. </w:t>
      </w:r>
      <w:r w:rsidR="005F28C6" w:rsidRPr="00057E96">
        <w:t>Brehmer, 1995</w:t>
      </w:r>
      <w:r w:rsidR="00CB2727" w:rsidRPr="00057E96">
        <w:t>)</w:t>
      </w:r>
      <w:r w:rsidR="00BB771C" w:rsidRPr="00057E96">
        <w:t>.</w:t>
      </w:r>
    </w:p>
    <w:p w:rsidR="005267DB" w:rsidRPr="00BB771C" w:rsidRDefault="00F05E89" w:rsidP="00FE68D6">
      <w:pPr>
        <w:numPr>
          <w:ilvl w:val="0"/>
          <w:numId w:val="17"/>
        </w:numPr>
        <w:autoSpaceDE w:val="0"/>
        <w:autoSpaceDN w:val="0"/>
        <w:adjustRightInd w:val="0"/>
        <w:spacing w:after="120" w:line="276" w:lineRule="auto"/>
        <w:jc w:val="both"/>
      </w:pPr>
      <w:r>
        <w:t xml:space="preserve">Izomorfie (korespondence, obdobnost) problému – na úspěšnost řešení určitého typu </w:t>
      </w:r>
      <w:r w:rsidRPr="00BB771C">
        <w:t>problému nemá vliv alternativní způsob jejich prezentace (např. formální obměna zadání) nebo jeho zarámování v jiné problémové situaci (</w:t>
      </w:r>
      <w:r w:rsidR="00342705" w:rsidRPr="00BB771C">
        <w:t xml:space="preserve">podrobněji viz </w:t>
      </w:r>
      <w:r w:rsidRPr="00BB771C">
        <w:t>Greeno, 1974).</w:t>
      </w:r>
    </w:p>
    <w:p w:rsidR="006D3D5C" w:rsidRDefault="006D3D5C" w:rsidP="00FE68D6">
      <w:pPr>
        <w:numPr>
          <w:ilvl w:val="0"/>
          <w:numId w:val="17"/>
        </w:numPr>
        <w:autoSpaceDE w:val="0"/>
        <w:autoSpaceDN w:val="0"/>
        <w:adjustRightInd w:val="0"/>
        <w:spacing w:after="120" w:line="276" w:lineRule="auto"/>
        <w:jc w:val="both"/>
      </w:pPr>
      <w:r w:rsidRPr="00BB771C">
        <w:t xml:space="preserve">Transfer skrze analogie – </w:t>
      </w:r>
      <w:r w:rsidR="00910B40">
        <w:t>indikátorem</w:t>
      </w:r>
      <w:r w:rsidRPr="00BB771C">
        <w:t xml:space="preserve"> úspěšnosti řešení problému může být obeznámenost (analogie, překryv) se způsobem řešení jiného souvisejícího (zpravidla jednoduššího) problému. K</w:t>
      </w:r>
      <w:r w:rsidR="00910B40">
        <w:t>e</w:t>
      </w:r>
      <w:r w:rsidRPr="00BB771C">
        <w:t> spontánní identifikaci analogií v jiném kontextu ovšem dochází pouze výjimečně (</w:t>
      </w:r>
      <w:r w:rsidR="00C805EA" w:rsidRPr="00BB771C">
        <w:t xml:space="preserve">srov. </w:t>
      </w:r>
      <w:r w:rsidRPr="00BB771C">
        <w:t>Gick &amp; Holoyak, 1980, 1983</w:t>
      </w:r>
      <w:r w:rsidR="00FD5521" w:rsidRPr="00BB771C">
        <w:t>;</w:t>
      </w:r>
      <w:r w:rsidRPr="00BB771C">
        <w:t xml:space="preserve"> </w:t>
      </w:r>
      <w:r w:rsidRPr="00643EB2">
        <w:t>VanLehn, 1998</w:t>
      </w:r>
      <w:r w:rsidR="00C805EA">
        <w:t xml:space="preserve"> aj.</w:t>
      </w:r>
      <w:r w:rsidRPr="00643EB2">
        <w:t>).</w:t>
      </w:r>
      <w:r>
        <w:t xml:space="preserve"> </w:t>
      </w:r>
      <w:r w:rsidR="00533B06">
        <w:t>Pozitivní</w:t>
      </w:r>
      <w:r>
        <w:t xml:space="preserve"> transfer na</w:t>
      </w:r>
      <w:r w:rsidR="00D059E4">
        <w:t xml:space="preserve"> řešení učebních úloh situovaných do výrazně odlišných </w:t>
      </w:r>
      <w:r>
        <w:t>kontext</w:t>
      </w:r>
      <w:r w:rsidR="00D059E4">
        <w:t>ů</w:t>
      </w:r>
      <w:r>
        <w:t xml:space="preserve"> nebyl dosud empiricky prokázán, mimo jiné kvůli tomu, že je výzkumně obtížně uchopitelný, nebo spíše neuchopitelný, jak na základě analýzy zahraničních výzkumů dokládají </w:t>
      </w:r>
      <w:r w:rsidR="00FD5521">
        <w:t xml:space="preserve">Funke (2003, </w:t>
      </w:r>
      <w:r w:rsidR="00FD5521" w:rsidRPr="008051DC">
        <w:t>s. 201</w:t>
      </w:r>
      <w:r w:rsidR="00013D3B" w:rsidRPr="008051DC">
        <w:t>–</w:t>
      </w:r>
      <w:r w:rsidR="00FD5521" w:rsidRPr="008051DC">
        <w:t>253)</w:t>
      </w:r>
      <w:r w:rsidR="00CF55A7">
        <w:t xml:space="preserve"> nebo </w:t>
      </w:r>
      <w:r>
        <w:t>Rendl a Štech (2012).</w:t>
      </w:r>
      <w:r>
        <w:rPr>
          <w:rStyle w:val="Znakapoznpodarou"/>
        </w:rPr>
        <w:footnoteReference w:id="38"/>
      </w:r>
      <w:r w:rsidR="00AA5BC2">
        <w:t xml:space="preserve"> S transferem úzce souvisí také probl</w:t>
      </w:r>
      <w:r w:rsidR="00D059E4">
        <w:t>ematika</w:t>
      </w:r>
      <w:r w:rsidR="00AA5BC2">
        <w:t xml:space="preserve"> inertních znalostí, o n</w:t>
      </w:r>
      <w:r w:rsidR="00D059E4">
        <w:t>íž</w:t>
      </w:r>
      <w:r w:rsidR="00AA5BC2">
        <w:t xml:space="preserve"> pojednáváme v </w:t>
      </w:r>
      <w:r w:rsidR="00AA5BC2" w:rsidRPr="006D7BC3">
        <w:t>kapito</w:t>
      </w:r>
      <w:r w:rsidR="00BB771C" w:rsidRPr="006D7BC3">
        <w:t>l</w:t>
      </w:r>
      <w:r w:rsidR="00AA5BC2" w:rsidRPr="006D7BC3">
        <w:t xml:space="preserve">e </w:t>
      </w:r>
      <w:r w:rsidR="006D7BC3" w:rsidRPr="006D7BC3">
        <w:t>1.8.5</w:t>
      </w:r>
      <w:r w:rsidR="00AA5BC2" w:rsidRPr="006D7BC3">
        <w:t>.</w:t>
      </w:r>
    </w:p>
    <w:p w:rsidR="00A720FB" w:rsidRDefault="0036635E" w:rsidP="00952E6A">
      <w:pPr>
        <w:autoSpaceDE w:val="0"/>
        <w:autoSpaceDN w:val="0"/>
        <w:adjustRightInd w:val="0"/>
        <w:spacing w:after="120" w:line="276" w:lineRule="auto"/>
        <w:jc w:val="both"/>
      </w:pPr>
      <w:r>
        <w:t>K názornějšímu</w:t>
      </w:r>
      <w:r w:rsidR="001E01E5">
        <w:t> </w:t>
      </w:r>
      <w:r w:rsidR="005F28C6">
        <w:t>porozumění</w:t>
      </w:r>
      <w:r w:rsidR="001E01E5">
        <w:t xml:space="preserve"> jednotlivým faktorům ovlivňujících řešení problémů a jejich vzájemným vztahům </w:t>
      </w:r>
      <w:r>
        <w:t xml:space="preserve">je možné využít syntetický model Greiffa </w:t>
      </w:r>
      <w:r w:rsidR="001E01E5">
        <w:t>(</w:t>
      </w:r>
      <w:r>
        <w:t xml:space="preserve">2012, s. 54; </w:t>
      </w:r>
      <w:r w:rsidR="00460093">
        <w:t xml:space="preserve">srov. </w:t>
      </w:r>
      <w:r w:rsidR="001E01E5">
        <w:t xml:space="preserve">obr. </w:t>
      </w:r>
      <w:r w:rsidR="00460093">
        <w:t>8</w:t>
      </w:r>
      <w:r w:rsidR="001E01E5">
        <w:t xml:space="preserve">). </w:t>
      </w:r>
    </w:p>
    <w:p w:rsidR="00A720FB" w:rsidRDefault="00A720FB">
      <w:r>
        <w:br w:type="page"/>
      </w:r>
    </w:p>
    <w:p w:rsidR="00F257AE" w:rsidRDefault="00F257AE" w:rsidP="00952E6A">
      <w:pPr>
        <w:autoSpaceDE w:val="0"/>
        <w:autoSpaceDN w:val="0"/>
        <w:adjustRightInd w:val="0"/>
        <w:spacing w:after="120" w:line="276" w:lineRule="auto"/>
        <w:jc w:val="both"/>
      </w:pPr>
    </w:p>
    <w:p w:rsidR="00CB2727" w:rsidRDefault="00910B40" w:rsidP="00952E6A">
      <w:pPr>
        <w:autoSpaceDE w:val="0"/>
        <w:autoSpaceDN w:val="0"/>
        <w:adjustRightInd w:val="0"/>
        <w:spacing w:after="120" w:line="276" w:lineRule="auto"/>
        <w:jc w:val="both"/>
      </w:pPr>
      <w:r>
        <w:rPr>
          <w:noProof/>
        </w:rPr>
        <w:drawing>
          <wp:inline distT="0" distB="0" distL="0" distR="0">
            <wp:extent cx="3333750" cy="3404493"/>
            <wp:effectExtent l="19050" t="0" r="0" b="0"/>
            <wp:docPr id="12" name="Obrázek 11" descr="Kruhy Greif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ruhy Greiff.PNG"/>
                    <pic:cNvPicPr/>
                  </pic:nvPicPr>
                  <pic:blipFill>
                    <a:blip r:embed="rId19" cstate="print"/>
                    <a:stretch>
                      <a:fillRect/>
                    </a:stretch>
                  </pic:blipFill>
                  <pic:spPr>
                    <a:xfrm>
                      <a:off x="0" y="0"/>
                      <a:ext cx="3335101" cy="3405872"/>
                    </a:xfrm>
                    <a:prstGeom prst="rect">
                      <a:avLst/>
                    </a:prstGeom>
                  </pic:spPr>
                </pic:pic>
              </a:graphicData>
            </a:graphic>
          </wp:inline>
        </w:drawing>
      </w:r>
    </w:p>
    <w:p w:rsidR="000E6CEC" w:rsidRPr="000E6CEC" w:rsidRDefault="000E6CEC" w:rsidP="000E6CEC">
      <w:pPr>
        <w:pStyle w:val="Titulek"/>
        <w:rPr>
          <w:b w:val="0"/>
          <w:sz w:val="24"/>
        </w:rPr>
      </w:pPr>
      <w:bookmarkStart w:id="36" w:name="_Toc399789146"/>
      <w:r w:rsidRPr="000E6CEC">
        <w:rPr>
          <w:b w:val="0"/>
          <w:i/>
          <w:sz w:val="24"/>
        </w:rPr>
        <w:t xml:space="preserve">Obrázek </w:t>
      </w:r>
      <w:r w:rsidR="003818A1" w:rsidRPr="000E6CEC">
        <w:rPr>
          <w:b w:val="0"/>
          <w:i/>
          <w:sz w:val="24"/>
        </w:rPr>
        <w:fldChar w:fldCharType="begin"/>
      </w:r>
      <w:r w:rsidRPr="000E6CEC">
        <w:rPr>
          <w:b w:val="0"/>
          <w:i/>
          <w:sz w:val="24"/>
        </w:rPr>
        <w:instrText xml:space="preserve"> SEQ Obrázek \* ARABIC </w:instrText>
      </w:r>
      <w:r w:rsidR="003818A1" w:rsidRPr="000E6CEC">
        <w:rPr>
          <w:b w:val="0"/>
          <w:i/>
          <w:sz w:val="24"/>
        </w:rPr>
        <w:fldChar w:fldCharType="separate"/>
      </w:r>
      <w:r w:rsidR="00FB20B9">
        <w:rPr>
          <w:b w:val="0"/>
          <w:i/>
          <w:noProof/>
          <w:sz w:val="24"/>
        </w:rPr>
        <w:t>8</w:t>
      </w:r>
      <w:r w:rsidR="003818A1" w:rsidRPr="000E6CEC">
        <w:rPr>
          <w:b w:val="0"/>
          <w:i/>
          <w:sz w:val="24"/>
        </w:rPr>
        <w:fldChar w:fldCharType="end"/>
      </w:r>
      <w:r w:rsidRPr="000E6CEC">
        <w:rPr>
          <w:b w:val="0"/>
          <w:i/>
          <w:sz w:val="24"/>
        </w:rPr>
        <w:t xml:space="preserve">. </w:t>
      </w:r>
      <w:r w:rsidR="00511111" w:rsidRPr="000E6CEC">
        <w:rPr>
          <w:b w:val="0"/>
          <w:sz w:val="24"/>
        </w:rPr>
        <w:t>Třísložkový model řešení problémů</w:t>
      </w:r>
      <w:r w:rsidR="00941BE6" w:rsidRPr="000E6CEC">
        <w:rPr>
          <w:b w:val="0"/>
          <w:sz w:val="24"/>
        </w:rPr>
        <w:t xml:space="preserve"> s vyznačenými interakcemi</w:t>
      </w:r>
      <w:r w:rsidRPr="000E6CEC">
        <w:rPr>
          <w:b w:val="0"/>
          <w:sz w:val="24"/>
        </w:rPr>
        <w:t>.</w:t>
      </w:r>
      <w:bookmarkEnd w:id="36"/>
      <w:r w:rsidRPr="000E6CEC">
        <w:rPr>
          <w:b w:val="0"/>
          <w:sz w:val="24"/>
        </w:rPr>
        <w:t xml:space="preserve"> </w:t>
      </w:r>
    </w:p>
    <w:p w:rsidR="00CB2727" w:rsidRPr="000E6CEC" w:rsidRDefault="000E6CEC" w:rsidP="000E6CEC">
      <w:pPr>
        <w:pStyle w:val="Titulek"/>
        <w:rPr>
          <w:b w:val="0"/>
        </w:rPr>
      </w:pPr>
      <w:r w:rsidRPr="000E6CEC">
        <w:rPr>
          <w:b w:val="0"/>
        </w:rPr>
        <w:t xml:space="preserve">Pozn. Upraveno </w:t>
      </w:r>
      <w:r w:rsidR="00941BE6" w:rsidRPr="000E6CEC">
        <w:rPr>
          <w:b w:val="0"/>
        </w:rPr>
        <w:t xml:space="preserve">podle </w:t>
      </w:r>
      <w:r w:rsidRPr="000E6CEC">
        <w:rPr>
          <w:b w:val="0"/>
        </w:rPr>
        <w:t>Greiff (</w:t>
      </w:r>
      <w:r w:rsidR="00CB2727" w:rsidRPr="000E6CEC">
        <w:rPr>
          <w:b w:val="0"/>
        </w:rPr>
        <w:t>2012, s. 54</w:t>
      </w:r>
      <w:r w:rsidR="00941BE6" w:rsidRPr="000E6CEC">
        <w:rPr>
          <w:b w:val="0"/>
        </w:rPr>
        <w:t>)</w:t>
      </w:r>
      <w:r w:rsidR="00CB2727" w:rsidRPr="000E6CEC">
        <w:rPr>
          <w:b w:val="0"/>
        </w:rPr>
        <w:t>.</w:t>
      </w:r>
    </w:p>
    <w:p w:rsidR="001E01E5" w:rsidRDefault="001E01E5" w:rsidP="00952E6A">
      <w:pPr>
        <w:autoSpaceDE w:val="0"/>
        <w:autoSpaceDN w:val="0"/>
        <w:adjustRightInd w:val="0"/>
        <w:spacing w:after="120" w:line="276" w:lineRule="auto"/>
        <w:jc w:val="both"/>
      </w:pPr>
    </w:p>
    <w:p w:rsidR="006512EB" w:rsidRDefault="001E01E5" w:rsidP="00952E6A">
      <w:pPr>
        <w:autoSpaceDE w:val="0"/>
        <w:autoSpaceDN w:val="0"/>
        <w:adjustRightInd w:val="0"/>
        <w:spacing w:after="120" w:line="276" w:lineRule="auto"/>
        <w:jc w:val="both"/>
      </w:pPr>
      <w:r>
        <w:t xml:space="preserve">Z obrázku </w:t>
      </w:r>
      <w:r w:rsidR="006D7BC3">
        <w:t>8</w:t>
      </w:r>
      <w:r>
        <w:t xml:space="preserve"> je patrné, že </w:t>
      </w:r>
      <w:r w:rsidR="00791F21">
        <w:t>řešení problémů</w:t>
      </w:r>
      <w:r>
        <w:t xml:space="preserve"> má tři hlavní komponenty</w:t>
      </w:r>
      <w:r w:rsidR="00BB771C">
        <w:t xml:space="preserve"> – </w:t>
      </w:r>
      <w:r w:rsidR="00BB771C" w:rsidRPr="00546AC7">
        <w:rPr>
          <w:i/>
        </w:rPr>
        <w:t>ř</w:t>
      </w:r>
      <w:r w:rsidRPr="00546AC7">
        <w:rPr>
          <w:i/>
        </w:rPr>
        <w:t>ešitel</w:t>
      </w:r>
      <w:r w:rsidR="00BB771C" w:rsidRPr="00546AC7">
        <w:rPr>
          <w:i/>
        </w:rPr>
        <w:t>e</w:t>
      </w:r>
      <w:r w:rsidRPr="00546AC7">
        <w:rPr>
          <w:i/>
        </w:rPr>
        <w:t xml:space="preserve"> problému</w:t>
      </w:r>
      <w:r>
        <w:t xml:space="preserve">, </w:t>
      </w:r>
      <w:r w:rsidRPr="00546AC7">
        <w:rPr>
          <w:i/>
        </w:rPr>
        <w:t>problémov</w:t>
      </w:r>
      <w:r w:rsidR="00BB771C" w:rsidRPr="00546AC7">
        <w:rPr>
          <w:i/>
        </w:rPr>
        <w:t>ou učební</w:t>
      </w:r>
      <w:r w:rsidRPr="00546AC7">
        <w:rPr>
          <w:i/>
        </w:rPr>
        <w:t xml:space="preserve"> úloh</w:t>
      </w:r>
      <w:r w:rsidR="00BB771C" w:rsidRPr="00546AC7">
        <w:rPr>
          <w:i/>
        </w:rPr>
        <w:t>u</w:t>
      </w:r>
      <w:r>
        <w:t xml:space="preserve"> a </w:t>
      </w:r>
      <w:r w:rsidR="00807960" w:rsidRPr="00546AC7">
        <w:rPr>
          <w:i/>
        </w:rPr>
        <w:t>situační kontext</w:t>
      </w:r>
      <w:r>
        <w:t xml:space="preserve">. </w:t>
      </w:r>
      <w:r w:rsidR="005267DB">
        <w:t xml:space="preserve">V okruhu </w:t>
      </w:r>
      <w:r w:rsidR="005267DB" w:rsidRPr="00546AC7">
        <w:rPr>
          <w:i/>
        </w:rPr>
        <w:t>řešit</w:t>
      </w:r>
      <w:r w:rsidR="005F28C6" w:rsidRPr="00546AC7">
        <w:rPr>
          <w:i/>
        </w:rPr>
        <w:t>el</w:t>
      </w:r>
      <w:r w:rsidR="005F28C6">
        <w:t xml:space="preserve"> </w:t>
      </w:r>
      <w:r w:rsidR="005F28C6" w:rsidRPr="00546AC7">
        <w:rPr>
          <w:i/>
        </w:rPr>
        <w:t>problému</w:t>
      </w:r>
      <w:r w:rsidR="005F28C6">
        <w:t xml:space="preserve"> můžeme roze</w:t>
      </w:r>
      <w:r>
        <w:t>z</w:t>
      </w:r>
      <w:r w:rsidR="005F28C6">
        <w:t>nat obsah statické paměti a dynamické zpracování informací. Pamě</w:t>
      </w:r>
      <w:r w:rsidR="00BB771C">
        <w:t>ť</w:t>
      </w:r>
      <w:r w:rsidR="005F28C6">
        <w:t xml:space="preserve"> je rozdělena do n</w:t>
      </w:r>
      <w:r w:rsidR="00546AC7">
        <w:t>ad</w:t>
      </w:r>
      <w:r w:rsidR="005F28C6">
        <w:t xml:space="preserve">oborové a doménově specifické oblasti znalostí. Oba tyto typy znalostí ovlivňují výkon při </w:t>
      </w:r>
      <w:r>
        <w:t>řešen</w:t>
      </w:r>
      <w:r w:rsidR="00BB771C">
        <w:t>í</w:t>
      </w:r>
      <w:r>
        <w:t xml:space="preserve"> </w:t>
      </w:r>
      <w:r w:rsidR="00BB771C">
        <w:t>pro</w:t>
      </w:r>
      <w:r>
        <w:t>blémů</w:t>
      </w:r>
      <w:r w:rsidR="005F28C6">
        <w:t xml:space="preserve">. </w:t>
      </w:r>
      <w:r w:rsidR="004D096E">
        <w:t>Dynamické</w:t>
      </w:r>
      <w:r w:rsidR="005F28C6">
        <w:t xml:space="preserve"> zpracování informací zahrnuje strategie řešení a procesy monitoringu a </w:t>
      </w:r>
      <w:r w:rsidR="00546AC7">
        <w:t>hodnocení</w:t>
      </w:r>
      <w:r w:rsidR="005F28C6">
        <w:t xml:space="preserve"> pokroku. </w:t>
      </w:r>
      <w:r w:rsidR="004D096E">
        <w:t>Důležitou roli zde hrají také m</w:t>
      </w:r>
      <w:r w:rsidR="005F28C6">
        <w:t>otivační a personální faktory.</w:t>
      </w:r>
      <w:r>
        <w:t xml:space="preserve"> </w:t>
      </w:r>
      <w:r w:rsidR="00546AC7" w:rsidRPr="00546AC7">
        <w:rPr>
          <w:i/>
        </w:rPr>
        <w:t>P</w:t>
      </w:r>
      <w:r w:rsidR="00BB771C" w:rsidRPr="00546AC7">
        <w:rPr>
          <w:i/>
        </w:rPr>
        <w:t xml:space="preserve">roblémová učební </w:t>
      </w:r>
      <w:r w:rsidR="005F28C6" w:rsidRPr="00546AC7">
        <w:rPr>
          <w:i/>
        </w:rPr>
        <w:t>úloha</w:t>
      </w:r>
      <w:r w:rsidR="005F28C6">
        <w:t xml:space="preserve"> spočívá v překonání překážky, která existuje mezi výchozím a cílovým stavem. </w:t>
      </w:r>
      <w:r w:rsidR="004D096E">
        <w:t>Při</w:t>
      </w:r>
      <w:r w:rsidR="005F28C6">
        <w:t xml:space="preserve"> </w:t>
      </w:r>
      <w:r>
        <w:t>řešení problémů</w:t>
      </w:r>
      <w:r w:rsidR="005F28C6">
        <w:t xml:space="preserve"> se předpokládá, že překážky jsou komplexní, proměnlivé a netransparentní. Přechod od výchozího k cílovému stavu </w:t>
      </w:r>
      <w:r w:rsidR="00BB771C">
        <w:t>závisí na obsahu</w:t>
      </w:r>
      <w:r w:rsidR="005F28C6">
        <w:t xml:space="preserve"> paměti, </w:t>
      </w:r>
      <w:r w:rsidR="008E60C6">
        <w:t>informacích</w:t>
      </w:r>
      <w:r w:rsidR="005F28C6">
        <w:t xml:space="preserve"> a prostřed</w:t>
      </w:r>
      <w:r w:rsidR="00BB771C">
        <w:t xml:space="preserve">cích, </w:t>
      </w:r>
      <w:r w:rsidR="005F28C6">
        <w:t>které má řešitel k dispozici.</w:t>
      </w:r>
      <w:r w:rsidR="00AB6FED">
        <w:t xml:space="preserve"> </w:t>
      </w:r>
      <w:r w:rsidR="00791F21" w:rsidRPr="00546AC7">
        <w:rPr>
          <w:i/>
        </w:rPr>
        <w:t>Situační kontext</w:t>
      </w:r>
      <w:r w:rsidR="005F28C6">
        <w:t xml:space="preserve"> zah</w:t>
      </w:r>
      <w:r w:rsidR="00791F21">
        <w:t>r</w:t>
      </w:r>
      <w:r w:rsidR="005F28C6">
        <w:t>nuje zdroje, které jsou k dispozici, jako je zpětná vazba, očekávání, tlak okolí, rušiv</w:t>
      </w:r>
      <w:r w:rsidR="004D096E">
        <w:t>é</w:t>
      </w:r>
      <w:r w:rsidR="005F28C6">
        <w:t xml:space="preserve"> vliv</w:t>
      </w:r>
      <w:r w:rsidR="004D096E">
        <w:t>y</w:t>
      </w:r>
      <w:r w:rsidR="005F28C6">
        <w:t xml:space="preserve"> atd. </w:t>
      </w:r>
      <w:r w:rsidR="00791F21">
        <w:t xml:space="preserve">Situační kontext </w:t>
      </w:r>
      <w:r w:rsidR="005F28C6">
        <w:t xml:space="preserve">ovlivňuje řešitele i </w:t>
      </w:r>
      <w:r w:rsidR="00BB771C">
        <w:t xml:space="preserve">učební </w:t>
      </w:r>
      <w:r w:rsidR="005F28C6">
        <w:t xml:space="preserve">úlohu. Řešitele ovlivňuje </w:t>
      </w:r>
      <w:r w:rsidR="00791F21">
        <w:t>situační kontext</w:t>
      </w:r>
      <w:r w:rsidR="004D096E">
        <w:t xml:space="preserve"> </w:t>
      </w:r>
      <w:r w:rsidR="005F28C6">
        <w:t>zejména v tom, že může zabraňovat například v přístupu k některým znalostem</w:t>
      </w:r>
      <w:r w:rsidR="004D096E">
        <w:t xml:space="preserve"> či informacím</w:t>
      </w:r>
      <w:r w:rsidR="005F28C6">
        <w:t>, které má řešitel k dispozici. Naopak</w:t>
      </w:r>
      <w:r w:rsidR="00BB771C">
        <w:t xml:space="preserve"> učební úloha</w:t>
      </w:r>
      <w:r w:rsidR="005F28C6">
        <w:t xml:space="preserve"> může být prostředím ovlivněna například tím, že </w:t>
      </w:r>
      <w:r w:rsidR="00791F21">
        <w:t xml:space="preserve">situační kontext </w:t>
      </w:r>
      <w:r w:rsidR="005F28C6">
        <w:t xml:space="preserve">omezí možnosti využití některých prostředků. </w:t>
      </w:r>
      <w:r w:rsidR="004D096E">
        <w:t>Samotn</w:t>
      </w:r>
      <w:r w:rsidR="00791F21">
        <w:t>ý situační kontext</w:t>
      </w:r>
      <w:r w:rsidR="005F28C6">
        <w:t xml:space="preserve"> může být </w:t>
      </w:r>
      <w:r w:rsidR="004D096E">
        <w:t xml:space="preserve">taktéž </w:t>
      </w:r>
      <w:r w:rsidR="005F28C6">
        <w:t xml:space="preserve">ovlivňován řešitelem, ale zároveň nemůže být ovlivňován </w:t>
      </w:r>
      <w:r w:rsidR="00791F21">
        <w:t>učební úlohou</w:t>
      </w:r>
      <w:r w:rsidR="005F28C6">
        <w:t xml:space="preserve">. </w:t>
      </w:r>
    </w:p>
    <w:p w:rsidR="00EB551F" w:rsidRPr="00EB551F" w:rsidRDefault="00EB551F" w:rsidP="00952E6A">
      <w:pPr>
        <w:autoSpaceDE w:val="0"/>
        <w:autoSpaceDN w:val="0"/>
        <w:adjustRightInd w:val="0"/>
        <w:spacing w:after="120" w:line="276" w:lineRule="auto"/>
        <w:jc w:val="both"/>
      </w:pPr>
    </w:p>
    <w:p w:rsidR="006B4A82" w:rsidRDefault="006B4A82" w:rsidP="00FE68D6">
      <w:pPr>
        <w:pStyle w:val="Nadpis3"/>
        <w:numPr>
          <w:ilvl w:val="2"/>
          <w:numId w:val="33"/>
        </w:numPr>
        <w:spacing w:before="0" w:after="120"/>
      </w:pPr>
      <w:bookmarkStart w:id="37" w:name="_Toc399775399"/>
      <w:r>
        <w:t>Shrnutí</w:t>
      </w:r>
      <w:bookmarkEnd w:id="37"/>
    </w:p>
    <w:p w:rsidR="006B4A82" w:rsidRDefault="00545B72" w:rsidP="006B4A82">
      <w:pPr>
        <w:autoSpaceDE w:val="0"/>
        <w:autoSpaceDN w:val="0"/>
        <w:adjustRightInd w:val="0"/>
        <w:spacing w:after="120" w:line="276" w:lineRule="auto"/>
        <w:jc w:val="both"/>
      </w:pPr>
      <w:r>
        <w:t xml:space="preserve">Problematika řešení problémů je v současnosti zasazena do relativně nepřehledného výzkumného pole, v němž si vzájemně konkurují různé teorie, definice i metodické přístupy. </w:t>
      </w:r>
      <w:r w:rsidR="006B4A82">
        <w:t>Přehled dosavadního stavu poznání</w:t>
      </w:r>
      <w:r>
        <w:t xml:space="preserve">, </w:t>
      </w:r>
      <w:r w:rsidR="006B4A82">
        <w:t xml:space="preserve">který </w:t>
      </w:r>
      <w:r>
        <w:t>jsme představili</w:t>
      </w:r>
      <w:r w:rsidR="006B4A82">
        <w:t xml:space="preserve"> v této kapitole, proto není možné pokládat za vyčerpávající.</w:t>
      </w:r>
      <w:r w:rsidR="006B4A82" w:rsidRPr="00871C47">
        <w:t xml:space="preserve"> </w:t>
      </w:r>
      <w:r w:rsidR="006B4A82">
        <w:t xml:space="preserve">Naše úsilí směřovalo především ke zmapování literárních pramenů relevantních z hlediska cílů námi realizovaného výzkumu, stěžejních metaanalýz a přehledových studií a také pramenů, které je možné v prostředí odborníků zabývajících se zkoumáním řešení problémů a učebních úloh označit za </w:t>
      </w:r>
      <w:r w:rsidR="006B4A82" w:rsidRPr="00BC7091">
        <w:t>kanonické.</w:t>
      </w:r>
      <w:r w:rsidR="006B4A82">
        <w:t xml:space="preserve"> Zatímco v severoamerické výzkumné oblasti je hlavním cílem výzkumníků porozumět procesu řešení problémových situací a učení v jednotlivých oblastech lidského poznání, evropští výzkumníci se zaměřují na to, jak lidé jednají v neznámých a komplexních problémových situacích. Definice řešení problémů používané jednotlivými výzkumníky se tak do značné míry odvíjejí od cílů jednotlivých výzkumů. Proto ani není možné očekávat, že by bylo možné nalézt nějakou univerzálně platnou definici řešení problémů. Mezi výchozími teoriemi, definicemi a použitými výzkumnými nástroji existují subtilní vztahy. Pokud řešení problému nazíráme z pohledu pedagogiky a pedagogické psychologie, nebylo by příliš smysluplné vycházet ze složitých </w:t>
      </w:r>
      <w:r w:rsidR="007E2B2B">
        <w:t>neurofyziologických</w:t>
      </w:r>
      <w:r w:rsidR="006B4A82">
        <w:t>, biologických nebo kognitivně psychologických modelů.</w:t>
      </w:r>
      <w:r w:rsidR="006B4A82" w:rsidRPr="00871C47">
        <w:t xml:space="preserve"> </w:t>
      </w:r>
      <w:r w:rsidR="006B4A82">
        <w:t xml:space="preserve">V této práci vycházíme z definic, které zužují řešení problémů na kognitivní proces. Emoční, motivační, sociální aj. aspekty v případě námi realizovaného výzkumu zůstávají stranou, přestože mohou v procesu utváření a </w:t>
      </w:r>
      <w:r w:rsidR="006B4A82" w:rsidRPr="00AB4045">
        <w:t>rozvíjení kompetence k řešení problémů sehrávat významnou roli. S odvoláním na Weinerta (2001a) se nicméně vyslovujeme pro jejich oddělené zkoumání.</w:t>
      </w:r>
      <w:r w:rsidR="006B4A82" w:rsidRPr="00AB4045">
        <w:rPr>
          <w:rStyle w:val="Znakapoznpodarou"/>
        </w:rPr>
        <w:footnoteReference w:id="39"/>
      </w:r>
      <w:r w:rsidR="006B4A82" w:rsidRPr="00AB4045">
        <w:t xml:space="preserve"> Obecně je možné problém definovat</w:t>
      </w:r>
      <w:r w:rsidR="006B4A82" w:rsidRPr="00440277">
        <w:t xml:space="preserve"> jako nějakou situaci, ve které její aktér chce dosáhnout nějakého cíle, ale neví, jak tohoto cíle dosáhnout.</w:t>
      </w:r>
      <w:r w:rsidR="006B4A82" w:rsidRPr="00D162E0">
        <w:t xml:space="preserve"> </w:t>
      </w:r>
      <w:r w:rsidR="006B4A82">
        <w:t>S ohledem na požadavek utváření a rozvíjení kompetence k řešení problémů j</w:t>
      </w:r>
      <w:r w:rsidR="006B4A82" w:rsidRPr="00D162E0">
        <w:t xml:space="preserve">e otázkou, jak zajistit, aby </w:t>
      </w:r>
      <w:r w:rsidR="006B4A82">
        <w:t xml:space="preserve">řešení </w:t>
      </w:r>
      <w:r w:rsidR="006B4A82" w:rsidRPr="00D162E0">
        <w:t>problém</w:t>
      </w:r>
      <w:r w:rsidR="006B4A82">
        <w:t>ů bylo běžnou součástí školní výuky. Odpověď budeme hledat v následující kapitole.</w:t>
      </w:r>
    </w:p>
    <w:p w:rsidR="003D43A7" w:rsidRDefault="003D43A7" w:rsidP="006B4A82">
      <w:pPr>
        <w:autoSpaceDE w:val="0"/>
        <w:autoSpaceDN w:val="0"/>
        <w:adjustRightInd w:val="0"/>
        <w:spacing w:after="120" w:line="276" w:lineRule="auto"/>
        <w:jc w:val="both"/>
      </w:pPr>
    </w:p>
    <w:p w:rsidR="003D43A7" w:rsidRPr="003D43A7" w:rsidRDefault="003D43A7" w:rsidP="003D43A7">
      <w:pPr>
        <w:pStyle w:val="Nadpis2"/>
      </w:pPr>
      <w:bookmarkStart w:id="38" w:name="_Toc399775400"/>
      <w:r w:rsidRPr="003D43A7">
        <w:t>Problémová výuka</w:t>
      </w:r>
      <w:bookmarkEnd w:id="38"/>
    </w:p>
    <w:p w:rsidR="003D43A7" w:rsidRPr="003D43A7" w:rsidRDefault="003D43A7" w:rsidP="003D43A7">
      <w:pPr>
        <w:spacing w:after="120" w:line="276" w:lineRule="auto"/>
        <w:jc w:val="both"/>
      </w:pPr>
      <w:r w:rsidRPr="003D43A7">
        <w:t>Z psychologického hlediska je řešení problémů možné považovat za jeden ze svébytných z druhů učení. Někteří autoři hovoří o učení řešení problémů jako o vyšší formě učení (srov. Gagné, 1975).</w:t>
      </w:r>
      <w:r w:rsidRPr="003D43A7">
        <w:rPr>
          <w:vertAlign w:val="superscript"/>
        </w:rPr>
        <w:footnoteReference w:id="40"/>
      </w:r>
      <w:r w:rsidRPr="003D43A7">
        <w:t xml:space="preserve"> V předkládané práci nemáme ambice přispívat k tvorbě psychologického poznání, zaměřujeme se především na didaktické aspekty problémové výuky. Problémová výuka byla u nás minulosti předmětem několika zásadních prací spadajících do oblasti pedagogiky a psychologie.</w:t>
      </w:r>
      <w:r w:rsidRPr="003D43A7">
        <w:rPr>
          <w:vertAlign w:val="superscript"/>
        </w:rPr>
        <w:footnoteReference w:id="41"/>
      </w:r>
      <w:r w:rsidRPr="003D43A7">
        <w:t xml:space="preserve"> Tyto práce, navzdory době svého vzniku, poměrně zdařile a s minimálním časovým odstupem syntetizovaly domácí i zahraniční poznatky psychologie řešení problémů a aplikovaly je se zřetelem k tehdejším potřebám pedagogické teorie a praxe. Obecně je možné konstatovat, že problémovou výuku lze přiřadit ke konstruktivisticky orientovaným didaktickým přístupům. Při problémové výuce učitel nezprostředkovává žákům poznatky v hotové podobě, ale vytváří problémové situace obsahující problémové úlohy, které obsahují neznámé prvky učiva anebo neznámé činnosti. Učitel zpravidla organizuje problémové situace, formuluje problémy, řídí, usměrňuje a podporuje žáky při hledání způsobů a prostředků řešení těchto problémů, v rámci kterých dochází k osvojování, upevňování a systematizaci nových znalostí a dovedností. Pojem problémová výuka není v didaktické literatuře chápán jednotně (přehled viz Čížková, 2002, s. 417). V této práci problémovou výuku chápeme jako souhrn problémového učení a problémového vyučování. </w:t>
      </w:r>
    </w:p>
    <w:p w:rsidR="003D43A7" w:rsidRPr="003D43A7" w:rsidRDefault="003D43A7" w:rsidP="003D43A7">
      <w:pPr>
        <w:spacing w:after="120" w:line="276" w:lineRule="auto"/>
        <w:jc w:val="both"/>
      </w:pPr>
    </w:p>
    <w:p w:rsidR="003D43A7" w:rsidRPr="003D43A7" w:rsidRDefault="003D43A7" w:rsidP="003D43A7">
      <w:pPr>
        <w:pStyle w:val="Nadpis3"/>
      </w:pPr>
      <w:bookmarkStart w:id="39" w:name="_Toc399775401"/>
      <w:r w:rsidRPr="003D43A7">
        <w:t>Didaktické přístupy založené na řešení problémů</w:t>
      </w:r>
      <w:bookmarkEnd w:id="39"/>
    </w:p>
    <w:p w:rsidR="003D43A7" w:rsidRPr="003D43A7" w:rsidRDefault="003D43A7" w:rsidP="003D43A7">
      <w:pPr>
        <w:spacing w:after="120" w:line="276" w:lineRule="auto"/>
        <w:jc w:val="both"/>
      </w:pPr>
      <w:r w:rsidRPr="003D43A7">
        <w:t>V </w:t>
      </w:r>
      <w:r w:rsidR="00F257AE" w:rsidRPr="003D43A7">
        <w:t>odborné</w:t>
      </w:r>
      <w:r w:rsidRPr="003D43A7">
        <w:t xml:space="preserve"> literatuře je možné dohledat různé kurikulární i didaktické přístupy související s problémovou výukou. Ross (1997) rozlišuje tři možné typy kurikul, které zohledňují důraz kladený na problémové vyučování a učení. 1) Problem-based curricula – zde se pracuje na problémech relevantních pro vzdělávání 2) Problem-oriented curricula – tato kurikula se orientují na opravdové problémy, které jsou ovšem častokrát </w:t>
      </w:r>
      <w:r w:rsidR="00F257AE" w:rsidRPr="003D43A7">
        <w:t>zprostředkovány</w:t>
      </w:r>
      <w:r w:rsidRPr="003D43A7">
        <w:t xml:space="preserve"> ve formě přednášek, 3) Problem-solving curricula – celý systém vzdělávání je založen na nácviku řešení reálných problémů praxe. </w:t>
      </w:r>
    </w:p>
    <w:p w:rsidR="003D43A7" w:rsidRPr="003D43A7" w:rsidRDefault="003D43A7" w:rsidP="003D43A7">
      <w:pPr>
        <w:spacing w:after="120" w:line="276" w:lineRule="auto"/>
        <w:jc w:val="both"/>
      </w:pPr>
      <w:r w:rsidRPr="003D43A7">
        <w:t xml:space="preserve">Jako příklad odlišnosti didaktických přístupů založených na problémové výuce může sloužit např. rozdíl mezi problémovou výukou chápanou jako souhrn procesů problémového vyučování a problémového učení a koncepcí </w:t>
      </w:r>
      <w:r w:rsidRPr="003D43A7">
        <w:rPr>
          <w:i/>
        </w:rPr>
        <w:t>problémově orientovaného učení</w:t>
      </w:r>
      <w:r w:rsidRPr="003D43A7">
        <w:t xml:space="preserve"> (angl. </w:t>
      </w:r>
      <w:r w:rsidRPr="003D43A7">
        <w:rPr>
          <w:i/>
        </w:rPr>
        <w:t>Problem-Based Learning</w:t>
      </w:r>
      <w:r w:rsidRPr="003D43A7">
        <w:t>).</w:t>
      </w:r>
      <w:r w:rsidRPr="003D43A7">
        <w:rPr>
          <w:vertAlign w:val="superscript"/>
        </w:rPr>
        <w:footnoteReference w:id="42"/>
      </w:r>
      <w:r w:rsidRPr="003D43A7">
        <w:t xml:space="preserve"> Tato koncepce je považována za jeden z dílčích typů skupinového vyučování (srov. např. Barrows, 1985; Loyens, Kirschner, &amp; Paas, 2012). Počátky problémově orientovaného učení je možné nalézt v 60. letech 20. století v oblasti vzdělávání lékařů</w:t>
      </w:r>
      <w:r w:rsidRPr="003D43A7">
        <w:rPr>
          <w:vertAlign w:val="superscript"/>
        </w:rPr>
        <w:footnoteReference w:id="43"/>
      </w:r>
      <w:r w:rsidRPr="003D43A7">
        <w:t>. Koncepce problémového skupinového učení měla překonat problémy tradičního vzdělávání s převládající formou frontální výuky, zejména chybějící transfer znalostí a jejich využívání při řešení problémů v klinické praxi. Dle Barrowse (1985, 1986) má problémově orientované učení následující znaky:</w:t>
      </w:r>
    </w:p>
    <w:p w:rsidR="003D43A7" w:rsidRPr="003D43A7" w:rsidRDefault="003D43A7" w:rsidP="00FE68D6">
      <w:pPr>
        <w:numPr>
          <w:ilvl w:val="0"/>
          <w:numId w:val="21"/>
        </w:numPr>
        <w:spacing w:after="120" w:line="276" w:lineRule="auto"/>
        <w:jc w:val="both"/>
      </w:pPr>
      <w:r w:rsidRPr="003D43A7">
        <w:t>Na začátku vyučovací sekvence je představen problém, který iniciuje proces utváření znalostí. Může být realitě blízký nebo může přímo odrážet reálné problémy praxe.</w:t>
      </w:r>
    </w:p>
    <w:p w:rsidR="003D43A7" w:rsidRPr="003D43A7" w:rsidRDefault="003D43A7" w:rsidP="00FE68D6">
      <w:pPr>
        <w:numPr>
          <w:ilvl w:val="0"/>
          <w:numId w:val="21"/>
        </w:numPr>
        <w:spacing w:after="120" w:line="276" w:lineRule="auto"/>
        <w:jc w:val="both"/>
      </w:pPr>
      <w:r w:rsidRPr="003D43A7">
        <w:t>Učení se odehrává v menší skupině studentů, která by měla být stabilní a maximálně devítičlenná.</w:t>
      </w:r>
    </w:p>
    <w:p w:rsidR="003D43A7" w:rsidRPr="003D43A7" w:rsidRDefault="003D43A7" w:rsidP="00FE68D6">
      <w:pPr>
        <w:numPr>
          <w:ilvl w:val="0"/>
          <w:numId w:val="21"/>
        </w:numPr>
        <w:spacing w:after="120" w:line="276" w:lineRule="auto"/>
        <w:jc w:val="both"/>
      </w:pPr>
      <w:r w:rsidRPr="003D43A7">
        <w:t xml:space="preserve">Tutor nebo tutoři, kteří v průběhu skupinových sezení v případě potřeby podporují a usměrňují studenty při procesu řešení problémů. </w:t>
      </w:r>
    </w:p>
    <w:p w:rsidR="003D43A7" w:rsidRPr="003D43A7" w:rsidRDefault="003D43A7" w:rsidP="00FE68D6">
      <w:pPr>
        <w:numPr>
          <w:ilvl w:val="0"/>
          <w:numId w:val="21"/>
        </w:numPr>
        <w:spacing w:after="120" w:line="276" w:lineRule="auto"/>
        <w:jc w:val="both"/>
      </w:pPr>
      <w:r w:rsidRPr="003D43A7">
        <w:t>Prostředky podporující utváření individuálních znalostí, například v podobě literatury, seminářů a indivi</w:t>
      </w:r>
      <w:r>
        <w:t>duálních konzultací s vyučující</w:t>
      </w:r>
      <w:r w:rsidRPr="003D43A7">
        <w:t>mi.</w:t>
      </w:r>
    </w:p>
    <w:p w:rsidR="003D43A7" w:rsidRPr="003D43A7" w:rsidRDefault="003D43A7" w:rsidP="003D43A7">
      <w:pPr>
        <w:spacing w:after="120" w:line="276" w:lineRule="auto"/>
        <w:jc w:val="both"/>
      </w:pPr>
      <w:r w:rsidRPr="003D43A7">
        <w:t>Barrows (1986, s. 481–482) uvádí následující výhody problémově orientovaného učení: strukturování znalostí a jejich aplikace, utváření a rozvíjení schopnosti argumentovat, utváření a rozvíjení kognitivních dovedností a zvýšená motivace k učení.</w:t>
      </w:r>
    </w:p>
    <w:p w:rsidR="003D43A7" w:rsidRPr="003D43A7" w:rsidRDefault="003D43A7" w:rsidP="003D43A7">
      <w:pPr>
        <w:spacing w:after="120" w:line="276" w:lineRule="auto"/>
        <w:jc w:val="both"/>
      </w:pPr>
      <w:r w:rsidRPr="003D43A7">
        <w:t xml:space="preserve">Základní rozdíl mezi problémově orientovaným učením a problémovou výukou spočívá v roli znalostí. Zatímco v problémově orientovaném učení se znalosti získávají přímo v průběhu řešení problému, předpokladem problémové výuky je, že žák získal znalosti potřebné k vyřešení problému již dříve (srov. Pawson et al., 2006, s. 104). Pokud bychom v této práci vycházeli z obsahového vymezení problémově orientovaného učení, znamenalo by to pro nás významné metodologické omezení. Jednak je vysoce pravděpodobné, že autentické problémově orientované učení, jak je vymezeno výše, se ve výuce na nižších stupních škol téměř nevyskytuje, a jednak s ohledem na charakter námi analyzovaných výzkumných dat se v našem výzkumu soustředíme především na oblast vzdělávací nabídky, resp. příležitosti k utváření a rozvíjení kompetence k řešení problémů na základě analýzy učebních úloh v učebnicích a v reálné výuce. </w:t>
      </w:r>
    </w:p>
    <w:p w:rsidR="003D43A7" w:rsidRPr="003D43A7" w:rsidRDefault="003D43A7" w:rsidP="003D43A7">
      <w:pPr>
        <w:spacing w:after="120" w:line="276" w:lineRule="auto"/>
        <w:jc w:val="both"/>
      </w:pPr>
      <w:r w:rsidRPr="003D43A7">
        <w:t xml:space="preserve">Kromě problémové výuky a problémově orientovaného učení se v odborné literatuře často objevuje </w:t>
      </w:r>
      <w:r w:rsidR="008E60C6" w:rsidRPr="003D43A7">
        <w:t>významově</w:t>
      </w:r>
      <w:r w:rsidRPr="003D43A7">
        <w:t xml:space="preserve"> blízký termín badatelsky orientované vyučování (angl. „inquiry based education“; srov. Stuchlíková, 2010).</w:t>
      </w:r>
      <w:r w:rsidRPr="003D43A7">
        <w:rPr>
          <w:vertAlign w:val="superscript"/>
        </w:rPr>
        <w:footnoteReference w:id="44"/>
      </w:r>
      <w:r w:rsidRPr="003D43A7">
        <w:t xml:space="preserve"> Badatelsky orientované vyučování je ve srovnání s problémovou výukou znatelněji zaměřeno na utváření dovedností (podrobněji viz Papáček, 2010a; 2010b).</w:t>
      </w:r>
    </w:p>
    <w:p w:rsidR="003D43A7" w:rsidRPr="003D43A7" w:rsidRDefault="003D43A7" w:rsidP="003D43A7">
      <w:pPr>
        <w:pStyle w:val="Nadpis3"/>
      </w:pPr>
      <w:bookmarkStart w:id="40" w:name="_Toc399775402"/>
      <w:r w:rsidRPr="003D43A7">
        <w:t>Nálezy výzkumu týkající se didaktického využití řešení problémů</w:t>
      </w:r>
      <w:r w:rsidRPr="003D43A7">
        <w:rPr>
          <w:vertAlign w:val="superscript"/>
        </w:rPr>
        <w:footnoteReference w:id="45"/>
      </w:r>
      <w:bookmarkEnd w:id="40"/>
    </w:p>
    <w:p w:rsidR="003D43A7" w:rsidRPr="003D43A7" w:rsidRDefault="003D43A7" w:rsidP="003D43A7">
      <w:pPr>
        <w:spacing w:after="120" w:line="276" w:lineRule="auto"/>
        <w:jc w:val="both"/>
      </w:pPr>
      <w:r w:rsidRPr="003D43A7">
        <w:t>Veškerá empirická zjištění prezentovaná v této kapitole je nutné interpretovat s přihlédnutím k tomu, že se pohybujeme v sociálních vědách. Efekty problémové výuky jsou do značné míry ovlivněny podmínkami, v nichž se jednotlivé výzkumy odehrávaly, stejně jako teoretickým vymezením toho, co je možné za problémovou výuku považovat, a co již nikoliv (viz předchozí kapitola).</w:t>
      </w:r>
    </w:p>
    <w:p w:rsidR="003D43A7" w:rsidRPr="003D43A7" w:rsidRDefault="003D43A7" w:rsidP="003D43A7">
      <w:pPr>
        <w:autoSpaceDE w:val="0"/>
        <w:autoSpaceDN w:val="0"/>
        <w:adjustRightInd w:val="0"/>
        <w:spacing w:after="120" w:line="276" w:lineRule="auto"/>
        <w:jc w:val="both"/>
      </w:pPr>
      <w:r w:rsidRPr="003D43A7">
        <w:t xml:space="preserve">Norman a Schmidt (1992) zpracovali přehledovou studii týkající se psychologických poznatků o problémovém učení. Jejich cílem bylo podrobit kritické analýze proklamované dílčí výhody a přínosy problémového učení. Na základě syntézy 54 studií dospěli k následujícím závěrům: </w:t>
      </w:r>
    </w:p>
    <w:p w:rsidR="003D43A7" w:rsidRPr="003D43A7" w:rsidRDefault="003D43A7" w:rsidP="00FE68D6">
      <w:pPr>
        <w:numPr>
          <w:ilvl w:val="0"/>
          <w:numId w:val="20"/>
        </w:numPr>
        <w:autoSpaceDE w:val="0"/>
        <w:autoSpaceDN w:val="0"/>
        <w:adjustRightInd w:val="0"/>
        <w:spacing w:after="120" w:line="276" w:lineRule="auto"/>
        <w:jc w:val="both"/>
      </w:pPr>
      <w:r w:rsidRPr="003D43A7">
        <w:t>Není možné prokázat, že dovednost řešit problém je možné osvojit si bez příslušných oborových znalostí a dostatečného vzhledu do problematiky.</w:t>
      </w:r>
    </w:p>
    <w:p w:rsidR="003D43A7" w:rsidRPr="003D43A7" w:rsidRDefault="003D43A7" w:rsidP="00FE68D6">
      <w:pPr>
        <w:numPr>
          <w:ilvl w:val="0"/>
          <w:numId w:val="20"/>
        </w:numPr>
        <w:autoSpaceDE w:val="0"/>
        <w:autoSpaceDN w:val="0"/>
        <w:adjustRightInd w:val="0"/>
        <w:spacing w:after="120" w:line="276" w:lineRule="auto"/>
        <w:jc w:val="both"/>
      </w:pPr>
      <w:r w:rsidRPr="003D43A7">
        <w:t xml:space="preserve">Problémové učení přispívá k dlouhodobému pamětnímu osvojení faktografických znalostí. </w:t>
      </w:r>
    </w:p>
    <w:p w:rsidR="003D43A7" w:rsidRPr="003D43A7" w:rsidRDefault="003D43A7" w:rsidP="00FE68D6">
      <w:pPr>
        <w:numPr>
          <w:ilvl w:val="0"/>
          <w:numId w:val="20"/>
        </w:numPr>
        <w:autoSpaceDE w:val="0"/>
        <w:autoSpaceDN w:val="0"/>
        <w:adjustRightInd w:val="0"/>
        <w:spacing w:after="120" w:line="276" w:lineRule="auto"/>
        <w:jc w:val="both"/>
      </w:pPr>
      <w:r w:rsidRPr="003D43A7">
        <w:t>Problémové učení za určitých podmínek podporuje transfer a usnadňuje aplikaci znalostí při řešení nových/doposud neznámých problémů.</w:t>
      </w:r>
    </w:p>
    <w:p w:rsidR="003D43A7" w:rsidRPr="003D43A7" w:rsidRDefault="003D43A7" w:rsidP="00FE68D6">
      <w:pPr>
        <w:numPr>
          <w:ilvl w:val="0"/>
          <w:numId w:val="20"/>
        </w:numPr>
        <w:autoSpaceDE w:val="0"/>
        <w:autoSpaceDN w:val="0"/>
        <w:adjustRightInd w:val="0"/>
        <w:spacing w:after="120" w:line="276" w:lineRule="auto"/>
        <w:jc w:val="both"/>
      </w:pPr>
      <w:r w:rsidRPr="003D43A7">
        <w:t>Problémové učení zvyšuje zájem žáků o učivo a jejich motivaci.</w:t>
      </w:r>
    </w:p>
    <w:p w:rsidR="003D43A7" w:rsidRPr="003D43A7" w:rsidRDefault="003D43A7" w:rsidP="00FE68D6">
      <w:pPr>
        <w:numPr>
          <w:ilvl w:val="0"/>
          <w:numId w:val="20"/>
        </w:numPr>
        <w:autoSpaceDE w:val="0"/>
        <w:autoSpaceDN w:val="0"/>
        <w:adjustRightInd w:val="0"/>
        <w:spacing w:after="120" w:line="276" w:lineRule="auto"/>
        <w:jc w:val="both"/>
      </w:pPr>
      <w:r w:rsidRPr="003D43A7">
        <w:t>Problémové učení zvyšuje schopnost žáků samostatně řídit své učení.</w:t>
      </w:r>
    </w:p>
    <w:p w:rsidR="003D43A7" w:rsidRPr="003D43A7" w:rsidRDefault="003D43A7" w:rsidP="003D43A7">
      <w:pPr>
        <w:autoSpaceDE w:val="0"/>
        <w:autoSpaceDN w:val="0"/>
        <w:adjustRightInd w:val="0"/>
        <w:spacing w:after="120" w:line="276" w:lineRule="auto"/>
        <w:jc w:val="both"/>
      </w:pPr>
      <w:r w:rsidRPr="003D43A7">
        <w:t xml:space="preserve">Zmiňovaní autoři uzavírají přehledovou studii konstatováním, že problémové učení je možné vnímat převážně pozitivně, neboť vytváří prostředí stimulující učení. </w:t>
      </w:r>
    </w:p>
    <w:p w:rsidR="003D43A7" w:rsidRPr="003D43A7" w:rsidRDefault="003D43A7" w:rsidP="003D43A7">
      <w:pPr>
        <w:autoSpaceDE w:val="0"/>
        <w:autoSpaceDN w:val="0"/>
        <w:adjustRightInd w:val="0"/>
        <w:spacing w:after="120" w:line="276" w:lineRule="auto"/>
        <w:jc w:val="both"/>
      </w:pPr>
      <w:r w:rsidRPr="003D43A7">
        <w:t>Albanese a Mitchellová (1993) provedli metaanalýzu studií zaměřených na srovnávání problémově orientované výuky a výuky realizované klasickým systémem přednášek a cvičení založených na dominantní roli učitele. Dle zmiňovaných autorů kurikula obsahující prvky problémového učení zvyšují především u studentů pocit vlastní zodpovědnosti za průběh vzdělávání. Obecně je výzkumy efektů problémového učení rozdělit do následujících kategorií: 1) výsledky vzdělávání, 2) faktory ovlivňující proces problémového učení. V první uvedené oblasti výzkumů je možné odkázat na evaluační studie kurikul vzd</w:t>
      </w:r>
      <w:r w:rsidR="008E60C6">
        <w:t>ěl</w:t>
      </w:r>
      <w:r w:rsidRPr="003D43A7">
        <w:t>ávacích kurzů v různých obsahových doménách. Tato kurikula jsou většinou porovnávána s výkony žáků ve znalostních a dovednostních testech. Výsledky výzkumů jsou v tomto ohledu nejednoznačné, s mírně pozitivní tendencí ve prospěch problémově založ</w:t>
      </w:r>
      <w:r w:rsidR="008E60C6">
        <w:t>e</w:t>
      </w:r>
      <w:r w:rsidRPr="003D43A7">
        <w:t xml:space="preserve">ných kurikul. Albanese a Mitchellová nicméně upozorňují na zvýšené organizační, personální a finanční náklady výukových kurzů zaměřených na problémové učení. Jedná se zejména o </w:t>
      </w:r>
      <w:r w:rsidR="008332E2">
        <w:t>nutnost (pro)</w:t>
      </w:r>
      <w:r w:rsidRPr="003D43A7">
        <w:t xml:space="preserve">školení </w:t>
      </w:r>
      <w:r w:rsidR="007714FC">
        <w:t>vyučujících</w:t>
      </w:r>
      <w:r w:rsidRPr="003D43A7">
        <w:t xml:space="preserve">, náklady na odbornou literaturu, přípravu výukových materiálů, zvýšenou zátěž </w:t>
      </w:r>
      <w:r w:rsidR="007714FC">
        <w:t>vyučujících</w:t>
      </w:r>
      <w:r w:rsidRPr="003D43A7">
        <w:t xml:space="preserve"> během výuky i při zkoušení studentů apod. Zvýšené náklady často vyvolávají otázku, zda jsou pozitivní efekty problémově založených kurzů skutečně natolik průkazné</w:t>
      </w:r>
      <w:r w:rsidRPr="003D43A7">
        <w:rPr>
          <w:vertAlign w:val="superscript"/>
        </w:rPr>
        <w:footnoteReference w:id="46"/>
      </w:r>
      <w:r w:rsidRPr="003D43A7">
        <w:t>, aby bylo možné na jejich základě obhajovat jejich plošnou implementaci v rámci pregraduálního i postgraduálního vzdělávání, a otvírají tak prostor k četným odborným diskusím (srov. např. Colliver, 2000, s. 266).</w:t>
      </w:r>
    </w:p>
    <w:p w:rsidR="003D43A7" w:rsidRPr="003D43A7" w:rsidRDefault="003D43A7" w:rsidP="003D43A7">
      <w:pPr>
        <w:autoSpaceDE w:val="0"/>
        <w:autoSpaceDN w:val="0"/>
        <w:adjustRightInd w:val="0"/>
        <w:spacing w:after="120" w:line="276" w:lineRule="auto"/>
        <w:jc w:val="both"/>
      </w:pPr>
      <w:r w:rsidRPr="003D43A7">
        <w:t xml:space="preserve">Metaanalýzy dále prokázaly, že studenti navštěvující problémově založené vzdělávací kurzy využívají, ve srovnání se studenty navštěvujícími klasicky koncipované vzdělávací kurzy, v mnohem větší míře navštěvují knihovny a využívají elektronické učební zdroje i odbornou literaturu (viz např. Vernon </w:t>
      </w:r>
      <w:r w:rsidR="007E2B2B">
        <w:t>&amp;</w:t>
      </w:r>
      <w:r w:rsidRPr="003D43A7">
        <w:t xml:space="preserve"> Blake, 1993; Thomas, 1997). Zumbach (2003, s. 47–57) uvádí další na výzkumně prokázané výhody problémového učení. Ty spočívají především v podpoře a rozvíjení náročnějších myšlenkových operací, variability stylů učení, hlubšího porozumění pojednávaných fenoménů, meta</w:t>
      </w:r>
      <w:r w:rsidR="008E60C6">
        <w:t>k</w:t>
      </w:r>
      <w:r w:rsidRPr="003D43A7">
        <w:t>ognice a větším zájmu žáků o výuku.</w:t>
      </w:r>
    </w:p>
    <w:p w:rsidR="003D43A7" w:rsidRPr="003D43A7" w:rsidRDefault="003D43A7" w:rsidP="003D43A7">
      <w:pPr>
        <w:autoSpaceDE w:val="0"/>
        <w:autoSpaceDN w:val="0"/>
        <w:adjustRightInd w:val="0"/>
        <w:spacing w:after="120" w:line="276" w:lineRule="auto"/>
        <w:jc w:val="both"/>
      </w:pPr>
      <w:r w:rsidRPr="003D43A7">
        <w:t xml:space="preserve">Gijbels </w:t>
      </w:r>
      <w:r w:rsidR="00460093">
        <w:t>a kol.</w:t>
      </w:r>
      <w:r w:rsidRPr="003D43A7">
        <w:t xml:space="preserve"> (2005)</w:t>
      </w:r>
      <w:r w:rsidR="00460093">
        <w:t xml:space="preserve"> provedli</w:t>
      </w:r>
      <w:r w:rsidRPr="003D43A7">
        <w:t xml:space="preserve"> metaanalýzu předešlých výzkumů s cílem zjistit, jaké efekty má problémové učení na a) porozumění pojmům, b) porozumění principům (zákonitostem a vztahům mezi pojmy), c) propojování pojmů a </w:t>
      </w:r>
      <w:r w:rsidR="008E60C6" w:rsidRPr="003D43A7">
        <w:t>vztahů</w:t>
      </w:r>
      <w:r w:rsidRPr="003D43A7">
        <w:t xml:space="preserve"> s podmínkami a postupy jejich aplikace.</w:t>
      </w:r>
      <w:r w:rsidRPr="003D43A7">
        <w:rPr>
          <w:vertAlign w:val="superscript"/>
        </w:rPr>
        <w:footnoteReference w:id="47"/>
      </w:r>
      <w:r w:rsidRPr="003D43A7">
        <w:t xml:space="preserve"> Výsledky metaanalýzy odhalily, že problémové učení má nejvíce pozitivní efekt na porozumění principům (průměrná síla efektu 0,7) a aplikaci pojmů a principů (průměrná síla efektu 0,7). Pozitivní efekt problémového vyučování na osvojování konceptuálních znalostí se neprokázal (průměrná síla efektu -0,04). </w:t>
      </w:r>
    </w:p>
    <w:p w:rsidR="003D43A7" w:rsidRPr="003D43A7" w:rsidRDefault="003D43A7" w:rsidP="003D43A7">
      <w:pPr>
        <w:autoSpaceDE w:val="0"/>
        <w:autoSpaceDN w:val="0"/>
        <w:adjustRightInd w:val="0"/>
        <w:spacing w:after="120" w:line="276" w:lineRule="auto"/>
        <w:jc w:val="both"/>
        <w:rPr>
          <w:color w:val="222222"/>
          <w:shd w:val="clear" w:color="auto" w:fill="FFFFFF"/>
        </w:rPr>
      </w:pPr>
      <w:r w:rsidRPr="003D43A7">
        <w:t xml:space="preserve">Novější metasyntéza metaanalýz výzkumů v oblasti problémově založeného učení </w:t>
      </w:r>
      <w:r w:rsidR="008332E2" w:rsidRPr="003D43A7">
        <w:t>(</w:t>
      </w:r>
      <w:r w:rsidR="008332E2">
        <w:t xml:space="preserve">srov. </w:t>
      </w:r>
      <w:r w:rsidR="008332E2" w:rsidRPr="003D43A7">
        <w:t xml:space="preserve">Strobel &amp; </w:t>
      </w:r>
      <w:r w:rsidR="008332E2" w:rsidRPr="003D43A7">
        <w:rPr>
          <w:color w:val="222222"/>
          <w:shd w:val="clear" w:color="auto" w:fill="FFFFFF"/>
        </w:rPr>
        <w:t>van Barneveld, 2009)</w:t>
      </w:r>
      <w:r w:rsidR="008332E2">
        <w:rPr>
          <w:color w:val="222222"/>
          <w:shd w:val="clear" w:color="auto" w:fill="FFFFFF"/>
        </w:rPr>
        <w:t xml:space="preserve"> </w:t>
      </w:r>
      <w:r w:rsidRPr="003D43A7">
        <w:t>výše uvedená zjištění potvrdila a upřesnila, že problémově založené učení má pozitivní vliv na utváření konceptuálních znalostí uložených v dlouhodobé paměti. Na osvojování znalostí uložených v krátkodobé paměti problémově založené učení patrně nemá žádný vliv</w:t>
      </w:r>
      <w:r w:rsidRPr="003D43A7">
        <w:rPr>
          <w:color w:val="222222"/>
          <w:shd w:val="clear" w:color="auto" w:fill="FFFFFF"/>
        </w:rPr>
        <w:t>.</w:t>
      </w:r>
    </w:p>
    <w:p w:rsidR="003D43A7" w:rsidRPr="003D43A7" w:rsidRDefault="003D43A7" w:rsidP="003D43A7">
      <w:pPr>
        <w:autoSpaceDE w:val="0"/>
        <w:autoSpaceDN w:val="0"/>
        <w:adjustRightInd w:val="0"/>
        <w:spacing w:after="120" w:line="276" w:lineRule="auto"/>
        <w:jc w:val="both"/>
        <w:rPr>
          <w:rFonts w:eastAsia="Calibri"/>
          <w:lang w:eastAsia="en-US"/>
        </w:rPr>
      </w:pPr>
      <w:r w:rsidRPr="003D43A7">
        <w:rPr>
          <w:rFonts w:eastAsia="Calibri"/>
          <w:bCs/>
          <w:lang w:eastAsia="en-US"/>
        </w:rPr>
        <w:t xml:space="preserve">Selhávání problémového učení v procesu utváření znalostí žáků bývá dlouhodobě kritizováno. </w:t>
      </w:r>
      <w:r w:rsidRPr="003D43A7">
        <w:rPr>
          <w:rFonts w:eastAsia="Calibri"/>
          <w:lang w:eastAsia="en-US"/>
        </w:rPr>
        <w:t xml:space="preserve">Štech (2013) upozorňuje, že </w:t>
      </w:r>
    </w:p>
    <w:p w:rsidR="003D43A7" w:rsidRPr="003D43A7" w:rsidRDefault="003D43A7" w:rsidP="003D43A7">
      <w:pPr>
        <w:autoSpaceDE w:val="0"/>
        <w:autoSpaceDN w:val="0"/>
        <w:adjustRightInd w:val="0"/>
        <w:spacing w:after="120" w:line="276" w:lineRule="auto"/>
        <w:ind w:left="426"/>
        <w:jc w:val="both"/>
        <w:rPr>
          <w:rFonts w:eastAsia="Calibri"/>
          <w:sz w:val="20"/>
          <w:lang w:eastAsia="en-US"/>
        </w:rPr>
      </w:pPr>
      <w:r w:rsidRPr="003D43A7">
        <w:rPr>
          <w:rFonts w:eastAsia="Calibri"/>
          <w:sz w:val="20"/>
          <w:lang w:eastAsia="en-US"/>
        </w:rPr>
        <w:t>[…] úspěšné řešení problémů závisí významně na kvalitě struktur konkrétních oborových vědomostí. To je v rozporu s názory příznivců obratu ke kompetencím, kteří kladou velký důraz na osvojení na obsahu nezávislých technik řešení problémů. Již Minsky (1974), po nich Glaser (1984) a Sternberg (1985) nebo Fayol (1991) opouštějí jednostranný důraz na obecnou schopnost reflexe ve prospěch důrazu na strukturu dostatečně dobře osvojených vědomostí, ze kterých se vynořuje nebo vyrůstá schopnost řešit komplexnější kognitivní úlohy. (s. 626)</w:t>
      </w:r>
    </w:p>
    <w:p w:rsidR="003D43A7" w:rsidRDefault="003D43A7" w:rsidP="003D43A7">
      <w:pPr>
        <w:autoSpaceDE w:val="0"/>
        <w:autoSpaceDN w:val="0"/>
        <w:adjustRightInd w:val="0"/>
        <w:spacing w:after="120" w:line="276" w:lineRule="auto"/>
        <w:jc w:val="both"/>
        <w:rPr>
          <w:rFonts w:eastAsia="Calibri"/>
          <w:bCs/>
          <w:lang w:eastAsia="en-US"/>
        </w:rPr>
      </w:pPr>
      <w:r w:rsidRPr="003D43A7">
        <w:rPr>
          <w:rFonts w:eastAsia="Calibri"/>
          <w:bCs/>
          <w:lang w:eastAsia="en-US"/>
        </w:rPr>
        <w:t>Z uvedeného vyplývá, že problémové učební úlohy mají potenciál rozvíjet především procedurální a kontextuální znalosti (</w:t>
      </w:r>
      <w:r w:rsidR="001B6D7E">
        <w:rPr>
          <w:rFonts w:eastAsia="Calibri"/>
          <w:bCs/>
          <w:lang w:eastAsia="en-US"/>
        </w:rPr>
        <w:t xml:space="preserve">viz také </w:t>
      </w:r>
      <w:r w:rsidRPr="003D43A7">
        <w:rPr>
          <w:rFonts w:eastAsia="Calibri"/>
          <w:bCs/>
          <w:lang w:eastAsia="en-US"/>
        </w:rPr>
        <w:t>Marton &amp; Saljö, 1976) a přispívat ke komplexnějšímu strukturování učiva (</w:t>
      </w:r>
      <w:r w:rsidR="001B6D7E">
        <w:rPr>
          <w:rFonts w:eastAsia="Calibri"/>
          <w:bCs/>
          <w:lang w:eastAsia="en-US"/>
        </w:rPr>
        <w:t xml:space="preserve">srov. </w:t>
      </w:r>
      <w:r w:rsidRPr="003D43A7">
        <w:t>Gijbels et al.</w:t>
      </w:r>
      <w:r w:rsidR="001B6D7E">
        <w:t>,</w:t>
      </w:r>
      <w:r w:rsidRPr="003D43A7">
        <w:t xml:space="preserve"> 2005). </w:t>
      </w:r>
      <w:r w:rsidRPr="003D43A7">
        <w:rPr>
          <w:rFonts w:eastAsia="Calibri"/>
          <w:bCs/>
          <w:lang w:eastAsia="en-US"/>
        </w:rPr>
        <w:t>Problémové úlohy ale zároveň patrně nemají pozitivní vliv na úspěšnost žáků při zodpovídání otázek nižší kognitivní náročnosti založených převáženě na deklarativních znalostech (</w:t>
      </w:r>
      <w:r w:rsidR="001B6D7E">
        <w:rPr>
          <w:rFonts w:eastAsia="Calibri"/>
          <w:bCs/>
          <w:lang w:eastAsia="en-US"/>
        </w:rPr>
        <w:t xml:space="preserve">srov. </w:t>
      </w:r>
      <w:r w:rsidRPr="003D43A7">
        <w:rPr>
          <w:rFonts w:eastAsia="Calibri"/>
          <w:bCs/>
          <w:lang w:eastAsia="en-US"/>
        </w:rPr>
        <w:t>Mamede et al., 2006). Proto je s ohledem na požadavek utváření a rozvíjení kompetence k řešení problémů nezbytné, aby v rámci každodenního procesu hodnocení žáků ve školní výuce byly začleňovány problémové úlohy, nicméně ne bezvýhradně.</w:t>
      </w:r>
    </w:p>
    <w:p w:rsidR="00F257AE" w:rsidRPr="003D43A7" w:rsidRDefault="00F257AE" w:rsidP="003D43A7">
      <w:pPr>
        <w:autoSpaceDE w:val="0"/>
        <w:autoSpaceDN w:val="0"/>
        <w:adjustRightInd w:val="0"/>
        <w:spacing w:after="120" w:line="276" w:lineRule="auto"/>
        <w:jc w:val="both"/>
      </w:pPr>
    </w:p>
    <w:p w:rsidR="003D43A7" w:rsidRPr="003D43A7" w:rsidRDefault="003D43A7" w:rsidP="003D43A7">
      <w:pPr>
        <w:pStyle w:val="Nadpis3"/>
      </w:pPr>
      <w:bookmarkStart w:id="41" w:name="_Toc399775403"/>
      <w:r w:rsidRPr="003D43A7">
        <w:t>Shrnutí</w:t>
      </w:r>
      <w:bookmarkEnd w:id="41"/>
    </w:p>
    <w:p w:rsidR="003D43A7" w:rsidRPr="003D43A7" w:rsidRDefault="003D43A7" w:rsidP="003D43A7">
      <w:pPr>
        <w:autoSpaceDE w:val="0"/>
        <w:autoSpaceDN w:val="0"/>
        <w:adjustRightInd w:val="0"/>
        <w:spacing w:after="120" w:line="276" w:lineRule="auto"/>
        <w:jc w:val="both"/>
      </w:pPr>
      <w:r w:rsidRPr="003D43A7">
        <w:t>Problémová výuka zpravidla vychází z přesvědčení, že škola by měla být obrazem života společnosti, a školní výuka by se měla co nejvíce blížit situacím, se kterými se setkáváme v běžném životě. Je to právě školní výuka, kde by se žáci měli naučit řešit jednoduché i složité problémy. Tento líbivý požadavek stojí patrně v pozadí neustále se zvyšujícího zájmu o problémovou výuku v současnosti, jenž je akcentován mimo jiné důrazem na utváření a rozvíjení kompetence k řešení problémů. Bohatost teoretických poznatků souvisejících s problémovým učením a vyučováním a učením vyvolaly velkou rozmanitost výzkumného pole. To má za následek nejednotnost používané odborné terminologie a porovnávání výsledků jednotlivých výzkumů je obtížné. S přihlédnutím k uvedenému omezení je možné konstatovat, že zatímco výzkumy týkající se efektů problémové výuky na osvojování znalostí jsou neprůkazné (</w:t>
      </w:r>
      <w:r w:rsidR="00BE2CAC">
        <w:t xml:space="preserve">srov. </w:t>
      </w:r>
      <w:r w:rsidRPr="003D43A7">
        <w:t>Albanese &amp; Michell, 1993; Vernon &amp; Blake, 1993; Dochy et al., 2003), je téměř jisté, že znalosti jsou základním předpokladem úspěšného řešení problémů (např. Segers, Dochy, &amp; De Corte, 1999). Jinými slovy, problémové učení nemá vliv na utváření znalostí, ale je prokázáno, že bez potřebných znalostí nelze téměř jistě žádný problém vyřešit.</w:t>
      </w:r>
    </w:p>
    <w:p w:rsidR="003D43A7" w:rsidRPr="003D43A7" w:rsidRDefault="003D43A7" w:rsidP="003D43A7">
      <w:pPr>
        <w:autoSpaceDE w:val="0"/>
        <w:autoSpaceDN w:val="0"/>
        <w:adjustRightInd w:val="0"/>
        <w:spacing w:after="120" w:line="276" w:lineRule="auto"/>
        <w:jc w:val="both"/>
      </w:pPr>
      <w:r w:rsidRPr="003D43A7">
        <w:t xml:space="preserve">Problémová výuka by měla vycházet především z výukových cílů a jejich transformace do analogických více či méně komplexních problémů zasazených do cílevědomě a záměrně organizovaných výukových situací. V centru problémových výukových situací by měly být pouze didakticky relevantní problémy. Ty mají podobu praktické nebo teoretické překážky, kterou se žák snaží překonat především aktivním myšlením a jednáním. Překážka může mít taktéž </w:t>
      </w:r>
      <w:r w:rsidR="00DF48DF">
        <w:t>formu</w:t>
      </w:r>
      <w:r w:rsidRPr="003D43A7">
        <w:t xml:space="preserve"> otázky, těžkosti, protiřečení, případně střetu s něčím neznámým, znepokojivým, udivujícím, nepochopitelným (srov. Oko</w:t>
      </w:r>
      <w:r w:rsidRPr="003D43A7">
        <w:rPr>
          <w:bCs/>
        </w:rPr>
        <w:t>ń</w:t>
      </w:r>
      <w:r w:rsidRPr="003D43A7">
        <w:t xml:space="preserve">, 1966, s. 77 aj.). V rámci problémové situace žák usiluje v souladu s určitými potřebami a dostupnými prostředky o překonání překážky, neboli překlenutí a odhalení neznámého problému. Problémy jsou žákům zpravidla předkládány v podobě problémových učebních úloh. Učebním úlohám se proto podrobněji věnujeme v následující kapitole. </w:t>
      </w:r>
    </w:p>
    <w:p w:rsidR="00D053A8" w:rsidRPr="00D053A8" w:rsidRDefault="00D053A8" w:rsidP="00307B7F">
      <w:pPr>
        <w:spacing w:after="120" w:line="276" w:lineRule="auto"/>
        <w:jc w:val="both"/>
        <w:rPr>
          <w:color w:val="FF0000"/>
        </w:rPr>
      </w:pPr>
    </w:p>
    <w:p w:rsidR="00D503EE" w:rsidRDefault="00426115" w:rsidP="0010497B">
      <w:pPr>
        <w:pStyle w:val="Nadpis2"/>
      </w:pPr>
      <w:bookmarkStart w:id="42" w:name="_Toc399775404"/>
      <w:r>
        <w:t>U</w:t>
      </w:r>
      <w:r w:rsidR="005F7F47">
        <w:t xml:space="preserve">čební </w:t>
      </w:r>
      <w:r w:rsidR="00844C0E">
        <w:t>úlohy</w:t>
      </w:r>
      <w:r w:rsidR="00844C0E" w:rsidRPr="00844C0E">
        <w:t xml:space="preserve"> </w:t>
      </w:r>
      <w:r>
        <w:t>jako katalyzátory</w:t>
      </w:r>
      <w:r w:rsidR="008473B0">
        <w:t xml:space="preserve"> </w:t>
      </w:r>
      <w:r>
        <w:t>učebních procesů</w:t>
      </w:r>
      <w:bookmarkEnd w:id="42"/>
    </w:p>
    <w:p w:rsidR="00DF4502" w:rsidRDefault="00C41F95" w:rsidP="00307B7F">
      <w:pPr>
        <w:spacing w:after="120" w:line="276" w:lineRule="auto"/>
        <w:jc w:val="both"/>
      </w:pPr>
      <w:r>
        <w:t>Analogii učebních úloh a katalyzát</w:t>
      </w:r>
      <w:r w:rsidR="00970C41">
        <w:t>o</w:t>
      </w:r>
      <w:r>
        <w:t xml:space="preserve">ru jako první použil zřejmě Thonhauser (2008). Katalyzátor </w:t>
      </w:r>
      <w:r w:rsidRPr="0058325B">
        <w:t xml:space="preserve">je látka, vstupující do chemické reakce, </w:t>
      </w:r>
      <w:r>
        <w:t>urychluje ji (nebo zpomaluje)</w:t>
      </w:r>
      <w:r w:rsidRPr="0058325B">
        <w:t>. Slovo katalyzátor se někdy používá i v přeneseném smy</w:t>
      </w:r>
      <w:r>
        <w:t xml:space="preserve">slu pro jakýkoli </w:t>
      </w:r>
      <w:r w:rsidR="00DF48DF">
        <w:t xml:space="preserve">pozitivní nebo negativní </w:t>
      </w:r>
      <w:r>
        <w:t>faktor</w:t>
      </w:r>
      <w:r w:rsidR="001B5142">
        <w:t>.</w:t>
      </w:r>
      <w:r w:rsidR="00904E1E">
        <w:t xml:space="preserve"> </w:t>
      </w:r>
      <w:r w:rsidR="00970C41">
        <w:t>Učební úlohy</w:t>
      </w:r>
      <w:r w:rsidR="00904E1E">
        <w:t xml:space="preserve"> učitelům (ale také např. autorům učebnic)</w:t>
      </w:r>
      <w:r w:rsidR="00970C41">
        <w:t xml:space="preserve"> umožňují regulovat </w:t>
      </w:r>
      <w:r w:rsidR="00904E1E">
        <w:t>procesy vyučování a učení odehrávající se ve školních třídách.</w:t>
      </w:r>
      <w:r w:rsidR="001B5142">
        <w:t xml:space="preserve"> </w:t>
      </w:r>
      <w:r w:rsidR="00904E1E">
        <w:t>U</w:t>
      </w:r>
      <w:r w:rsidR="001B5142">
        <w:t xml:space="preserve">čební úlohy </w:t>
      </w:r>
      <w:r w:rsidR="001B5142" w:rsidRPr="00FB1C0C">
        <w:t>jsou</w:t>
      </w:r>
      <w:r w:rsidR="001B5142">
        <w:t xml:space="preserve"> také</w:t>
      </w:r>
      <w:r w:rsidR="001B5142" w:rsidRPr="00FB1C0C">
        <w:t xml:space="preserve"> jedním z</w:t>
      </w:r>
      <w:r w:rsidR="001B5142">
        <w:t> důležitých indikátorů kvality výuky</w:t>
      </w:r>
      <w:r w:rsidR="00B86997">
        <w:t xml:space="preserve">, </w:t>
      </w:r>
      <w:r w:rsidR="001B5142">
        <w:t xml:space="preserve">fungují jako katalyzátor učebních procesů </w:t>
      </w:r>
      <w:r w:rsidR="00B86997">
        <w:t>ve všech</w:t>
      </w:r>
      <w:r w:rsidR="001B5142">
        <w:t xml:space="preserve"> fázích výuky –</w:t>
      </w:r>
      <w:r w:rsidR="00B71849" w:rsidRPr="00FB1C0C">
        <w:t xml:space="preserve"> motivaci, osvojování, procvičování, aplikaci i hodnocení (podrobněji viz Müller &amp; Helmke, 2008). Janík, Lokajíčková a Janko (2012, s. 39</w:t>
      </w:r>
      <w:r w:rsidR="005C4A68">
        <w:t>–</w:t>
      </w:r>
      <w:r w:rsidR="00B71849" w:rsidRPr="00FB1C0C">
        <w:t>44) s odkazem na Helmkeho model kvality výuky pojímají učební úlohy jako především jako nástroj motivace a kognitivní aktivizace žáků.</w:t>
      </w:r>
      <w:r w:rsidR="00B71849">
        <w:t xml:space="preserve"> </w:t>
      </w:r>
      <w:r w:rsidR="00BD7A4A">
        <w:t>V</w:t>
      </w:r>
      <w:r w:rsidR="00DF4502">
        <w:t xml:space="preserve">ýzkum učebních úloh je užitečný zejména proto, že rozkrývá procesy odehrávající se na pomezí vyučování a učení. </w:t>
      </w:r>
      <w:r w:rsidR="00904E1E">
        <w:t>Z hlediska teorie kurikula jsou učební úlohy</w:t>
      </w:r>
      <w:r w:rsidR="00DF4502">
        <w:t xml:space="preserve"> mimo jiné</w:t>
      </w:r>
      <w:r w:rsidR="00904E1E">
        <w:t xml:space="preserve"> považovány za důležitý nástroj</w:t>
      </w:r>
      <w:r w:rsidR="00DF4502">
        <w:t xml:space="preserve"> a následně také indikátor</w:t>
      </w:r>
      <w:r w:rsidR="00BD7A4A">
        <w:t xml:space="preserve"> implementace nových kurikulárních koncepcí (</w:t>
      </w:r>
      <w:r w:rsidR="00DF48DF">
        <w:t xml:space="preserve">podrobněji viz </w:t>
      </w:r>
      <w:r w:rsidR="00BD7A4A">
        <w:t>Loewenberg Ball &amp; Cohen, 1996).</w:t>
      </w:r>
      <w:r w:rsidR="0076671F">
        <w:rPr>
          <w:rStyle w:val="Znakapoznpodarou"/>
        </w:rPr>
        <w:footnoteReference w:id="48"/>
      </w:r>
      <w:r w:rsidR="00DF4502" w:rsidRPr="00DF4502">
        <w:t xml:space="preserve"> </w:t>
      </w:r>
    </w:p>
    <w:p w:rsidR="00150DDB" w:rsidRDefault="00150DDB" w:rsidP="00307B7F">
      <w:pPr>
        <w:spacing w:after="120" w:line="276" w:lineRule="auto"/>
        <w:jc w:val="both"/>
      </w:pPr>
    </w:p>
    <w:p w:rsidR="00B86997" w:rsidRPr="00307B7F" w:rsidRDefault="00A115D2" w:rsidP="00D053A8">
      <w:pPr>
        <w:pStyle w:val="Nadpis3"/>
      </w:pPr>
      <w:bookmarkStart w:id="43" w:name="_Toc399775405"/>
      <w:r w:rsidRPr="00307B7F">
        <w:t>Definice učební úlohy</w:t>
      </w:r>
      <w:bookmarkEnd w:id="43"/>
    </w:p>
    <w:p w:rsidR="00665C69" w:rsidRPr="00307B7F" w:rsidRDefault="00D770E9" w:rsidP="00307B7F">
      <w:pPr>
        <w:spacing w:after="120" w:line="276" w:lineRule="auto"/>
        <w:jc w:val="both"/>
      </w:pPr>
      <w:r w:rsidRPr="00307B7F">
        <w:t>Podle</w:t>
      </w:r>
      <w:r w:rsidR="00F11553" w:rsidRPr="00307B7F">
        <w:rPr>
          <w:bCs/>
        </w:rPr>
        <w:t xml:space="preserve"> Seela (1981, s. 7–8) učební úlohy zahrnují „věcné vztahy či objekty, které učitel vybírá na základě specifických cílů s ohledem na požadované učební procesy a předkládá je žákům v časoprostorově vymezených učebních situacích“. Jedná se o takové pedagogické situace, které byly vytvořeny proto, aby se určitý (oborový) obsah předložil žákům jako konkrétní nabídka k činnosti a jako problém či otázka vyžadující řešení, jehož prostřednictvím má být dosaženo určitého vzdělávacího cíle (srov. Průcha, Walterová, </w:t>
      </w:r>
      <w:r w:rsidR="006B2AFF">
        <w:rPr>
          <w:bCs/>
        </w:rPr>
        <w:t xml:space="preserve">&amp; </w:t>
      </w:r>
      <w:r w:rsidR="00F11553" w:rsidRPr="00307B7F">
        <w:rPr>
          <w:bCs/>
        </w:rPr>
        <w:t>Mareš</w:t>
      </w:r>
      <w:r w:rsidR="006B2AFF">
        <w:rPr>
          <w:bCs/>
        </w:rPr>
        <w:t>,</w:t>
      </w:r>
      <w:r w:rsidR="00F11553" w:rsidRPr="00307B7F">
        <w:rPr>
          <w:bCs/>
        </w:rPr>
        <w:t xml:space="preserve"> 2009, s. 323). Učební úlohu tedy chápeme jako problém, jenž je žákům předkládán k řešení. </w:t>
      </w:r>
    </w:p>
    <w:p w:rsidR="00DF48DF" w:rsidRPr="00307B7F" w:rsidRDefault="00970C41" w:rsidP="00DF48DF">
      <w:pPr>
        <w:spacing w:after="120" w:line="276" w:lineRule="auto"/>
        <w:jc w:val="both"/>
      </w:pPr>
      <w:r w:rsidRPr="00307B7F">
        <w:t xml:space="preserve">Učební úlohou rozumíme požadavky na práci se vzdělávacím obsahem, se kterými jsou žáci konfrontováni (srov. Blömeke et al., 2006, s. 331). Obdobně </w:t>
      </w:r>
      <w:r w:rsidR="00303400" w:rsidRPr="00307B7F">
        <w:t>Vaculová,</w:t>
      </w:r>
      <w:r w:rsidR="00B86997" w:rsidRPr="00307B7F">
        <w:t xml:space="preserve"> </w:t>
      </w:r>
      <w:r w:rsidR="00303400" w:rsidRPr="00307B7F">
        <w:t>Trna a Janík (2008, s. 36)</w:t>
      </w:r>
      <w:r w:rsidRPr="00307B7F">
        <w:t>, vymezují učební úlohu</w:t>
      </w:r>
      <w:r w:rsidR="00303400" w:rsidRPr="00307B7F">
        <w:t xml:space="preserve"> jako výzvu nebo soubor požadavků podněcující žáky k tomu, aby se zabývali učivem. Stejní autoři (s. 37) upozornili na problém, že pojmy úloha, úkol, otázka a příklad, bývají často nesprávně používány či zaměňovány. Úlohu a úkol považují za synonyma a odlišují pojmy úloha a příklad. Příklad je ukázkou, vzorem, kdežto úloha vyžaduje řešení a může mít formu otázky nebo příkazu. </w:t>
      </w:r>
      <w:r w:rsidR="00DF48DF" w:rsidRPr="00307B7F">
        <w:t xml:space="preserve">Z hlediska formy učební úloha nemusí mít nutně podobu tázací věty. Učební úlohy mohou mít podobu přímých vyjádření vyřčených oznamovací formou, formou rozkazovací nebo formou přací. Konkrétně se jedná o povely, pokyny, vybídnutí či přání. Švaříček (2011, s. 16 s odkazem na Čechovou a kol., 2000) dodává, je nutné posuzovat především komunikační záměr mluvčího, realizovaný v jeho výpovědi: „Komunikační funkce výpovědi je určena jak větnou formou […], kdy je forma výpovědi tázací a na konci věty je otazník, tak především kontextem interakční výměny.“ </w:t>
      </w:r>
    </w:p>
    <w:p w:rsidR="00B86997" w:rsidRPr="00307B7F" w:rsidRDefault="00B86997" w:rsidP="00307B7F">
      <w:pPr>
        <w:spacing w:after="120" w:line="276" w:lineRule="auto"/>
        <w:jc w:val="both"/>
      </w:pPr>
      <w:r w:rsidRPr="00307B7F">
        <w:t xml:space="preserve">Slavík, Dytrtová a Fulková (2010, s. 227) na základě syntézy několika definic pojmu učební úloha nalezli 3 společné znaky učební úlohy: (1) vyzývá žáka k aktivní činnosti, (2) vychází z oboru a směřuje k cíli učení, (3) zakládá edukativní situaci a podmiňuje její formu, organizaci a průběh. </w:t>
      </w:r>
    </w:p>
    <w:p w:rsidR="007471B5" w:rsidRDefault="007471B5" w:rsidP="00307B7F">
      <w:pPr>
        <w:spacing w:after="120" w:line="276" w:lineRule="auto"/>
      </w:pPr>
    </w:p>
    <w:p w:rsidR="008D4662" w:rsidRDefault="00430F07" w:rsidP="00D053A8">
      <w:pPr>
        <w:pStyle w:val="Nadpis3"/>
      </w:pPr>
      <w:bookmarkStart w:id="44" w:name="_Toc399775406"/>
      <w:r>
        <w:t xml:space="preserve">Učební </w:t>
      </w:r>
      <w:r w:rsidRPr="00430F07">
        <w:t>úlohy</w:t>
      </w:r>
      <w:r>
        <w:t xml:space="preserve"> v učebnicích a ve výuce: shrnutí dosavadního st</w:t>
      </w:r>
      <w:r w:rsidR="00DB3FBB">
        <w:t>a</w:t>
      </w:r>
      <w:r>
        <w:t>vu poznání</w:t>
      </w:r>
      <w:bookmarkEnd w:id="44"/>
    </w:p>
    <w:p w:rsidR="00F832A9" w:rsidRPr="00DC43A1" w:rsidRDefault="00D1691C" w:rsidP="008E1CDD">
      <w:pPr>
        <w:autoSpaceDE w:val="0"/>
        <w:autoSpaceDN w:val="0"/>
        <w:adjustRightInd w:val="0"/>
        <w:spacing w:after="120" w:line="276" w:lineRule="auto"/>
        <w:jc w:val="both"/>
      </w:pPr>
      <w:r>
        <w:t xml:space="preserve">Analýza učebních úloh dlouhodobě představuje centrální </w:t>
      </w:r>
      <w:r w:rsidR="005409B6">
        <w:t xml:space="preserve">výzkumné </w:t>
      </w:r>
      <w:r>
        <w:t>téma oborových didaktik u nás i v</w:t>
      </w:r>
      <w:r w:rsidR="008E60C6">
        <w:t xml:space="preserve"> </w:t>
      </w:r>
      <w:r>
        <w:t xml:space="preserve">zahraničí. </w:t>
      </w:r>
      <w:r w:rsidR="008D4662" w:rsidRPr="008D4662">
        <w:t xml:space="preserve">Zkoumání učebních úloh </w:t>
      </w:r>
      <w:r w:rsidR="008D4662">
        <w:t xml:space="preserve">a s nimi souvisejících učebních činností </w:t>
      </w:r>
      <w:r w:rsidR="008D4662" w:rsidRPr="008D4662">
        <w:t>má u nás dlouhou tradici, která patrně vrcholila v 60.–70. letech 20. století, kdy byl pedagogický výzkum silněji ovlivňován teorií programovaného</w:t>
      </w:r>
      <w:r w:rsidR="008D4662">
        <w:t xml:space="preserve"> </w:t>
      </w:r>
      <w:r w:rsidR="008D4662" w:rsidRPr="008D4662">
        <w:t xml:space="preserve">učení (podrobněji viz Tollingerová, Knězů, </w:t>
      </w:r>
      <w:r w:rsidR="00D83F21">
        <w:t xml:space="preserve">&amp; </w:t>
      </w:r>
      <w:r w:rsidR="008D4662" w:rsidRPr="008D4662">
        <w:t>Kulič, 1966</w:t>
      </w:r>
      <w:r w:rsidR="008D4662">
        <w:t>; Tollingerová, 1987</w:t>
      </w:r>
      <w:r w:rsidR="008D4662" w:rsidRPr="008D4662">
        <w:t xml:space="preserve"> aj.). Od té doby byly u nás i v zahraničí realizovány četné analýzy učebních úloh v učebnicích i ve výuce různých vyučovacích</w:t>
      </w:r>
      <w:r w:rsidR="008D4662">
        <w:t xml:space="preserve"> </w:t>
      </w:r>
      <w:r w:rsidR="008D4662" w:rsidRPr="008D4662">
        <w:t>předmětů. Jejich ucelený přehled by jistě překročil rozsah této publikace.</w:t>
      </w:r>
      <w:r w:rsidRPr="008D4662">
        <w:t xml:space="preserve"> </w:t>
      </w:r>
      <w:r w:rsidR="008D4662" w:rsidRPr="008D4662">
        <w:t>V souvislosti s etablováním nové kultury vyučování a učení je možné také v současnosti zaznamenat oživený zájem o zkoumání učebních úloh.</w:t>
      </w:r>
      <w:r w:rsidR="006C61C3">
        <w:t xml:space="preserve"> </w:t>
      </w:r>
      <w:r w:rsidR="00021970">
        <w:t>Č</w:t>
      </w:r>
      <w:r w:rsidR="00547700" w:rsidRPr="00D1691C">
        <w:t>tenáře odkazujeme na souhrnné práce, které vyčerpávajícím pojednávají o výzkumu učebních úloh z různých úhlů pohledu (učební úlohy v učebnicích viz Matthes &amp; Schütze, 2011; učební úlohy v kontextu požadavku rozvíjení kompetenc</w:t>
      </w:r>
      <w:r w:rsidR="005409B6">
        <w:t>í</w:t>
      </w:r>
      <w:r w:rsidR="00547700" w:rsidRPr="00D1691C">
        <w:t xml:space="preserve"> viz Kiper et al.</w:t>
      </w:r>
      <w:r w:rsidR="009E047F">
        <w:t>,</w:t>
      </w:r>
      <w:r w:rsidR="00547700" w:rsidRPr="00D1691C">
        <w:t xml:space="preserve"> 2010; obecně a oborově didaktické přístupy k analýze učebních úloh viz Kleinknecht et al., 2013; Thonhauser, 2008 aj.). </w:t>
      </w:r>
      <w:r w:rsidR="00547700">
        <w:t xml:space="preserve">Zájemce o podrobnější studium problematiky učebních úloh v českém kontextu </w:t>
      </w:r>
      <w:r w:rsidR="00547700" w:rsidRPr="00DC43A1">
        <w:t>odkazujeme na studii Lokajíčkové (2012</w:t>
      </w:r>
      <w:r w:rsidR="00547700">
        <w:t>) a monografii Medkové (2012, s. 41</w:t>
      </w:r>
      <w:r w:rsidR="005C4A68">
        <w:t>–</w:t>
      </w:r>
      <w:r w:rsidR="00547700">
        <w:t>53), které obsahují vyčerpávající přehled definic, klasifikací, možností didaktického využití učebních úloh ve školní výuce i dosavadních výzkumů.</w:t>
      </w:r>
      <w:r w:rsidR="00A34297">
        <w:t xml:space="preserve"> </w:t>
      </w:r>
      <w:r w:rsidR="00F832A9">
        <w:t>N</w:t>
      </w:r>
      <w:r w:rsidR="00F832A9" w:rsidRPr="00DC43A1">
        <w:t xml:space="preserve">a tomto místě stručně popisujeme </w:t>
      </w:r>
      <w:r w:rsidR="00F832A9">
        <w:t xml:space="preserve">vybrané výzkumy učebních úloh v učebnicích a ve výuce zeměpisu. </w:t>
      </w:r>
      <w:r w:rsidR="000579F6">
        <w:t xml:space="preserve">S ohledem na tematiku řešenou v této práci </w:t>
      </w:r>
      <w:r w:rsidR="00A34297">
        <w:t>se zaměřujeme především na</w:t>
      </w:r>
      <w:r w:rsidR="000579F6">
        <w:t xml:space="preserve"> výzkumy zabývající se</w:t>
      </w:r>
      <w:r w:rsidR="00A34297">
        <w:t xml:space="preserve"> hodnocením</w:t>
      </w:r>
      <w:r w:rsidR="000579F6">
        <w:t xml:space="preserve"> kognitivní náročnost</w:t>
      </w:r>
      <w:r w:rsidR="00A34297">
        <w:t>i</w:t>
      </w:r>
      <w:r w:rsidR="000579F6">
        <w:t xml:space="preserve"> učebních úloh. </w:t>
      </w:r>
      <w:r w:rsidR="00F832A9">
        <w:t>Nejedná se o vyčerpávající výčet, neboť zejména zahraniční empiricko výzkumné práce zaměřené na zkoumání učebních úloh ve výuce zeměpisu jsou obtížně dohledatelné.</w:t>
      </w:r>
      <w:r w:rsidR="00F832A9">
        <w:rPr>
          <w:rStyle w:val="Znakapoznpodarou"/>
        </w:rPr>
        <w:footnoteReference w:id="49"/>
      </w:r>
    </w:p>
    <w:p w:rsidR="00F832A9" w:rsidRPr="00D44311" w:rsidRDefault="00F832A9" w:rsidP="002B2744">
      <w:pPr>
        <w:autoSpaceDE w:val="0"/>
        <w:autoSpaceDN w:val="0"/>
        <w:adjustRightInd w:val="0"/>
        <w:spacing w:after="120" w:line="276" w:lineRule="auto"/>
        <w:jc w:val="both"/>
      </w:pPr>
      <w:r w:rsidRPr="00D44311">
        <w:t xml:space="preserve">V oblasti </w:t>
      </w:r>
      <w:r w:rsidR="00887511">
        <w:t xml:space="preserve">domácího </w:t>
      </w:r>
      <w:r w:rsidRPr="00D44311">
        <w:t xml:space="preserve">výzkumu učebnic vnímáme jako stěžejní </w:t>
      </w:r>
      <w:r w:rsidR="00860638">
        <w:t xml:space="preserve">především </w:t>
      </w:r>
      <w:r w:rsidRPr="00D44311">
        <w:t>výzkum Wahly (1975). Autor zkoumal 7091 učebních úloh v devíti u</w:t>
      </w:r>
      <w:r w:rsidRPr="00D44311">
        <w:rPr>
          <w:rFonts w:ascii="TimesNewRomanPSMT" w:eastAsia="TimesNewRomanPSMT" w:cs="TimesNewRomanPSMT"/>
        </w:rPr>
        <w:t>č</w:t>
      </w:r>
      <w:r w:rsidRPr="00D44311">
        <w:t xml:space="preserve">ebnicích zeměpisu. Na základě výsledků kvantitativní obsahové analýzy s využitím taxonomie Tollingerové zjistil, že většina analyzovaných </w:t>
      </w:r>
      <w:r w:rsidR="008E60C6" w:rsidRPr="00D44311">
        <w:t>učebních</w:t>
      </w:r>
      <w:r w:rsidRPr="00D44311">
        <w:t xml:space="preserve"> úloh se pohybuje v nejnižších úrovních kognitivní náročnosti vyžadujících pam</w:t>
      </w:r>
      <w:r w:rsidRPr="00D44311">
        <w:rPr>
          <w:rFonts w:ascii="TimesNewRomanPSMT" w:eastAsia="TimesNewRomanPSMT" w:cs="TimesNewRomanPSMT"/>
        </w:rPr>
        <w:t>ě</w:t>
      </w:r>
      <w:r w:rsidRPr="00D44311">
        <w:t>tní reprodukci poznatk</w:t>
      </w:r>
      <w:r w:rsidRPr="00D44311">
        <w:rPr>
          <w:rFonts w:ascii="TimesNewRomanPSMT" w:eastAsia="TimesNewRomanPSMT" w:cs="TimesNewRomanPSMT"/>
        </w:rPr>
        <w:t>ů</w:t>
      </w:r>
      <w:r w:rsidRPr="00D44311">
        <w:rPr>
          <w:rFonts w:ascii="TimesNewRomanPSMT" w:eastAsia="TimesNewRomanPSMT" w:cs="TimesNewRomanPSMT"/>
        </w:rPr>
        <w:t xml:space="preserve"> </w:t>
      </w:r>
      <w:r w:rsidRPr="00D44311">
        <w:t>a jednoduché myšlenkové operace (</w:t>
      </w:r>
      <w:r w:rsidR="009E047F">
        <w:t xml:space="preserve">srov. </w:t>
      </w:r>
      <w:r w:rsidRPr="00D44311">
        <w:t xml:space="preserve">s. 142–143). </w:t>
      </w:r>
    </w:p>
    <w:p w:rsidR="009E7E3F" w:rsidRPr="002B2744" w:rsidRDefault="0097077C" w:rsidP="002B2744">
      <w:pPr>
        <w:autoSpaceDE w:val="0"/>
        <w:autoSpaceDN w:val="0"/>
        <w:adjustRightInd w:val="0"/>
        <w:spacing w:after="120" w:line="276" w:lineRule="auto"/>
        <w:jc w:val="both"/>
      </w:pPr>
      <w:r>
        <w:t>O</w:t>
      </w:r>
      <w:r w:rsidRPr="00F832A9">
        <w:t xml:space="preserve">bsahovou analýzu učebních úloh v 18 portugalských učebnicích zeměpisu pro žáky odpovídající našemu 2. stupni základních škol provedla </w:t>
      </w:r>
      <w:r w:rsidR="00F832A9" w:rsidRPr="00F832A9">
        <w:t xml:space="preserve">Martinhaová (2011). Z výzkumu vyplynulo, že převládají úlohy, které patří do skupiny s nejnižší kognitivní náročností. </w:t>
      </w:r>
      <w:r w:rsidR="00F832A9" w:rsidRPr="002B2744">
        <w:t>Výzkum také přinesl zjištění, že neplatí předpoklad, že pro</w:t>
      </w:r>
      <w:r w:rsidR="008E60C6">
        <w:t xml:space="preserve"> </w:t>
      </w:r>
      <w:r w:rsidR="00F832A9" w:rsidRPr="002B2744">
        <w:t>vyšší ročníky budou v učebnicích učební úlohy více kognitivně náročné a že budou více rozvíjet kompetence (</w:t>
      </w:r>
      <w:r>
        <w:t xml:space="preserve">srov. tamtéž, </w:t>
      </w:r>
      <w:r w:rsidR="00F832A9" w:rsidRPr="002B2744">
        <w:t>s. 28).</w:t>
      </w:r>
    </w:p>
    <w:p w:rsidR="009E7E3F" w:rsidRPr="002B2744" w:rsidRDefault="009E7E3F" w:rsidP="002B2744">
      <w:pPr>
        <w:spacing w:after="120" w:line="276" w:lineRule="auto"/>
        <w:jc w:val="both"/>
      </w:pPr>
      <w:r w:rsidRPr="002B2744">
        <w:t xml:space="preserve">Budkeová (2011) analyzovala učební úlohy v učebnicích </w:t>
      </w:r>
      <w:r w:rsidR="009E047F">
        <w:t xml:space="preserve">zeměpisu </w:t>
      </w:r>
      <w:r w:rsidRPr="002B2744">
        <w:t>s cílem zjistit, do jaké míry je jejich prostřednictvím rozvíjena schopnost žáků argumentovat. Konkrétně autorka mapovala učební úlohy uvozené obsahující pokyny k diskutování, zdůvodňování, zhodnocení, apod. Výzkumný vzorek tvořilo 18 aktuálně používaných německých učebnic zeměpisu určených pro žáky odpovídající našim základním a středním školách. Z analýzy 5784 učebních úloh vyplynulo, že argumentačně orientováno bylo průměrně 6,7 % učebních úloh, přičemž častější výskyt argumentačně orientovaných učebních úloh byl v učebnicích určených pro starší žáky. Méně než 5% podíl zkoumaných úloh v učebnicích pro žáky 6. ročníku je možné považovat za významný deficit analyzovaných učebnic.</w:t>
      </w:r>
    </w:p>
    <w:p w:rsidR="00923AF9" w:rsidRDefault="00923AF9" w:rsidP="002B2744">
      <w:pPr>
        <w:autoSpaceDE w:val="0"/>
        <w:autoSpaceDN w:val="0"/>
        <w:adjustRightInd w:val="0"/>
        <w:spacing w:after="120" w:line="276" w:lineRule="auto"/>
        <w:jc w:val="both"/>
      </w:pPr>
      <w:r w:rsidRPr="00584CDA">
        <w:t>Jo</w:t>
      </w:r>
      <w:r w:rsidR="00584CDA" w:rsidRPr="00584CDA">
        <w:t>ová a</w:t>
      </w:r>
      <w:r w:rsidRPr="00584CDA">
        <w:t xml:space="preserve"> Bednarz</w:t>
      </w:r>
      <w:r w:rsidR="00584CDA" w:rsidRPr="00584CDA">
        <w:t>ová</w:t>
      </w:r>
      <w:r w:rsidRPr="00584CDA">
        <w:t xml:space="preserve"> (2009)</w:t>
      </w:r>
      <w:r w:rsidR="00584CDA" w:rsidRPr="00584CDA">
        <w:t xml:space="preserve"> analyzovaly učební úlohy v</w:t>
      </w:r>
      <w:r w:rsidR="00CF0EF5">
        <w:t>e čtyřech</w:t>
      </w:r>
      <w:r w:rsidR="007909F6">
        <w:t xml:space="preserve"> středoškolských</w:t>
      </w:r>
      <w:r w:rsidR="00584CDA" w:rsidRPr="00584CDA">
        <w:t xml:space="preserve"> učebn</w:t>
      </w:r>
      <w:r w:rsidR="00584CDA">
        <w:t xml:space="preserve">icích </w:t>
      </w:r>
      <w:r w:rsidR="00584CDA" w:rsidRPr="00CB4F87">
        <w:t>geografie používaných v USA. Jejich cílem bylo zjistit, zda učební úlohy v učebnicích rozvíjí tři komponenty prostorového myšlení: koncept</w:t>
      </w:r>
      <w:r w:rsidR="007909F6" w:rsidRPr="00CB4F87">
        <w:t>y prostoru</w:t>
      </w:r>
      <w:r w:rsidR="00312740" w:rsidRPr="00CB4F87">
        <w:t xml:space="preserve"> (angl. </w:t>
      </w:r>
      <w:r w:rsidR="007909F6" w:rsidRPr="008E60C6">
        <w:rPr>
          <w:i/>
        </w:rPr>
        <w:t>concepts of space</w:t>
      </w:r>
      <w:r w:rsidR="00312740" w:rsidRPr="00CB4F87">
        <w:t xml:space="preserve">), </w:t>
      </w:r>
      <w:r w:rsidR="007909F6" w:rsidRPr="00CB4F87">
        <w:t>odlišné nástroje</w:t>
      </w:r>
      <w:r w:rsidR="00312740" w:rsidRPr="00CB4F87">
        <w:t xml:space="preserve"> reprezentací (angl. </w:t>
      </w:r>
      <w:r w:rsidR="00312740" w:rsidRPr="008E60C6">
        <w:rPr>
          <w:i/>
        </w:rPr>
        <w:t>tools of representation</w:t>
      </w:r>
      <w:r w:rsidR="00312740" w:rsidRPr="00CB4F87">
        <w:t>) a</w:t>
      </w:r>
      <w:r w:rsidR="007909F6" w:rsidRPr="00CB4F87">
        <w:t xml:space="preserve"> procesy</w:t>
      </w:r>
      <w:r w:rsidR="00312740" w:rsidRPr="00CB4F87">
        <w:t xml:space="preserve"> zdůvodňování (angl. </w:t>
      </w:r>
      <w:r w:rsidR="007909F6" w:rsidRPr="008E60C6">
        <w:rPr>
          <w:i/>
        </w:rPr>
        <w:t xml:space="preserve">processes of </w:t>
      </w:r>
      <w:r w:rsidR="00312740" w:rsidRPr="008E60C6">
        <w:rPr>
          <w:i/>
        </w:rPr>
        <w:t>reasoning</w:t>
      </w:r>
      <w:r w:rsidR="00312740" w:rsidRPr="00CB4F87">
        <w:t>)</w:t>
      </w:r>
      <w:r w:rsidR="007909F6" w:rsidRPr="00CB4F87">
        <w:t xml:space="preserve">. Autorky </w:t>
      </w:r>
      <w:r w:rsidR="00A30665" w:rsidRPr="00CB4F87">
        <w:t>na základě jimi vytvořené trojdimenzionální klasifikace</w:t>
      </w:r>
      <w:r w:rsidR="007909F6" w:rsidRPr="00CB4F87">
        <w:t xml:space="preserve"> učebních úloh </w:t>
      </w:r>
      <w:r w:rsidR="00A30665" w:rsidRPr="00CB4F87">
        <w:t xml:space="preserve">zjistily, že učební úlohy v učebnicích </w:t>
      </w:r>
      <w:r w:rsidR="003649FA" w:rsidRPr="00CB4F87">
        <w:t xml:space="preserve">většinou </w:t>
      </w:r>
      <w:r w:rsidR="00CF0EF5">
        <w:t>(</w:t>
      </w:r>
      <w:r w:rsidR="008A39F8">
        <w:t xml:space="preserve">z </w:t>
      </w:r>
      <w:r w:rsidR="00906971">
        <w:t>58</w:t>
      </w:r>
      <w:r w:rsidR="00A531C7">
        <w:t>–</w:t>
      </w:r>
      <w:r w:rsidR="00906971">
        <w:t>69 %</w:t>
      </w:r>
      <w:r w:rsidR="00CF0EF5">
        <w:t xml:space="preserve">) </w:t>
      </w:r>
      <w:r w:rsidR="003649FA" w:rsidRPr="00CB4F87">
        <w:t>nerozvíjí vyšší</w:t>
      </w:r>
      <w:r w:rsidR="00A30665" w:rsidRPr="00CB4F87">
        <w:t xml:space="preserve"> </w:t>
      </w:r>
      <w:r w:rsidR="003649FA" w:rsidRPr="00CB4F87">
        <w:t xml:space="preserve">úrovně </w:t>
      </w:r>
      <w:r w:rsidR="008A39F8">
        <w:t>prostorového myšlení. O</w:t>
      </w:r>
      <w:r w:rsidR="003649FA" w:rsidRPr="00CB4F87">
        <w:t>bdobný</w:t>
      </w:r>
      <w:r w:rsidR="002D6960" w:rsidRPr="00CB4F87">
        <w:t xml:space="preserve"> závěr </w:t>
      </w:r>
      <w:r w:rsidR="00906971">
        <w:t>lze</w:t>
      </w:r>
      <w:r w:rsidR="002D6960" w:rsidRPr="00CB4F87">
        <w:t xml:space="preserve"> dle autorek učinit stran kognitivní náročnosti zkoumaných učebních úloh.</w:t>
      </w:r>
      <w:r w:rsidR="00CF0EF5">
        <w:t xml:space="preserve"> </w:t>
      </w:r>
    </w:p>
    <w:p w:rsidR="0097077C" w:rsidRPr="00700FED" w:rsidRDefault="0097077C" w:rsidP="0097077C">
      <w:pPr>
        <w:autoSpaceDE w:val="0"/>
        <w:autoSpaceDN w:val="0"/>
        <w:adjustRightInd w:val="0"/>
        <w:spacing w:after="120" w:line="276" w:lineRule="auto"/>
        <w:jc w:val="both"/>
      </w:pPr>
      <w:r w:rsidRPr="00700FED">
        <w:t>Originální výzkum učebních úloh pokládaných učitelem</w:t>
      </w:r>
      <w:r>
        <w:t xml:space="preserve"> v hodinách zeměpisu v Česku </w:t>
      </w:r>
      <w:r w:rsidRPr="00700FED">
        <w:t>realizovala Hübelová (2009). Rozbor vid</w:t>
      </w:r>
      <w:r>
        <w:t>e</w:t>
      </w:r>
      <w:r w:rsidRPr="00700FED">
        <w:t>o</w:t>
      </w:r>
      <w:r w:rsidR="003468E4">
        <w:t>záznamů</w:t>
      </w:r>
      <w:r w:rsidRPr="00700FED">
        <w:t xml:space="preserve"> 50 vyu</w:t>
      </w:r>
      <w:r w:rsidRPr="00700FED">
        <w:rPr>
          <w:rFonts w:ascii="TimesNewRomanPSMT" w:eastAsia="TimesNewRomanPSMT" w:cs="TimesNewRomanPSMT"/>
        </w:rPr>
        <w:t>č</w:t>
      </w:r>
      <w:r w:rsidRPr="00700FED">
        <w:t>ovacích hodin (téma P</w:t>
      </w:r>
      <w:r w:rsidRPr="00700FED">
        <w:rPr>
          <w:rFonts w:ascii="TimesNewRomanPSMT" w:eastAsia="TimesNewRomanPSMT" w:cs="TimesNewRomanPSMT"/>
        </w:rPr>
        <w:t>ř</w:t>
      </w:r>
      <w:r w:rsidRPr="00700FED">
        <w:t xml:space="preserve">írodní podmínky </w:t>
      </w:r>
      <w:r w:rsidRPr="00700FED">
        <w:rPr>
          <w:rFonts w:ascii="TimesNewRomanPSMT" w:eastAsia="TimesNewRomanPSMT" w:cs="TimesNewRomanPSMT"/>
        </w:rPr>
        <w:t>Č</w:t>
      </w:r>
      <w:r w:rsidRPr="00700FED">
        <w:t xml:space="preserve">R) ukázal, že </w:t>
      </w:r>
      <w:r>
        <w:t xml:space="preserve">výrazně </w:t>
      </w:r>
      <w:r w:rsidRPr="00700FED">
        <w:t>p</w:t>
      </w:r>
      <w:r w:rsidRPr="00700FED">
        <w:rPr>
          <w:rFonts w:ascii="TimesNewRomanPSMT" w:eastAsia="TimesNewRomanPSMT" w:cs="TimesNewRomanPSMT"/>
        </w:rPr>
        <w:t>ř</w:t>
      </w:r>
      <w:r w:rsidRPr="00700FED">
        <w:t>evládají úlohy vyžadující spíše jednoduché myšlenkové operace nebo pam</w:t>
      </w:r>
      <w:r w:rsidRPr="00700FED">
        <w:rPr>
          <w:rFonts w:ascii="TimesNewRomanPSMT" w:eastAsia="TimesNewRomanPSMT" w:cs="TimesNewRomanPSMT"/>
        </w:rPr>
        <w:t>ě</w:t>
      </w:r>
      <w:r w:rsidRPr="00700FED">
        <w:t>tí reprodukci</w:t>
      </w:r>
      <w:r>
        <w:t xml:space="preserve"> učiva</w:t>
      </w:r>
      <w:r w:rsidRPr="00700FED">
        <w:t xml:space="preserve"> (</w:t>
      </w:r>
      <w:r w:rsidR="009E047F">
        <w:t xml:space="preserve">srov. </w:t>
      </w:r>
      <w:r w:rsidRPr="00700FED">
        <w:t>s. 116).</w:t>
      </w:r>
      <w:r w:rsidR="009E047F">
        <w:rPr>
          <w:rStyle w:val="Znakapoznpodarou"/>
        </w:rPr>
        <w:footnoteReference w:id="50"/>
      </w:r>
    </w:p>
    <w:p w:rsidR="0097077C" w:rsidRPr="002B2744" w:rsidRDefault="0097077C" w:rsidP="0097077C">
      <w:pPr>
        <w:spacing w:after="120" w:line="276" w:lineRule="auto"/>
        <w:jc w:val="both"/>
      </w:pPr>
      <w:r w:rsidRPr="002B2744">
        <w:t xml:space="preserve">Budkeová (2012) na základě pozorování 1414 vyučovacích hodin zeměpisu na německých školách odpovídajících </w:t>
      </w:r>
      <w:r>
        <w:t xml:space="preserve">našemu </w:t>
      </w:r>
      <w:r w:rsidRPr="002B2744">
        <w:t xml:space="preserve">1. a 2. stupni ZŠ zjišťovala, zda žáci dostávají příležitosti k odborné argumentaci. Autorka </w:t>
      </w:r>
      <w:r>
        <w:t>uvádí</w:t>
      </w:r>
      <w:r w:rsidRPr="002B2744">
        <w:t xml:space="preserve">, že pouze ve zlomku vyučovacích hodin (téměř 9 %) měli žáci možnost argumentovat. </w:t>
      </w:r>
    </w:p>
    <w:p w:rsidR="00792CA3" w:rsidRDefault="009E047F" w:rsidP="00792CA3">
      <w:pPr>
        <w:spacing w:after="120" w:line="276" w:lineRule="auto"/>
        <w:jc w:val="both"/>
      </w:pPr>
      <w:r>
        <w:t>Z výše</w:t>
      </w:r>
      <w:r w:rsidR="00343263" w:rsidRPr="00CB4F87">
        <w:t xml:space="preserve"> uvedených prací je</w:t>
      </w:r>
      <w:r w:rsidR="00840F53" w:rsidRPr="00CB4F87">
        <w:t xml:space="preserve"> obtížné činit jakékoliv synte</w:t>
      </w:r>
      <w:r w:rsidR="00343263" w:rsidRPr="00CB4F87">
        <w:t>tizující závěry či předpoklady</w:t>
      </w:r>
      <w:r w:rsidR="00FE5AF7" w:rsidRPr="00CB4F87">
        <w:t xml:space="preserve"> týkající se kvality učebnic a výuky zeměpisu.</w:t>
      </w:r>
      <w:r w:rsidR="0097077C">
        <w:t xml:space="preserve"> </w:t>
      </w:r>
      <w:r w:rsidR="0097077C" w:rsidRPr="0097077C">
        <w:t>V oblasti analýzy učebních úloh má česká i zahraniční didaktika geografie poměrně výrazné rezervy. Analýzy učebních úloh zastoupených v učebnicích a ve výuce zeměpisu se zpravidla neobjevují ani v</w:t>
      </w:r>
      <w:r>
        <w:t xml:space="preserve"> zahraničních </w:t>
      </w:r>
      <w:r w:rsidR="0097077C" w:rsidRPr="0097077C">
        <w:t xml:space="preserve">syntetických </w:t>
      </w:r>
      <w:r w:rsidR="00BC3EE3">
        <w:t xml:space="preserve">výzkumných </w:t>
      </w:r>
      <w:r w:rsidR="0097077C" w:rsidRPr="0097077C">
        <w:t>monogr</w:t>
      </w:r>
      <w:r w:rsidR="00BC3EE3">
        <w:t>afiích věnovaným analýzám učebních úloh (viz výše)</w:t>
      </w:r>
      <w:r w:rsidR="00F13CD0">
        <w:t>.</w:t>
      </w:r>
      <w:r w:rsidR="00F13CD0">
        <w:rPr>
          <w:rStyle w:val="Znakapoznpodarou"/>
        </w:rPr>
        <w:footnoteReference w:id="51"/>
      </w:r>
      <w:r w:rsidR="00BC3EE3">
        <w:t xml:space="preserve"> </w:t>
      </w:r>
      <w:r w:rsidR="00175867" w:rsidRPr="00CB4F87">
        <w:t xml:space="preserve">Obecně je možné konstatovat, že výzkumné nálezy týkající se </w:t>
      </w:r>
      <w:r w:rsidR="00F13CD0">
        <w:t xml:space="preserve">kognitivní </w:t>
      </w:r>
      <w:r w:rsidR="00555144" w:rsidRPr="00CB4F87">
        <w:t>náročnosti</w:t>
      </w:r>
      <w:r w:rsidR="00175867" w:rsidRPr="00CB4F87">
        <w:t xml:space="preserve"> učebních úloh </w:t>
      </w:r>
      <w:r w:rsidR="00330791" w:rsidRPr="00CB4F87">
        <w:t>v </w:t>
      </w:r>
      <w:r w:rsidR="00555144" w:rsidRPr="00CB4F87">
        <w:t>podstatě</w:t>
      </w:r>
      <w:r w:rsidR="00330791" w:rsidRPr="00CB4F87">
        <w:t xml:space="preserve"> odpovídají závěrům domácích i zahraničních výzkumů učebních úloh v učebnicích a ve výuce jiných vyučovacích předmětů.</w:t>
      </w:r>
      <w:r w:rsidR="00E630D3" w:rsidRPr="00CB4F87">
        <w:rPr>
          <w:rStyle w:val="Znakapoznpodarou"/>
        </w:rPr>
        <w:footnoteReference w:id="52"/>
      </w:r>
      <w:r w:rsidR="00555144" w:rsidRPr="00CB4F87">
        <w:t xml:space="preserve"> V</w:t>
      </w:r>
      <w:r w:rsidR="00343263" w:rsidRPr="00CB4F87">
        <w:t xml:space="preserve">ýzkumy </w:t>
      </w:r>
      <w:r w:rsidR="00555144" w:rsidRPr="00CB4F87">
        <w:t xml:space="preserve">shodně </w:t>
      </w:r>
      <w:r w:rsidR="00343263" w:rsidRPr="00CB4F87">
        <w:t>poukazují na dominantní zastoupení u</w:t>
      </w:r>
      <w:r w:rsidR="00343263" w:rsidRPr="00CB4F87">
        <w:rPr>
          <w:rFonts w:ascii="TimesNewRomanPSMT" w:eastAsia="TimesNewRomanPSMT" w:cs="TimesNewRomanPSMT" w:hint="eastAsia"/>
        </w:rPr>
        <w:t>č</w:t>
      </w:r>
      <w:r w:rsidR="00343263" w:rsidRPr="00CB4F87">
        <w:t>ebních úloh p</w:t>
      </w:r>
      <w:r w:rsidR="00343263" w:rsidRPr="00CB4F87">
        <w:rPr>
          <w:rFonts w:ascii="TimesNewRomanPSMT" w:eastAsia="TimesNewRomanPSMT" w:cs="TimesNewRomanPSMT" w:hint="eastAsia"/>
        </w:rPr>
        <w:t>ř</w:t>
      </w:r>
      <w:r w:rsidR="00343263" w:rsidRPr="00CB4F87">
        <w:t>edevším nižší kognitivní náro</w:t>
      </w:r>
      <w:r w:rsidR="00343263" w:rsidRPr="00CB4F87">
        <w:rPr>
          <w:rFonts w:ascii="TimesNewRomanPSMT" w:eastAsia="TimesNewRomanPSMT" w:cs="TimesNewRomanPSMT" w:hint="eastAsia"/>
        </w:rPr>
        <w:t>č</w:t>
      </w:r>
      <w:r w:rsidR="00343263" w:rsidRPr="00CB4F87">
        <w:t>nosti, které zjiš</w:t>
      </w:r>
      <w:r w:rsidR="00343263" w:rsidRPr="00CB4F87">
        <w:rPr>
          <w:rFonts w:ascii="TimesNewRomanPSMT" w:eastAsia="TimesNewRomanPSMT" w:cs="TimesNewRomanPSMT" w:hint="eastAsia"/>
        </w:rPr>
        <w:t>ť</w:t>
      </w:r>
      <w:r w:rsidR="00343263" w:rsidRPr="00CB4F87">
        <w:t>ují pam</w:t>
      </w:r>
      <w:r w:rsidR="00343263" w:rsidRPr="00CB4F87">
        <w:rPr>
          <w:rFonts w:ascii="TimesNewRomanPSMT" w:eastAsia="TimesNewRomanPSMT" w:cs="TimesNewRomanPSMT" w:hint="eastAsia"/>
        </w:rPr>
        <w:t>ě</w:t>
      </w:r>
      <w:r w:rsidR="00B16180" w:rsidRPr="00CB4F87">
        <w:t xml:space="preserve">tní znalost </w:t>
      </w:r>
      <w:r w:rsidR="00343263" w:rsidRPr="00CB4F87">
        <w:t>d</w:t>
      </w:r>
      <w:r w:rsidR="00343263" w:rsidRPr="00CB4F87">
        <w:rPr>
          <w:rFonts w:ascii="TimesNewRomanPSMT" w:eastAsia="TimesNewRomanPSMT" w:cs="TimesNewRomanPSMT" w:hint="eastAsia"/>
        </w:rPr>
        <w:t>ř</w:t>
      </w:r>
      <w:r w:rsidR="00343263" w:rsidRPr="00CB4F87">
        <w:t xml:space="preserve">íve osvojeného </w:t>
      </w:r>
      <w:r w:rsidR="00B16180" w:rsidRPr="00CB4F87">
        <w:t>učiva</w:t>
      </w:r>
      <w:r w:rsidR="00343263" w:rsidRPr="00CB4F87">
        <w:t xml:space="preserve"> (podíl se zpravidla převyšuje 80 %). </w:t>
      </w:r>
      <w:r w:rsidR="00B16180" w:rsidRPr="00CB4F87">
        <w:t>Novější výzkumy naznačují, že</w:t>
      </w:r>
      <w:r w:rsidR="00343263" w:rsidRPr="00CB4F87">
        <w:t xml:space="preserve"> se situace v tomto ohledu možná mírně proměňuje</w:t>
      </w:r>
      <w:r w:rsidR="00B16180" w:rsidRPr="00CB4F87">
        <w:t xml:space="preserve"> ve prospěch náročnějších učebních úloh (srov. Švaříček, 2011)</w:t>
      </w:r>
      <w:r w:rsidR="00FA7F8B" w:rsidRPr="00CB4F87">
        <w:t xml:space="preserve">. </w:t>
      </w:r>
      <w:r w:rsidR="008D4662" w:rsidRPr="00CB4F87">
        <w:t xml:space="preserve">Výsledky </w:t>
      </w:r>
      <w:r w:rsidR="00287CCE" w:rsidRPr="00CB4F87">
        <w:t>starších i novějších</w:t>
      </w:r>
      <w:r w:rsidR="00FA7F8B" w:rsidRPr="00CB4F87">
        <w:t xml:space="preserve"> </w:t>
      </w:r>
      <w:r w:rsidR="008D4662" w:rsidRPr="00CB4F87">
        <w:t xml:space="preserve">výzkumů </w:t>
      </w:r>
      <w:r w:rsidR="00FA7F8B" w:rsidRPr="00CB4F87">
        <w:t>učebnic</w:t>
      </w:r>
      <w:r w:rsidR="00FA7F8B" w:rsidRPr="002B2744">
        <w:rPr>
          <w:rStyle w:val="Znakapoznpodarou"/>
        </w:rPr>
        <w:footnoteReference w:id="53"/>
      </w:r>
      <w:r w:rsidR="00FA7F8B" w:rsidRPr="002B2744">
        <w:t xml:space="preserve"> taktéž </w:t>
      </w:r>
      <w:r w:rsidR="008D4662" w:rsidRPr="002B2744">
        <w:t xml:space="preserve">ukazují, že učební úlohy většinou rozvíjejí schopnost žáků pamětně reprodukovat učivo. </w:t>
      </w:r>
      <w:r w:rsidR="00FA7F8B" w:rsidRPr="002B2744">
        <w:t>P</w:t>
      </w:r>
      <w:r w:rsidR="008D4662" w:rsidRPr="002B2744">
        <w:t>řevládají učební úlohy nižší kognitivní náročnosti reprezentovan</w:t>
      </w:r>
      <w:r w:rsidR="00FA7F8B" w:rsidRPr="002B2744">
        <w:t>é uzavřenými otázkami orientovan</w:t>
      </w:r>
      <w:r w:rsidR="00650864">
        <w:t>ými</w:t>
      </w:r>
      <w:r w:rsidR="00FA7F8B" w:rsidRPr="002B2744">
        <w:t xml:space="preserve"> na zjišťování znalostí žáků. </w:t>
      </w:r>
      <w:r w:rsidR="00330791" w:rsidRPr="002B2744">
        <w:t>Učební úlohy směřující k utváření dovedností, postojů apod. bývají zastoupeny pouze výjimečně.</w:t>
      </w:r>
    </w:p>
    <w:p w:rsidR="00F832A9" w:rsidRDefault="00792CA3" w:rsidP="00792CA3">
      <w:pPr>
        <w:spacing w:after="120" w:line="276" w:lineRule="auto"/>
        <w:jc w:val="both"/>
      </w:pPr>
      <w:r>
        <w:t>Závěry jmenovaných a obdobných</w:t>
      </w:r>
      <w:r w:rsidR="00650864">
        <w:t xml:space="preserve"> výzkumů nejednou sklouzávají ke kritice učitelů a učebnic</w:t>
      </w:r>
      <w:r>
        <w:t>,</w:t>
      </w:r>
      <w:r w:rsidR="00650864">
        <w:t xml:space="preserve"> </w:t>
      </w:r>
      <w:r w:rsidR="002C7D68">
        <w:t>přičemž se většinou opírají o</w:t>
      </w:r>
      <w:r>
        <w:t xml:space="preserve"> </w:t>
      </w:r>
      <w:r w:rsidR="00881D25" w:rsidRPr="002B2744">
        <w:t>výzkumy</w:t>
      </w:r>
      <w:r w:rsidR="00D923A0" w:rsidRPr="002B2744">
        <w:t xml:space="preserve"> </w:t>
      </w:r>
      <w:r>
        <w:t>a</w:t>
      </w:r>
      <w:r w:rsidR="00D923A0" w:rsidRPr="002B2744">
        <w:t xml:space="preserve"> metaanalýzy </w:t>
      </w:r>
      <w:r>
        <w:t>dokládající</w:t>
      </w:r>
      <w:r w:rsidR="00881D25" w:rsidRPr="002B2744">
        <w:t>, že používání kognitivně náročných učebních úloh má pozitivní dopad na rozvoj složitějších způsobů myšlení žáků</w:t>
      </w:r>
      <w:r w:rsidR="00D923A0" w:rsidRPr="002B2744">
        <w:t xml:space="preserve"> i jejich výsledky</w:t>
      </w:r>
      <w:r w:rsidR="00881D25" w:rsidRPr="002B2744">
        <w:t xml:space="preserve"> (Redf</w:t>
      </w:r>
      <w:r w:rsidR="00D923A0" w:rsidRPr="002B2744">
        <w:t xml:space="preserve">ield &amp; </w:t>
      </w:r>
      <w:r w:rsidR="00881D25" w:rsidRPr="002B2744">
        <w:t>Rousseau</w:t>
      </w:r>
      <w:r w:rsidR="00D923A0" w:rsidRPr="002B2744">
        <w:t>,</w:t>
      </w:r>
      <w:r w:rsidR="00881D25" w:rsidRPr="002B2744">
        <w:t xml:space="preserve"> 1981; </w:t>
      </w:r>
      <w:r w:rsidR="00387BD3">
        <w:t xml:space="preserve">Gall, 1984; </w:t>
      </w:r>
      <w:r w:rsidR="00BA6C80">
        <w:rPr>
          <w:caps/>
        </w:rPr>
        <w:t>G</w:t>
      </w:r>
      <w:r w:rsidR="00BA6C80">
        <w:t xml:space="preserve">ordon et al., 1987; </w:t>
      </w:r>
      <w:r w:rsidR="00D923A0" w:rsidRPr="002B2744">
        <w:t xml:space="preserve">Samson et al., 2007; </w:t>
      </w:r>
      <w:r w:rsidR="00881D25" w:rsidRPr="002B2744">
        <w:t>McGregor</w:t>
      </w:r>
      <w:r w:rsidR="00D923A0" w:rsidRPr="002B2744">
        <w:t>,</w:t>
      </w:r>
      <w:r w:rsidR="00881D25" w:rsidRPr="002B2744">
        <w:t xml:space="preserve"> 2008 aj.). </w:t>
      </w:r>
      <w:r>
        <w:t xml:space="preserve">Originální pohledy do </w:t>
      </w:r>
      <w:r w:rsidR="00ED3726">
        <w:t xml:space="preserve">interpretace výzkumů učebních úloh vnáší </w:t>
      </w:r>
      <w:r w:rsidR="00F832A9" w:rsidRPr="002B2744">
        <w:t>Švaříček (2011, s. 11</w:t>
      </w:r>
      <w:r w:rsidR="005C4A68">
        <w:t>–</w:t>
      </w:r>
      <w:r w:rsidR="00F832A9" w:rsidRPr="002B2744">
        <w:t>12)</w:t>
      </w:r>
      <w:r w:rsidR="00ED3726">
        <w:t>, když kriticky hodnotí</w:t>
      </w:r>
      <w:r w:rsidR="00F832A9" w:rsidRPr="002B2744">
        <w:t xml:space="preserve"> výzkumy potvrzující či zamítající hypotézu, že otázky zaměřené na vyšší kognitivní procesy vedou (ve srovnání s otázkami ověřujícími zapamatování faktů) k lepšímu učení a k lepším výsledkům</w:t>
      </w:r>
      <w:r w:rsidR="00F832A9">
        <w:t xml:space="preserve"> žáků. S odkazem na desítky </w:t>
      </w:r>
      <w:r w:rsidR="00ED3726">
        <w:t xml:space="preserve">vzájemně si protiřečících </w:t>
      </w:r>
      <w:r w:rsidR="00F832A9">
        <w:t xml:space="preserve">výzkumů uzavírá debatu konstatováním, že dosavadní empirická zjištění nejsou průkazná, zejména kvůli obtížné operacionalizaci </w:t>
      </w:r>
      <w:r w:rsidR="00ED3726">
        <w:t>souvisejí</w:t>
      </w:r>
      <w:r w:rsidR="004A63C0">
        <w:t>cí</w:t>
      </w:r>
      <w:r w:rsidR="00ED3726">
        <w:t xml:space="preserve">ch </w:t>
      </w:r>
      <w:r w:rsidR="00F832A9">
        <w:t xml:space="preserve">proměnných. Švaříček mimo jiné odkazuje na </w:t>
      </w:r>
      <w:r w:rsidR="00ED3726">
        <w:t xml:space="preserve">vlivný </w:t>
      </w:r>
      <w:r w:rsidR="00F832A9">
        <w:t xml:space="preserve">výzkum Gallové a kol. (1978), který </w:t>
      </w:r>
    </w:p>
    <w:p w:rsidR="00923AF9" w:rsidRPr="00ED3726" w:rsidRDefault="00F832A9" w:rsidP="00ED3726">
      <w:pPr>
        <w:spacing w:after="120" w:line="276" w:lineRule="auto"/>
        <w:ind w:left="426"/>
        <w:jc w:val="both"/>
        <w:rPr>
          <w:sz w:val="20"/>
        </w:rPr>
      </w:pPr>
      <w:r>
        <w:t xml:space="preserve">[…] </w:t>
      </w:r>
      <w:r w:rsidRPr="00B8262C">
        <w:rPr>
          <w:sz w:val="20"/>
        </w:rPr>
        <w:t>neprokázal korelaci</w:t>
      </w:r>
      <w:r>
        <w:rPr>
          <w:sz w:val="20"/>
        </w:rPr>
        <w:t xml:space="preserve"> </w:t>
      </w:r>
      <w:r w:rsidRPr="00B8262C">
        <w:rPr>
          <w:sz w:val="20"/>
        </w:rPr>
        <w:t>mezi otázkami vyšší kognitivní náročnosti a výsledky žáků. Jejich výzkum</w:t>
      </w:r>
      <w:r>
        <w:rPr>
          <w:sz w:val="20"/>
        </w:rPr>
        <w:t xml:space="preserve"> </w:t>
      </w:r>
      <w:r w:rsidRPr="00B8262C">
        <w:rPr>
          <w:sz w:val="20"/>
        </w:rPr>
        <w:t>naopak ukázal, že výsledky žáků jsou nejlepší, když 25 % otázek je vyšší kognitivní</w:t>
      </w:r>
      <w:r>
        <w:rPr>
          <w:sz w:val="20"/>
        </w:rPr>
        <w:t xml:space="preserve"> </w:t>
      </w:r>
      <w:r w:rsidRPr="00B8262C">
        <w:rPr>
          <w:sz w:val="20"/>
        </w:rPr>
        <w:t>náročnosti a 75 % testuje fakta. Podle badatelů je možné si vysvětlit</w:t>
      </w:r>
      <w:r>
        <w:rPr>
          <w:sz w:val="20"/>
        </w:rPr>
        <w:t xml:space="preserve"> </w:t>
      </w:r>
      <w:r w:rsidRPr="00B8262C">
        <w:rPr>
          <w:sz w:val="20"/>
        </w:rPr>
        <w:t>závěry následovně: jestliže se žák ocitá tváří v tvář změti otevřených otázek</w:t>
      </w:r>
      <w:r>
        <w:rPr>
          <w:sz w:val="20"/>
        </w:rPr>
        <w:t xml:space="preserve"> </w:t>
      </w:r>
      <w:r w:rsidRPr="00B8262C">
        <w:rPr>
          <w:sz w:val="20"/>
        </w:rPr>
        <w:t>vyšší kognitivní náročnosti (50–75 %), může se soustředit na odpovídání</w:t>
      </w:r>
      <w:r>
        <w:rPr>
          <w:sz w:val="20"/>
        </w:rPr>
        <w:t xml:space="preserve"> </w:t>
      </w:r>
      <w:r w:rsidRPr="00B8262C">
        <w:rPr>
          <w:sz w:val="20"/>
        </w:rPr>
        <w:t>těchto otázek, ale zároveň může přistoupit k ignorování faktických otázek</w:t>
      </w:r>
      <w:r>
        <w:rPr>
          <w:sz w:val="20"/>
        </w:rPr>
        <w:t xml:space="preserve"> </w:t>
      </w:r>
      <w:r w:rsidRPr="00B8262C">
        <w:rPr>
          <w:sz w:val="20"/>
        </w:rPr>
        <w:t>(to se prokázalo při testech znalostí).</w:t>
      </w:r>
      <w:r>
        <w:rPr>
          <w:sz w:val="20"/>
        </w:rPr>
        <w:t xml:space="preserve"> (Švaříček, 2011, s. 11)</w:t>
      </w:r>
    </w:p>
    <w:p w:rsidR="00EA655F" w:rsidRDefault="00923AF9" w:rsidP="00067841">
      <w:pPr>
        <w:autoSpaceDE w:val="0"/>
        <w:autoSpaceDN w:val="0"/>
        <w:adjustRightInd w:val="0"/>
        <w:spacing w:after="120" w:line="276" w:lineRule="auto"/>
        <w:jc w:val="both"/>
      </w:pPr>
      <w:r>
        <w:t>V současnosti se paralelně vedle tradičního zájmu o kvantitativní analýzy učebních úloh v učebnicích a ve výuce etablují</w:t>
      </w:r>
      <w:r w:rsidR="00ED3726">
        <w:t xml:space="preserve"> také</w:t>
      </w:r>
      <w:r w:rsidR="004B784D">
        <w:t xml:space="preserve"> </w:t>
      </w:r>
      <w:r>
        <w:t>kvalitativní výzkumné přístupy</w:t>
      </w:r>
      <w:r w:rsidR="004B784D">
        <w:t xml:space="preserve"> usilující o rozkrývání obsahové i operační struktury</w:t>
      </w:r>
      <w:r w:rsidR="00D4603C">
        <w:t xml:space="preserve"> jednotlivých</w:t>
      </w:r>
      <w:r w:rsidR="004B784D">
        <w:t xml:space="preserve"> učebních úloh prostřednictvím didaktické analýzy </w:t>
      </w:r>
      <w:r w:rsidR="003466E5">
        <w:t>výukových situací</w:t>
      </w:r>
      <w:r w:rsidR="00D4603C">
        <w:t xml:space="preserve">. </w:t>
      </w:r>
      <w:r>
        <w:t>Slavík, Dytrtová a Fulková (2010) navrhli kritéria pro posouzení kvality tvořivých úloh –</w:t>
      </w:r>
      <w:r w:rsidR="00D4603C">
        <w:t xml:space="preserve"> </w:t>
      </w:r>
      <w:r>
        <w:t>obsažnost, integrita, inovativnost, přiměřenost a kurikulární normativita.</w:t>
      </w:r>
      <w:r w:rsidR="003C5B54">
        <w:t xml:space="preserve"> </w:t>
      </w:r>
      <w:r w:rsidR="00D4603C">
        <w:t>Jiný přístup ke kvalitativní analýze</w:t>
      </w:r>
      <w:r>
        <w:t xml:space="preserve"> učebních úloh</w:t>
      </w:r>
      <w:r w:rsidR="00D4603C">
        <w:t xml:space="preserve"> jsme</w:t>
      </w:r>
      <w:r>
        <w:t xml:space="preserve"> </w:t>
      </w:r>
      <w:r w:rsidR="00D4603C">
        <w:t>představili ve studi</w:t>
      </w:r>
      <w:r w:rsidR="003466E5">
        <w:t>i</w:t>
      </w:r>
      <w:r w:rsidR="00D4603C">
        <w:t xml:space="preserve"> Knecht </w:t>
      </w:r>
      <w:r w:rsidR="003466E5">
        <w:t>a kol. (2010).</w:t>
      </w:r>
      <w:r w:rsidR="00D4603C">
        <w:t xml:space="preserve"> </w:t>
      </w:r>
      <w:r w:rsidR="003466E5">
        <w:t>Ve třech záměrně vybraných výukových situacích jsme se snažili identifikovat indikátory kvality příležitostí k rozvíjení kompetence k řešení problémů, a to transfer dovedností a vědomostí (resp. dekontextualizace), propojení učiva s reálným životem a rozbor fází řešení problému.</w:t>
      </w:r>
      <w:r w:rsidR="00B0519A">
        <w:t xml:space="preserve"> </w:t>
      </w:r>
      <w:r w:rsidR="003C5B54">
        <w:t xml:space="preserve">V pozadí uváděných mikroanalytických přístupů je snaha o dekonstrukci </w:t>
      </w:r>
      <w:r w:rsidR="000D6D51">
        <w:t>učebních úloh</w:t>
      </w:r>
      <w:r w:rsidR="007A08AB">
        <w:t xml:space="preserve"> za účelem hl</w:t>
      </w:r>
      <w:r w:rsidR="00E65078">
        <w:t>ubšího porozumění a interpretaci didaktického zprostředkování vzdělávacích obsahů.</w:t>
      </w:r>
      <w:r w:rsidR="00BC3EE3">
        <w:t xml:space="preserve"> </w:t>
      </w:r>
      <w:r w:rsidR="00BC3EE3" w:rsidRPr="00EC6EC8">
        <w:t>Mikroanalýzy výukových situací tvoří jádro obsahově zaměřeného vzdělávání učitelů (srov. Janík et al</w:t>
      </w:r>
      <w:r w:rsidR="00830A5C">
        <w:t>.</w:t>
      </w:r>
      <w:r w:rsidR="00BC3EE3" w:rsidRPr="00EC6EC8">
        <w:t>, 2013). Vychází se mimo jiné z předpokladu, že učební úlohy představují klíčové stavební kameny výuky. Důležitými charakteristikami jsou v tomto ohledu zejména způsob prezentace učebních úloh a forma jejich ztvárnění. Učitelé se v rámci analýzy didaktických situací seznamují s tím, jak učební úlohy s žádoucími charakteristikami vytvářet a jak vytvořené úlohy promyšleně zařazovat do výuky.</w:t>
      </w:r>
    </w:p>
    <w:p w:rsidR="008E1CDD" w:rsidRPr="00CA0BBB" w:rsidRDefault="008E1CDD" w:rsidP="00067841">
      <w:pPr>
        <w:autoSpaceDE w:val="0"/>
        <w:autoSpaceDN w:val="0"/>
        <w:adjustRightInd w:val="0"/>
        <w:spacing w:after="120" w:line="276" w:lineRule="auto"/>
        <w:jc w:val="both"/>
      </w:pPr>
    </w:p>
    <w:p w:rsidR="00665C69" w:rsidRDefault="00B638CA" w:rsidP="00067841">
      <w:pPr>
        <w:pStyle w:val="Nadpis3"/>
        <w:spacing w:before="0" w:after="120"/>
      </w:pPr>
      <w:bookmarkStart w:id="45" w:name="_Toc399775407"/>
      <w:r>
        <w:t>Problé</w:t>
      </w:r>
      <w:r w:rsidR="00426115">
        <w:t xml:space="preserve">my (jakožto) problémové </w:t>
      </w:r>
      <w:r w:rsidR="00C862DE">
        <w:t>učební úlohy</w:t>
      </w:r>
      <w:bookmarkEnd w:id="45"/>
    </w:p>
    <w:p w:rsidR="00E637FC" w:rsidRDefault="00304EA3" w:rsidP="00067841">
      <w:pPr>
        <w:spacing w:after="120" w:line="276" w:lineRule="auto"/>
        <w:jc w:val="both"/>
      </w:pPr>
      <w:r>
        <w:t xml:space="preserve">Problémovou učební úlohu definujeme jako úlohu, jež navozuje učební činnosti žáků mající charakter aktivního řešení problémů a problémových situací. </w:t>
      </w:r>
      <w:r w:rsidR="00E637FC" w:rsidRPr="00D507ED">
        <w:t xml:space="preserve">Problémová úloha může mít rozličnou formu – otázka, příklad, praktický úkol aj. </w:t>
      </w:r>
      <w:r w:rsidR="00830A5C">
        <w:t>Od ostatních typů učebních úloh se p</w:t>
      </w:r>
      <w:r w:rsidR="00E637FC">
        <w:t xml:space="preserve">roblémová úloha liší v tom, že se vyznačuje určitou teoretickou nebo praktickou obtížností a žák k jejímu vyřešení musí vyvinout samostatné myšlenkové úsilí, které nemá charakter mechanické </w:t>
      </w:r>
      <w:r w:rsidR="00830A5C">
        <w:t>myšlenkové činnosti</w:t>
      </w:r>
      <w:r w:rsidR="00E637FC">
        <w:t>. Typicky se jedná o úlohy, jejichž jádrem je dokazování, ověřování a vysvětlování.</w:t>
      </w:r>
      <w:r w:rsidR="00E637FC">
        <w:rPr>
          <w:rStyle w:val="Znakapoznpodarou"/>
        </w:rPr>
        <w:footnoteReference w:id="54"/>
      </w:r>
      <w:r w:rsidR="00080A56">
        <w:t xml:space="preserve"> </w:t>
      </w:r>
      <w:r w:rsidR="00E637FC" w:rsidRPr="00D507ED">
        <w:t xml:space="preserve">S odkazem na definici problému mají problémové úlohy společný charakteristický znak: existence překážky nebo protiřečení mezi dosavadními znalostmi a </w:t>
      </w:r>
      <w:r w:rsidR="001B6D7E" w:rsidRPr="00D507ED">
        <w:t>vědomostmi</w:t>
      </w:r>
      <w:r w:rsidR="00E637FC" w:rsidRPr="00D507ED">
        <w:t xml:space="preserve"> a neexistence známých (standardních) způsobů překonání (řešení) překážek nebo protiřečení.</w:t>
      </w:r>
      <w:r w:rsidR="00E637FC">
        <w:t xml:space="preserve"> Potřebujeme něco znát, vědět, zjistit, získat, nebo rozhodnout – problémová úloha by měla především podněcovat poznávací aktivity.</w:t>
      </w:r>
      <w:r w:rsidR="003C07AB" w:rsidRPr="003C07AB">
        <w:t xml:space="preserve"> </w:t>
      </w:r>
      <w:r w:rsidR="003C07AB">
        <w:t>Problémové myšlení v podstatě probíhá v každé situaci, která je z pohledu jedince neuspokojivá, a jedinec tuto situaci snaží cíleně změnit.</w:t>
      </w:r>
    </w:p>
    <w:p w:rsidR="003803D5" w:rsidRDefault="003803D5" w:rsidP="00067841">
      <w:pPr>
        <w:spacing w:after="120" w:line="276" w:lineRule="auto"/>
        <w:jc w:val="both"/>
      </w:pPr>
      <w:r>
        <w:t>Problémovost učební úlohy je zpravidla určena její otevřeností. Otevřenost problémové učební úlohy se nevztahuje k jejímu zadání, ale tematizuje otevřenost prostoru řešení. Na podkladu zjištění kognitivní psychologie je možné problémové úlohy rozlišovat podle toho, nakolik jsou známé a) počáteční stav, b) cílový stav, a c) způsob transformace počátečního stavu do cílového stavu. Neubrand</w:t>
      </w:r>
      <w:r w:rsidR="00CE0152">
        <w:t>ová</w:t>
      </w:r>
      <w:r>
        <w:t xml:space="preserve"> (2002) v této souvislosti rozlišuje 8 různých typů otevřenosti (resp. problémovosti) učebních úloh, v závislosti na tom, zda jsou či nejsou žáci v zadání učební úlohy </w:t>
      </w:r>
      <w:r w:rsidR="001B6D7E">
        <w:t>o</w:t>
      </w:r>
      <w:r>
        <w:t>beznámeni s výchozí</w:t>
      </w:r>
      <w:r w:rsidR="00830A5C">
        <w:t>m</w:t>
      </w:r>
      <w:r>
        <w:t xml:space="preserve"> stavem, cílovým stavem a pracovní postupem vedoucím k přemostění výchozího a cílového stavu.</w:t>
      </w:r>
      <w:r>
        <w:rPr>
          <w:rStyle w:val="Znakapoznpodarou"/>
        </w:rPr>
        <w:footnoteReference w:id="55"/>
      </w:r>
      <w:r>
        <w:t xml:space="preserve"> Lodewyk, Winne a Jamieson-Noelová (2009) rozlišují mezi dobře strukturovanými učebnímu úlohami a neúplně strukturovanými učebními úlohami.</w:t>
      </w:r>
    </w:p>
    <w:p w:rsidR="003803D5" w:rsidRDefault="003803D5" w:rsidP="00FE68D6">
      <w:pPr>
        <w:numPr>
          <w:ilvl w:val="0"/>
          <w:numId w:val="25"/>
        </w:numPr>
        <w:spacing w:after="120" w:line="276" w:lineRule="auto"/>
        <w:jc w:val="both"/>
      </w:pPr>
      <w:r>
        <w:t>Konvergentní dobře strukturované učební úlohy jsou jednoznačně zadány. Je hledán jeden způsob řešení, který v případě možnosti volby z více odpovědí nemusí být ihned zřejmý.</w:t>
      </w:r>
    </w:p>
    <w:p w:rsidR="003803D5" w:rsidRDefault="003803D5" w:rsidP="00FE68D6">
      <w:pPr>
        <w:numPr>
          <w:ilvl w:val="0"/>
          <w:numId w:val="25"/>
        </w:numPr>
        <w:spacing w:after="120" w:line="276" w:lineRule="auto"/>
        <w:jc w:val="both"/>
      </w:pPr>
      <w:r>
        <w:t>Divergentní dobře strukturované učební úlohy jsou jednoznačně zadány, ale mohou mít více možných způsobů řešení. Žáci jsou zpravidla na tuto možnost upozorněni.</w:t>
      </w:r>
    </w:p>
    <w:p w:rsidR="003803D5" w:rsidRDefault="003803D5" w:rsidP="00FE68D6">
      <w:pPr>
        <w:numPr>
          <w:ilvl w:val="0"/>
          <w:numId w:val="25"/>
        </w:numPr>
        <w:spacing w:after="120" w:line="276" w:lineRule="auto"/>
        <w:jc w:val="both"/>
      </w:pPr>
      <w:r>
        <w:t>Divergentní neúplně strukturované učební úlohy informují žáky o určitém problému, není ovšem položena jednoznačná otázka nebo pokyn k jednání. Otázka v sobě implicitně obsahuje více možných otázek a samotná problémová situace je výzvou k jednání. Z toho pochopitelně vyplývá více možných řešení.</w:t>
      </w:r>
    </w:p>
    <w:p w:rsidR="00683165" w:rsidRPr="001B6D7E" w:rsidRDefault="00683165" w:rsidP="00067841">
      <w:pPr>
        <w:spacing w:after="120" w:line="276" w:lineRule="auto"/>
        <w:jc w:val="both"/>
      </w:pPr>
      <w:r>
        <w:t xml:space="preserve">Problémová úloha by měla zpravidla reprezentovat určitou životní situaci, poměrně snadno upoutávající pozornost žák a vycházející z jejich zájmů a zkušeností. V každé situaci by se měla nacházet jedna nebo více obtíží, o jejichž eliminaci by žák měl usilovat. Pochopení obtíží je východiskem pro identifikaci problémů a formulování hypotéz (předpokládaných řešení). Celý proces je zakončen vyřešením problémů, které se mohou dále dynamicky rozvíjet. </w:t>
      </w:r>
    </w:p>
    <w:p w:rsidR="00683165" w:rsidRDefault="00683165" w:rsidP="00067841">
      <w:pPr>
        <w:spacing w:after="120" w:line="276" w:lineRule="auto"/>
        <w:jc w:val="both"/>
      </w:pPr>
      <w:r w:rsidRPr="001B6D7E">
        <w:t xml:space="preserve">Zásadní diskuse, která se v současnosti odehrává v odborné literatuře, se týká odlišení problémové úlohy a běžné (tzn. neproblémové) úlohy. V kap. </w:t>
      </w:r>
      <w:r w:rsidR="001B6D7E" w:rsidRPr="001B6D7E">
        <w:t>1.5.3</w:t>
      </w:r>
      <w:r w:rsidRPr="001B6D7E">
        <w:t xml:space="preserve"> uvádíme, že řešení problémů lze chápat jako kombinaci různých poznávacích a motivačních procesů</w:t>
      </w:r>
      <w:r w:rsidRPr="009222B9">
        <w:t>, které jsou koordinovány a využívány za účelem splnění určitého cíle, jehož nemůže být dosaženo jednoduchou aplikací známého postupu nebo vzorce</w:t>
      </w:r>
      <w:r w:rsidRPr="006C762E">
        <w:t>. Z toho vyplývá, že proces řešení</w:t>
      </w:r>
      <w:r>
        <w:t xml:space="preserve"> problému a problémové myšlení se odehrává pouze v případě jednání v neznámých situacích – většina problémů je tedy ryze subjektivních. Jakmile nějaký žák již předem zná řešení určité problémové situace, nebude pro něj tato situace představovat problémovou úlohu, ale bude se v jeho případě jednat pouze o rutinní úlohu (</w:t>
      </w:r>
      <w:r w:rsidR="00830A5C">
        <w:t xml:space="preserve">podrobněji viz </w:t>
      </w:r>
      <w:r>
        <w:t>Ullrich, 2005, s. 79). Pokud ale druhý žák nebude v totožné situaci znát postup vedoucí k jejímu vyřešení, z jeho pohledu lze hovořit o problému (srov. obr</w:t>
      </w:r>
      <w:r w:rsidRPr="00460093">
        <w:t xml:space="preserve">. </w:t>
      </w:r>
      <w:r w:rsidR="00460093" w:rsidRPr="00460093">
        <w:t>9</w:t>
      </w:r>
      <w:r w:rsidR="00830A5C">
        <w:t>; na stejnou skutečnost jsme již upozornili v kap. 1.5.4</w:t>
      </w:r>
      <w:r w:rsidR="00EF5826">
        <w:t xml:space="preserve"> v souvislosti s klasifikací problémových situací</w:t>
      </w:r>
      <w:r w:rsidRPr="00460093">
        <w:t>).</w:t>
      </w:r>
      <w:r>
        <w:t xml:space="preserve"> Zdařilý příklad rozlišení uvedených dvou přístupů uvádí Abele a kol. (2012, s. 366), když upozorňuje, že například šachoví začátečníci znají hlavní cíl svého jednání (tj. dát mat soupeři), ale pro dosažení svého cíle nejprve musí vyvinout operátory (tj. seznámit se například s pravidly tahu jednotlivých šachových figur). Šachový expert již potřebné operátory ovládá, a šachová partie se tak pro něj do určitého okamžiku stává pouhou rutinní úlohou. Dílčí operátory postupně utvářejí shrnující metaoperátory a dosavadní problémy jsou degradovány na rutinní úlohy, a zároveň se objevují problémy nové. </w:t>
      </w:r>
    </w:p>
    <w:p w:rsidR="00A720FB" w:rsidRDefault="00A720FB" w:rsidP="00067841">
      <w:pPr>
        <w:spacing w:after="120" w:line="276" w:lineRule="auto"/>
        <w:jc w:val="both"/>
      </w:pPr>
    </w:p>
    <w:p w:rsidR="00683165" w:rsidRDefault="00683165" w:rsidP="00683165">
      <w:pPr>
        <w:spacing w:after="120" w:line="360" w:lineRule="auto"/>
        <w:jc w:val="both"/>
      </w:pPr>
      <w:r>
        <w:t xml:space="preserve">   </w:t>
      </w:r>
      <w:r w:rsidR="00787159">
        <w:rPr>
          <w:noProof/>
        </w:rPr>
        <w:drawing>
          <wp:inline distT="0" distB="0" distL="0" distR="0">
            <wp:extent cx="4434196" cy="6247475"/>
            <wp:effectExtent l="19050" t="0" r="4454" b="0"/>
            <wp:docPr id="19" name="Obrázek 18" descr="fáze řešení jaz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áze řešení jazyk.PNG"/>
                    <pic:cNvPicPr/>
                  </pic:nvPicPr>
                  <pic:blipFill>
                    <a:blip r:embed="rId20" cstate="print"/>
                    <a:stretch>
                      <a:fillRect/>
                    </a:stretch>
                  </pic:blipFill>
                  <pic:spPr>
                    <a:xfrm>
                      <a:off x="0" y="0"/>
                      <a:ext cx="4440145" cy="6255857"/>
                    </a:xfrm>
                    <a:prstGeom prst="rect">
                      <a:avLst/>
                    </a:prstGeom>
                  </pic:spPr>
                </pic:pic>
              </a:graphicData>
            </a:graphic>
          </wp:inline>
        </w:drawing>
      </w:r>
    </w:p>
    <w:p w:rsidR="00683165" w:rsidRPr="000E6CEC" w:rsidRDefault="000E6CEC" w:rsidP="000E6CEC">
      <w:pPr>
        <w:pStyle w:val="Titulek"/>
        <w:rPr>
          <w:b w:val="0"/>
        </w:rPr>
      </w:pPr>
      <w:bookmarkStart w:id="46" w:name="_Toc399789147"/>
      <w:r w:rsidRPr="000E6CEC">
        <w:rPr>
          <w:b w:val="0"/>
          <w:i/>
          <w:sz w:val="24"/>
        </w:rPr>
        <w:t xml:space="preserve">Obrázek </w:t>
      </w:r>
      <w:r w:rsidR="003818A1" w:rsidRPr="000E6CEC">
        <w:rPr>
          <w:b w:val="0"/>
          <w:i/>
          <w:sz w:val="24"/>
        </w:rPr>
        <w:fldChar w:fldCharType="begin"/>
      </w:r>
      <w:r w:rsidRPr="000E6CEC">
        <w:rPr>
          <w:b w:val="0"/>
          <w:i/>
          <w:sz w:val="24"/>
        </w:rPr>
        <w:instrText xml:space="preserve"> SEQ Obrázek \* ARABIC </w:instrText>
      </w:r>
      <w:r w:rsidR="003818A1" w:rsidRPr="000E6CEC">
        <w:rPr>
          <w:b w:val="0"/>
          <w:i/>
          <w:sz w:val="24"/>
        </w:rPr>
        <w:fldChar w:fldCharType="separate"/>
      </w:r>
      <w:r w:rsidR="00FB20B9">
        <w:rPr>
          <w:b w:val="0"/>
          <w:i/>
          <w:noProof/>
          <w:sz w:val="24"/>
        </w:rPr>
        <w:t>9</w:t>
      </w:r>
      <w:r w:rsidR="003818A1" w:rsidRPr="000E6CEC">
        <w:rPr>
          <w:b w:val="0"/>
          <w:i/>
          <w:sz w:val="24"/>
        </w:rPr>
        <w:fldChar w:fldCharType="end"/>
      </w:r>
      <w:r w:rsidRPr="000E6CEC">
        <w:rPr>
          <w:b w:val="0"/>
          <w:i/>
          <w:sz w:val="24"/>
        </w:rPr>
        <w:t xml:space="preserve">. </w:t>
      </w:r>
      <w:r w:rsidRPr="000E6CEC">
        <w:rPr>
          <w:b w:val="0"/>
          <w:sz w:val="24"/>
        </w:rPr>
        <w:t>I</w:t>
      </w:r>
      <w:r w:rsidR="00683165" w:rsidRPr="000E6CEC">
        <w:rPr>
          <w:b w:val="0"/>
          <w:sz w:val="24"/>
        </w:rPr>
        <w:t xml:space="preserve">deálně typický postup řešení problémové </w:t>
      </w:r>
      <w:r w:rsidR="00EF5826">
        <w:rPr>
          <w:b w:val="0"/>
          <w:sz w:val="24"/>
        </w:rPr>
        <w:t xml:space="preserve">učební </w:t>
      </w:r>
      <w:r w:rsidR="00683165" w:rsidRPr="000E6CEC">
        <w:rPr>
          <w:b w:val="0"/>
          <w:sz w:val="24"/>
        </w:rPr>
        <w:t>úlohy a jeho členění do dílčích fází.</w:t>
      </w:r>
      <w:bookmarkEnd w:id="46"/>
      <w:r w:rsidR="00683165" w:rsidRPr="000E6CEC">
        <w:rPr>
          <w:b w:val="0"/>
          <w:sz w:val="24"/>
        </w:rPr>
        <w:t xml:space="preserve"> </w:t>
      </w:r>
    </w:p>
    <w:p w:rsidR="00787159" w:rsidRDefault="00787159" w:rsidP="001C4FBB">
      <w:pPr>
        <w:jc w:val="both"/>
      </w:pPr>
    </w:p>
    <w:p w:rsidR="00825946" w:rsidRPr="00291B24" w:rsidRDefault="00291B24" w:rsidP="007E4676">
      <w:pPr>
        <w:pStyle w:val="Nadpis3"/>
      </w:pPr>
      <w:bookmarkStart w:id="47" w:name="_Toc399775408"/>
      <w:r w:rsidRPr="00291B24">
        <w:t>Vnitřní pohled na problémovou učební úlohu</w:t>
      </w:r>
      <w:bookmarkEnd w:id="47"/>
    </w:p>
    <w:p w:rsidR="007E4676" w:rsidRDefault="007E4676" w:rsidP="007E4676">
      <w:pPr>
        <w:spacing w:after="120" w:line="276" w:lineRule="auto"/>
        <w:jc w:val="both"/>
      </w:pPr>
      <w:r>
        <w:t>Problémová učební úloha by měla obsahovat věcný cíl, formální cíle, vstupní a výstupní předpoklady a objekt. Věcný cíl udává požadovaný stav cílové situace. Formální cíle se vztahují k účinnosti a efektivitě procesu řešení problému. Objekt je nějaký výřez reality, který má být transformován do cílového stavu. Řešení problémové úlohy nastává v případě, že se problém projeví (vstupní předpoklady). Po úspěšném vyřešení problémové úlohy je dosažen požadovaný cílový stav (výstupní předpoklady).</w:t>
      </w:r>
      <w:r w:rsidRPr="00C94B02">
        <w:t xml:space="preserve"> </w:t>
      </w:r>
      <w:r>
        <w:t xml:space="preserve">Na začátku řešení problémové úlohy řídící procesy plánují a konstruují vhodný postup jejího řešení. S pomocí nositelů výkonové úlohy je proveden proces řešení problému (plánování, řízení a kontrola jednotlivých činností), přičemž se skrze jednotlivé činnosti subjektu mění výřez reality vztažený k řešenému problému. Konkrétní seřazení jednotlivých činností se odvíjí od konkrétní problémové situace. To umožňuje flexibilně reagovat na nepředvídané stavy výřezu reality. Důležité je, že žádné činnosti nejsou systematicky vynechávány. Proto je nutné procesy v obou úrovních (řídící a výkonové úlohy) vzájemně propojovat (podrobněji viz Ullrich, 2005, s. 86; srov. také obr. </w:t>
      </w:r>
      <w:r w:rsidR="00603E67">
        <w:t>10</w:t>
      </w:r>
      <w:r>
        <w:t>).</w:t>
      </w:r>
    </w:p>
    <w:p w:rsidR="000E6CEC" w:rsidRDefault="00291B24" w:rsidP="000E6CEC">
      <w:pPr>
        <w:pStyle w:val="Seznamsodrkami"/>
        <w:numPr>
          <w:ilvl w:val="0"/>
          <w:numId w:val="0"/>
        </w:numPr>
        <w:spacing w:after="120" w:line="276" w:lineRule="auto"/>
        <w:jc w:val="both"/>
      </w:pPr>
      <w:r>
        <w:t xml:space="preserve">Základní charakteristikou problémové učební úlohy je její rozložitelnost do určitého množství dílčích úloh. V prvním kroku je nutné úlohu rozdělit na </w:t>
      </w:r>
      <w:r w:rsidR="00A94BC4">
        <w:t>řídící úlohu</w:t>
      </w:r>
      <w:r w:rsidR="006C61C3">
        <w:t xml:space="preserve"> </w:t>
      </w:r>
      <w:r w:rsidR="00A94BC4">
        <w:t xml:space="preserve">(něm. </w:t>
      </w:r>
      <w:r w:rsidR="00A94BC4" w:rsidRPr="00740363">
        <w:rPr>
          <w:i/>
        </w:rPr>
        <w:t>Lenkungsaufgabe</w:t>
      </w:r>
      <w:r w:rsidR="00A94BC4">
        <w:t>)</w:t>
      </w:r>
      <w:r w:rsidR="0046121F">
        <w:t xml:space="preserve"> a </w:t>
      </w:r>
      <w:r w:rsidR="006C61C3">
        <w:t>výkonovou úlohu</w:t>
      </w:r>
      <w:r w:rsidR="00740363">
        <w:t xml:space="preserve"> </w:t>
      </w:r>
      <w:r w:rsidR="00A94BC4">
        <w:t xml:space="preserve">(něm. </w:t>
      </w:r>
      <w:r w:rsidR="0046121F" w:rsidRPr="00740363">
        <w:rPr>
          <w:i/>
        </w:rPr>
        <w:t>Leistungsaufgabe</w:t>
      </w:r>
      <w:r w:rsidR="00A94BC4">
        <w:t>)</w:t>
      </w:r>
      <w:r w:rsidR="0046121F">
        <w:t xml:space="preserve">. </w:t>
      </w:r>
      <w:r w:rsidR="00A94BC4">
        <w:t>Řídící</w:t>
      </w:r>
      <w:r w:rsidR="0046121F">
        <w:t xml:space="preserve"> (neboli akomoda</w:t>
      </w:r>
      <w:r w:rsidR="00A94BC4">
        <w:t xml:space="preserve">ční </w:t>
      </w:r>
      <w:r w:rsidR="0046121F">
        <w:t xml:space="preserve">úloha) slouží k přizpůsobení se a konstrukci schémat jednání. Korespondující </w:t>
      </w:r>
      <w:r w:rsidR="00A94BC4">
        <w:t>výkonová úloha</w:t>
      </w:r>
      <w:r w:rsidR="0046121F">
        <w:t xml:space="preserve"> (neboli </w:t>
      </w:r>
      <w:r w:rsidR="002E7029">
        <w:t>úloha determinující jednání</w:t>
      </w:r>
      <w:r w:rsidR="0046121F">
        <w:t xml:space="preserve">) </w:t>
      </w:r>
      <w:r w:rsidR="00A94BC4">
        <w:t>orientuje</w:t>
      </w:r>
      <w:r w:rsidR="0092219C">
        <w:t xml:space="preserve"> na základě</w:t>
      </w:r>
      <w:r w:rsidR="002E7029">
        <w:t xml:space="preserve"> dostupných</w:t>
      </w:r>
      <w:r w:rsidR="0092219C">
        <w:t xml:space="preserve"> schémat jednání postupy směřující ke změnám výřezu reality relevantního k problému. Typickou charakteristikou problémových úloh je, že pro </w:t>
      </w:r>
      <w:r w:rsidR="002E7029">
        <w:t>výkonovou úlohu</w:t>
      </w:r>
      <w:r w:rsidR="00C301F2">
        <w:t xml:space="preserve"> nejprve neex</w:t>
      </w:r>
      <w:r w:rsidR="00761854">
        <w:t>i</w:t>
      </w:r>
      <w:r w:rsidR="00C301F2">
        <w:t xml:space="preserve">stuje žádný postup řešení. Cílem </w:t>
      </w:r>
      <w:r w:rsidR="002E7029">
        <w:t>řídící úlohy</w:t>
      </w:r>
      <w:r w:rsidR="00496763">
        <w:t xml:space="preserve"> </w:t>
      </w:r>
      <w:r w:rsidR="00C301F2">
        <w:t>je proto najít vhodný postup řeše</w:t>
      </w:r>
      <w:r w:rsidR="004A63C0">
        <w:t>ní vyplývající z problémov</w:t>
      </w:r>
      <w:r w:rsidR="00C301F2">
        <w:t xml:space="preserve">é situace a následně ho implementovat. </w:t>
      </w:r>
      <w:r w:rsidR="002E7029">
        <w:t>Řídící úloha</w:t>
      </w:r>
      <w:r w:rsidR="00C301F2">
        <w:t xml:space="preserve"> může být následně </w:t>
      </w:r>
      <w:r w:rsidR="005322E0">
        <w:t>rozložena do následujících dílčích úloh:</w:t>
      </w:r>
    </w:p>
    <w:p w:rsidR="000E6CEC" w:rsidRDefault="005322E0" w:rsidP="00FE68D6">
      <w:pPr>
        <w:pStyle w:val="Seznamsodrkami"/>
        <w:numPr>
          <w:ilvl w:val="0"/>
          <w:numId w:val="34"/>
        </w:numPr>
        <w:spacing w:after="120" w:line="276" w:lineRule="auto"/>
        <w:jc w:val="both"/>
      </w:pPr>
      <w:r>
        <w:t xml:space="preserve">Plánování </w:t>
      </w:r>
      <w:r w:rsidR="006667A1">
        <w:t>výkonové úlohy</w:t>
      </w:r>
      <w:r>
        <w:t xml:space="preserve"> – specifikuje postup řešení </w:t>
      </w:r>
      <w:r w:rsidR="006667A1">
        <w:t>výkonové úlohy</w:t>
      </w:r>
      <w:r w:rsidR="007E4676">
        <w:t>.</w:t>
      </w:r>
    </w:p>
    <w:p w:rsidR="005322E0" w:rsidRDefault="007E4676" w:rsidP="00FE68D6">
      <w:pPr>
        <w:pStyle w:val="Seznamsodrkami"/>
        <w:numPr>
          <w:ilvl w:val="0"/>
          <w:numId w:val="34"/>
        </w:numPr>
        <w:spacing w:after="120" w:line="276" w:lineRule="auto"/>
        <w:jc w:val="both"/>
      </w:pPr>
      <w:r>
        <w:t>Ř</w:t>
      </w:r>
      <w:r w:rsidR="005322E0">
        <w:t xml:space="preserve">ízení </w:t>
      </w:r>
      <w:r w:rsidR="006667A1">
        <w:t>výkonové úlohy</w:t>
      </w:r>
      <w:r w:rsidR="00761854">
        <w:t xml:space="preserve"> – </w:t>
      </w:r>
      <w:r w:rsidR="00B8658B">
        <w:t xml:space="preserve">s pomocí </w:t>
      </w:r>
      <w:r w:rsidR="00761854">
        <w:t xml:space="preserve">řídících </w:t>
      </w:r>
      <w:r w:rsidR="00B8658B">
        <w:t xml:space="preserve">transakcí je implementován </w:t>
      </w:r>
      <w:r w:rsidR="00761854">
        <w:t>po</w:t>
      </w:r>
      <w:r w:rsidR="00B8658B">
        <w:t>stup</w:t>
      </w:r>
      <w:r w:rsidR="00761854">
        <w:t xml:space="preserve"> řešení</w:t>
      </w:r>
      <w:r>
        <w:t>.</w:t>
      </w:r>
    </w:p>
    <w:p w:rsidR="002242DA" w:rsidRPr="007E4676" w:rsidRDefault="007E4676" w:rsidP="00FE68D6">
      <w:pPr>
        <w:pStyle w:val="Seznamsodrkami"/>
        <w:numPr>
          <w:ilvl w:val="0"/>
          <w:numId w:val="34"/>
        </w:numPr>
        <w:spacing w:after="120" w:line="276" w:lineRule="auto"/>
        <w:jc w:val="both"/>
      </w:pPr>
      <w:r>
        <w:t>K</w:t>
      </w:r>
      <w:r w:rsidR="005322E0">
        <w:t xml:space="preserve">ontrola </w:t>
      </w:r>
      <w:r w:rsidR="006667A1">
        <w:t xml:space="preserve">výkonové </w:t>
      </w:r>
      <w:r w:rsidR="00240B4C">
        <w:t>úlohy – slouží</w:t>
      </w:r>
      <w:r w:rsidR="00B8658B">
        <w:t xml:space="preserve"> ke zpětné kontrole postupu řešení vzhledem</w:t>
      </w:r>
      <w:r w:rsidR="006667A1">
        <w:t xml:space="preserve"> ke stanoveným cílům. Pokud se výsledky liší od očekávání</w:t>
      </w:r>
      <w:r w:rsidR="00B8658B">
        <w:t>, musí se postupy řešení (resp. souvisejíc schémata jednání) patřičně revidovat. Tyto změny se uskutečňují v rá</w:t>
      </w:r>
      <w:r w:rsidR="006667A1">
        <w:t>m</w:t>
      </w:r>
      <w:r w:rsidR="00B8658B">
        <w:t xml:space="preserve">ci řídící úlohy. </w:t>
      </w:r>
    </w:p>
    <w:p w:rsidR="002242DA" w:rsidRDefault="00791F21" w:rsidP="007E4676">
      <w:pPr>
        <w:spacing w:after="120" w:line="276" w:lineRule="auto"/>
        <w:jc w:val="both"/>
        <w:rPr>
          <w:highlight w:val="yellow"/>
        </w:rPr>
      </w:pPr>
      <w:r>
        <w:rPr>
          <w:noProof/>
        </w:rPr>
        <w:drawing>
          <wp:inline distT="0" distB="0" distL="0" distR="0">
            <wp:extent cx="4941139" cy="2521778"/>
            <wp:effectExtent l="19050" t="0" r="0" b="0"/>
            <wp:docPr id="16" name="Obrázek 15" descr="Obrázek 08 - vnitřní struktura uč. úloh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08 - vnitřní struktura uč. úlohy.png"/>
                    <pic:cNvPicPr/>
                  </pic:nvPicPr>
                  <pic:blipFill>
                    <a:blip r:embed="rId21" cstate="print"/>
                    <a:stretch>
                      <a:fillRect/>
                    </a:stretch>
                  </pic:blipFill>
                  <pic:spPr>
                    <a:xfrm>
                      <a:off x="0" y="0"/>
                      <a:ext cx="4940111" cy="2521254"/>
                    </a:xfrm>
                    <a:prstGeom prst="rect">
                      <a:avLst/>
                    </a:prstGeom>
                  </pic:spPr>
                </pic:pic>
              </a:graphicData>
            </a:graphic>
          </wp:inline>
        </w:drawing>
      </w:r>
    </w:p>
    <w:p w:rsidR="00791F21" w:rsidRPr="000E6CEC" w:rsidRDefault="000E6CEC" w:rsidP="000E6CEC">
      <w:pPr>
        <w:pStyle w:val="Titulek"/>
        <w:rPr>
          <w:sz w:val="24"/>
        </w:rPr>
      </w:pPr>
      <w:bookmarkStart w:id="48" w:name="_Toc399789148"/>
      <w:r w:rsidRPr="000E6CEC">
        <w:rPr>
          <w:b w:val="0"/>
          <w:i/>
          <w:sz w:val="24"/>
        </w:rPr>
        <w:t xml:space="preserve">Obrázek </w:t>
      </w:r>
      <w:r w:rsidR="003818A1" w:rsidRPr="000E6CEC">
        <w:rPr>
          <w:b w:val="0"/>
          <w:i/>
          <w:sz w:val="24"/>
        </w:rPr>
        <w:fldChar w:fldCharType="begin"/>
      </w:r>
      <w:r w:rsidRPr="000E6CEC">
        <w:rPr>
          <w:b w:val="0"/>
          <w:i/>
          <w:sz w:val="24"/>
        </w:rPr>
        <w:instrText xml:space="preserve"> SEQ Obrázek \* ARABIC </w:instrText>
      </w:r>
      <w:r w:rsidR="003818A1" w:rsidRPr="000E6CEC">
        <w:rPr>
          <w:b w:val="0"/>
          <w:i/>
          <w:sz w:val="24"/>
        </w:rPr>
        <w:fldChar w:fldCharType="separate"/>
      </w:r>
      <w:r w:rsidR="00FB20B9">
        <w:rPr>
          <w:b w:val="0"/>
          <w:i/>
          <w:noProof/>
          <w:sz w:val="24"/>
        </w:rPr>
        <w:t>10</w:t>
      </w:r>
      <w:r w:rsidR="003818A1" w:rsidRPr="000E6CEC">
        <w:rPr>
          <w:b w:val="0"/>
          <w:i/>
          <w:sz w:val="24"/>
        </w:rPr>
        <w:fldChar w:fldCharType="end"/>
      </w:r>
      <w:r w:rsidRPr="000E6CEC">
        <w:rPr>
          <w:b w:val="0"/>
          <w:i/>
          <w:sz w:val="24"/>
        </w:rPr>
        <w:t>.</w:t>
      </w:r>
      <w:r w:rsidRPr="000E6CEC">
        <w:rPr>
          <w:i/>
          <w:sz w:val="24"/>
        </w:rPr>
        <w:t xml:space="preserve"> </w:t>
      </w:r>
      <w:r w:rsidR="00791F21" w:rsidRPr="000E6CEC">
        <w:rPr>
          <w:b w:val="0"/>
          <w:sz w:val="24"/>
        </w:rPr>
        <w:t>Vnitřní pohled na učební úlohu</w:t>
      </w:r>
      <w:r w:rsidRPr="000E6CEC">
        <w:rPr>
          <w:b w:val="0"/>
          <w:sz w:val="24"/>
        </w:rPr>
        <w:t>.</w:t>
      </w:r>
      <w:bookmarkEnd w:id="48"/>
      <w:r w:rsidR="00791F21" w:rsidRPr="000E6CEC">
        <w:rPr>
          <w:sz w:val="24"/>
        </w:rPr>
        <w:t xml:space="preserve"> </w:t>
      </w:r>
    </w:p>
    <w:p w:rsidR="00791F21" w:rsidRPr="00791F21" w:rsidRDefault="000E6CEC" w:rsidP="00791F21">
      <w:pPr>
        <w:spacing w:after="120" w:line="276" w:lineRule="auto"/>
        <w:jc w:val="both"/>
      </w:pPr>
      <w:r>
        <w:rPr>
          <w:sz w:val="20"/>
        </w:rPr>
        <w:t xml:space="preserve">Pozn. Převzato z </w:t>
      </w:r>
      <w:r w:rsidR="00791F21" w:rsidRPr="00791F21">
        <w:rPr>
          <w:sz w:val="20"/>
        </w:rPr>
        <w:t xml:space="preserve">Ullrich (2005, s. 86). </w:t>
      </w:r>
      <w:r w:rsidRPr="00791F21">
        <w:rPr>
          <w:sz w:val="20"/>
        </w:rPr>
        <w:t>Obrázek je publikován se souhlasem majitele autorských práv.</w:t>
      </w:r>
      <w:r>
        <w:rPr>
          <w:sz w:val="20"/>
        </w:rPr>
        <w:t xml:space="preserve"> </w:t>
      </w:r>
      <w:r w:rsidR="00791F21" w:rsidRPr="00791F21">
        <w:rPr>
          <w:sz w:val="20"/>
        </w:rPr>
        <w:t>©</w:t>
      </w:r>
      <w:r w:rsidRPr="000E6CEC">
        <w:rPr>
          <w:sz w:val="20"/>
        </w:rPr>
        <w:t xml:space="preserve"> </w:t>
      </w:r>
      <w:r w:rsidR="00791F21" w:rsidRPr="00791F21">
        <w:rPr>
          <w:sz w:val="20"/>
        </w:rPr>
        <w:t xml:space="preserve">Springer, 2005. </w:t>
      </w:r>
    </w:p>
    <w:p w:rsidR="000F2E2A" w:rsidRDefault="000F2E2A" w:rsidP="000F2E2A">
      <w:pPr>
        <w:spacing w:after="120" w:line="276" w:lineRule="auto"/>
        <w:jc w:val="both"/>
      </w:pPr>
    </w:p>
    <w:p w:rsidR="00D66F2E" w:rsidRDefault="00844C0E" w:rsidP="000F2E2A">
      <w:pPr>
        <w:pStyle w:val="Nadpis3"/>
        <w:spacing w:before="0" w:after="120"/>
        <w:jc w:val="both"/>
      </w:pPr>
      <w:bookmarkStart w:id="49" w:name="_Toc399775409"/>
      <w:r>
        <w:t>Proces řešení problémových úloh</w:t>
      </w:r>
      <w:bookmarkEnd w:id="49"/>
    </w:p>
    <w:p w:rsidR="00C3499C" w:rsidRDefault="00ED3218" w:rsidP="000F2E2A">
      <w:pPr>
        <w:spacing w:after="120" w:line="276" w:lineRule="auto"/>
        <w:jc w:val="both"/>
      </w:pPr>
      <w:r>
        <w:t xml:space="preserve">Přestože se ve </w:t>
      </w:r>
      <w:r w:rsidR="007E2B2B">
        <w:t>výzkumném</w:t>
      </w:r>
      <w:r>
        <w:t xml:space="preserve"> šetření popisovaném v této práci </w:t>
      </w:r>
      <w:r w:rsidR="008A627B">
        <w:t xml:space="preserve">přímo </w:t>
      </w:r>
      <w:r>
        <w:t xml:space="preserve">nevěnujeme procesu řešení </w:t>
      </w:r>
      <w:r w:rsidR="008A627B">
        <w:t xml:space="preserve">problémových učebních úloh, </w:t>
      </w:r>
      <w:r>
        <w:t xml:space="preserve">z důvodu zachování ucelenosti problematiky pokládáme za užitečné věnovat </w:t>
      </w:r>
      <w:r w:rsidR="008A627B">
        <w:t>tomuto tématu</w:t>
      </w:r>
      <w:r>
        <w:t xml:space="preserve"> adekvátní prostor. </w:t>
      </w:r>
      <w:r w:rsidR="006B52F8">
        <w:t>Existuje celá řada klasifikací dílčích kroků řešení problémů a problémových úloh (podrobněji viz Walton &amp; Matthews, 1989)</w:t>
      </w:r>
      <w:r w:rsidR="00DC0B7F">
        <w:t xml:space="preserve">, které se odlišují především v míře </w:t>
      </w:r>
      <w:r w:rsidR="00C3499C">
        <w:t xml:space="preserve">obecnosti. Jako ideálně typický model procesu řešení problémových úloh považujeme </w:t>
      </w:r>
      <w:r w:rsidR="004A2D04">
        <w:t>cyklus řešení problémů dle</w:t>
      </w:r>
      <w:r w:rsidR="00C3499C">
        <w:t xml:space="preserve"> Sternberga (2002, s. 387), jenž zdařile integruje většinu nám známých klasifikací postupů řešení problémů. Sternberg rozlišuje následující fáze cyklu řešení problémů: identifikace problému, definování problému, formul</w:t>
      </w:r>
      <w:r w:rsidR="004A2D04">
        <w:t>ování strategie, organizace inf</w:t>
      </w:r>
      <w:r w:rsidR="00C3499C">
        <w:t>o</w:t>
      </w:r>
      <w:r w:rsidR="004A2D04">
        <w:t>r</w:t>
      </w:r>
      <w:r w:rsidR="00C3499C">
        <w:t>mací, rozvržení zdrojů, monitorování (průběžná kontrola) a zhodnocení</w:t>
      </w:r>
      <w:r w:rsidR="00C3499C" w:rsidRPr="00603E67">
        <w:t xml:space="preserve"> (viz obr. </w:t>
      </w:r>
      <w:r w:rsidR="00603E67" w:rsidRPr="00603E67">
        <w:t>11</w:t>
      </w:r>
      <w:r w:rsidR="00C3499C" w:rsidRPr="00791F21">
        <w:t>).</w:t>
      </w:r>
      <w:r w:rsidR="001C1FE3" w:rsidRPr="001C1FE3">
        <w:rPr>
          <w:rStyle w:val="Znakapoznpodarou"/>
        </w:rPr>
        <w:t xml:space="preserve"> </w:t>
      </w:r>
    </w:p>
    <w:p w:rsidR="001C1FE3" w:rsidRDefault="001C1FE3" w:rsidP="000F2E2A">
      <w:pPr>
        <w:spacing w:after="120" w:line="276" w:lineRule="auto"/>
        <w:jc w:val="both"/>
      </w:pPr>
    </w:p>
    <w:p w:rsidR="00710E03" w:rsidRDefault="00791F21" w:rsidP="00791F21">
      <w:pPr>
        <w:spacing w:after="120"/>
      </w:pPr>
      <w:r>
        <w:rPr>
          <w:noProof/>
        </w:rPr>
        <w:drawing>
          <wp:inline distT="0" distB="0" distL="0" distR="0">
            <wp:extent cx="4251026" cy="2570300"/>
            <wp:effectExtent l="19050" t="0" r="0" b="0"/>
            <wp:docPr id="20" name="Obrázek 19" descr="Obrázek 06_sternber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06_sternberg.png"/>
                    <pic:cNvPicPr/>
                  </pic:nvPicPr>
                  <pic:blipFill>
                    <a:blip r:embed="rId22" cstate="print"/>
                    <a:stretch>
                      <a:fillRect/>
                    </a:stretch>
                  </pic:blipFill>
                  <pic:spPr>
                    <a:xfrm>
                      <a:off x="0" y="0"/>
                      <a:ext cx="4250142" cy="2569765"/>
                    </a:xfrm>
                    <a:prstGeom prst="rect">
                      <a:avLst/>
                    </a:prstGeom>
                  </pic:spPr>
                </pic:pic>
              </a:graphicData>
            </a:graphic>
          </wp:inline>
        </w:drawing>
      </w:r>
    </w:p>
    <w:p w:rsidR="001C1FE3" w:rsidRPr="001C1FE3" w:rsidRDefault="001C1FE3" w:rsidP="001C1FE3">
      <w:pPr>
        <w:pStyle w:val="Titulek"/>
        <w:rPr>
          <w:b w:val="0"/>
        </w:rPr>
      </w:pPr>
      <w:bookmarkStart w:id="50" w:name="_Toc399789149"/>
      <w:r w:rsidRPr="001C1FE3">
        <w:rPr>
          <w:b w:val="0"/>
          <w:i/>
          <w:sz w:val="24"/>
        </w:rPr>
        <w:t xml:space="preserve">Obrázek </w:t>
      </w:r>
      <w:r w:rsidR="003818A1" w:rsidRPr="001C1FE3">
        <w:rPr>
          <w:b w:val="0"/>
          <w:i/>
          <w:sz w:val="24"/>
        </w:rPr>
        <w:fldChar w:fldCharType="begin"/>
      </w:r>
      <w:r w:rsidRPr="001C1FE3">
        <w:rPr>
          <w:b w:val="0"/>
          <w:i/>
          <w:sz w:val="24"/>
        </w:rPr>
        <w:instrText xml:space="preserve"> SEQ Obrázek \* ARABIC </w:instrText>
      </w:r>
      <w:r w:rsidR="003818A1" w:rsidRPr="001C1FE3">
        <w:rPr>
          <w:b w:val="0"/>
          <w:i/>
          <w:sz w:val="24"/>
        </w:rPr>
        <w:fldChar w:fldCharType="separate"/>
      </w:r>
      <w:r w:rsidR="00FB20B9">
        <w:rPr>
          <w:b w:val="0"/>
          <w:i/>
          <w:noProof/>
          <w:sz w:val="24"/>
        </w:rPr>
        <w:t>11</w:t>
      </w:r>
      <w:r w:rsidR="003818A1" w:rsidRPr="001C1FE3">
        <w:rPr>
          <w:b w:val="0"/>
          <w:i/>
          <w:sz w:val="24"/>
        </w:rPr>
        <w:fldChar w:fldCharType="end"/>
      </w:r>
      <w:r w:rsidRPr="001C1FE3">
        <w:rPr>
          <w:b w:val="0"/>
          <w:i/>
          <w:sz w:val="24"/>
        </w:rPr>
        <w:t xml:space="preserve">. </w:t>
      </w:r>
      <w:r w:rsidR="00C3499C" w:rsidRPr="001C1FE3">
        <w:rPr>
          <w:b w:val="0"/>
          <w:sz w:val="24"/>
        </w:rPr>
        <w:t>Cyklus řešení problémů</w:t>
      </w:r>
      <w:r w:rsidRPr="001C1FE3">
        <w:rPr>
          <w:b w:val="0"/>
          <w:sz w:val="24"/>
        </w:rPr>
        <w:t>.</w:t>
      </w:r>
      <w:bookmarkEnd w:id="50"/>
    </w:p>
    <w:p w:rsidR="00C3499C" w:rsidRPr="001C1FE3" w:rsidRDefault="001C1FE3" w:rsidP="000F2E2A">
      <w:pPr>
        <w:spacing w:after="120" w:line="276" w:lineRule="auto"/>
        <w:jc w:val="both"/>
        <w:rPr>
          <w:sz w:val="20"/>
        </w:rPr>
      </w:pPr>
      <w:r w:rsidRPr="001C1FE3">
        <w:rPr>
          <w:sz w:val="20"/>
        </w:rPr>
        <w:t>Pozn. U</w:t>
      </w:r>
      <w:r w:rsidR="00C3499C" w:rsidRPr="001C1FE3">
        <w:rPr>
          <w:sz w:val="20"/>
        </w:rPr>
        <w:t>praveno podle Sternberg</w:t>
      </w:r>
      <w:r w:rsidRPr="001C1FE3">
        <w:rPr>
          <w:sz w:val="20"/>
        </w:rPr>
        <w:t xml:space="preserve"> (</w:t>
      </w:r>
      <w:r w:rsidR="00C3499C" w:rsidRPr="001C1FE3">
        <w:rPr>
          <w:sz w:val="20"/>
        </w:rPr>
        <w:t>2002, s. 387)</w:t>
      </w:r>
      <w:r w:rsidRPr="001C1FE3">
        <w:rPr>
          <w:sz w:val="20"/>
        </w:rPr>
        <w:t>.</w:t>
      </w:r>
    </w:p>
    <w:p w:rsidR="00AB0555" w:rsidRDefault="00AB0555" w:rsidP="000F2E2A">
      <w:pPr>
        <w:spacing w:after="120" w:line="276" w:lineRule="auto"/>
        <w:jc w:val="both"/>
        <w:rPr>
          <w:color w:val="FF0000"/>
        </w:rPr>
      </w:pPr>
    </w:p>
    <w:p w:rsidR="00E3065D" w:rsidRDefault="00DF229D" w:rsidP="000F2E2A">
      <w:pPr>
        <w:spacing w:after="120" w:line="276" w:lineRule="auto"/>
        <w:jc w:val="both"/>
      </w:pPr>
      <w:r w:rsidRPr="00DF229D">
        <w:t>Obdobné fáze uvádějí také autoři, kteří se v praktické věnují využití experimentů ve výuce geografie (srov. Otto, Mönter, &amp; Hof, 2011), případně badatelsky orientované výuce geografie (</w:t>
      </w:r>
      <w:r w:rsidR="0053411B">
        <w:t xml:space="preserve">viz </w:t>
      </w:r>
      <w:r w:rsidRPr="00DF229D">
        <w:t xml:space="preserve">Roberts, 2003). Z uvedených fází řešení problémů implicitně vychází také klasifikace základních geografických dovedností definovaná standardy geografického vzdělávání zaváděnými v USA (Bednarz et al., 1994, s. 42–44; klasifikace byla přetištěna také v revidovaném vydání standardů – srov. Heffron, 2012, s. 46). Konkrétně se jedná o: 1) Kladení geografických otázek, 2) získávání geografických informací, 3) organizování geografických informací, č) analyzování geografických informací, 5) zodpovídání geografických otázek. Tyto didaktické přístupy lze považovat za praktickou aplikaci kognitivně psychologických teorií problémového učení ve školním kontextu. </w:t>
      </w:r>
      <w:r w:rsidR="00E3065D">
        <w:t xml:space="preserve">Při úspěšném řešení problémů je důležitá flexibilita. Řazení fází </w:t>
      </w:r>
      <w:r>
        <w:t xml:space="preserve">řešení problémů </w:t>
      </w:r>
      <w:r w:rsidR="00E3065D">
        <w:t xml:space="preserve">(viz </w:t>
      </w:r>
      <w:r>
        <w:t xml:space="preserve">např. </w:t>
      </w:r>
      <w:r w:rsidR="00E3065D">
        <w:t>obr. 11) je uvedeno v ideálně typickém pořadí, nicméně jednotlivé dílčí kroky je možné měnit, přeskakovat apod.</w:t>
      </w:r>
    </w:p>
    <w:p w:rsidR="00D37700" w:rsidRDefault="007002DC" w:rsidP="000F2E2A">
      <w:pPr>
        <w:spacing w:after="120" w:line="276" w:lineRule="auto"/>
        <w:jc w:val="both"/>
      </w:pPr>
      <w:r w:rsidRPr="00D37700">
        <w:t xml:space="preserve">Reusser (2005 s. 164) s odkazem na Deweyho uvádí, že řešení problémů (resp. reflektující myšlení) se odehrává v 5 fázích, které se nerealizují lineárně ale </w:t>
      </w:r>
      <w:r w:rsidRPr="00603E67">
        <w:t xml:space="preserve">rekurzívně (tab. </w:t>
      </w:r>
      <w:r w:rsidR="00603E67" w:rsidRPr="00603E67">
        <w:t>2</w:t>
      </w:r>
      <w:r w:rsidRPr="00603E67">
        <w:t>).</w:t>
      </w:r>
    </w:p>
    <w:p w:rsidR="00603E67" w:rsidRDefault="00603E67" w:rsidP="00603E67">
      <w:pPr>
        <w:spacing w:after="120" w:line="276" w:lineRule="auto"/>
      </w:pPr>
    </w:p>
    <w:p w:rsidR="001C1FE3" w:rsidRPr="001C1FE3" w:rsidRDefault="001C1FE3" w:rsidP="001C1FE3">
      <w:pPr>
        <w:pStyle w:val="Titulek"/>
        <w:keepNext/>
        <w:rPr>
          <w:b w:val="0"/>
          <w:sz w:val="24"/>
        </w:rPr>
      </w:pPr>
      <w:bookmarkStart w:id="51" w:name="_Toc399013066"/>
      <w:r w:rsidRPr="001C1FE3">
        <w:rPr>
          <w:b w:val="0"/>
          <w:sz w:val="24"/>
        </w:rPr>
        <w:t xml:space="preserve">Tabulka </w:t>
      </w:r>
      <w:r w:rsidR="003818A1" w:rsidRPr="001C1FE3">
        <w:rPr>
          <w:b w:val="0"/>
          <w:sz w:val="24"/>
        </w:rPr>
        <w:fldChar w:fldCharType="begin"/>
      </w:r>
      <w:r w:rsidRPr="001C1FE3">
        <w:rPr>
          <w:b w:val="0"/>
          <w:sz w:val="24"/>
        </w:rPr>
        <w:instrText xml:space="preserve"> SEQ Tabulka \* ARABIC </w:instrText>
      </w:r>
      <w:r w:rsidR="003818A1" w:rsidRPr="001C1FE3">
        <w:rPr>
          <w:b w:val="0"/>
          <w:sz w:val="24"/>
        </w:rPr>
        <w:fldChar w:fldCharType="separate"/>
      </w:r>
      <w:r w:rsidR="00FB20B9">
        <w:rPr>
          <w:b w:val="0"/>
          <w:noProof/>
          <w:sz w:val="24"/>
        </w:rPr>
        <w:t>2</w:t>
      </w:r>
      <w:bookmarkEnd w:id="51"/>
      <w:r w:rsidR="003818A1" w:rsidRPr="001C1FE3">
        <w:rPr>
          <w:b w:val="0"/>
          <w:sz w:val="24"/>
        </w:rPr>
        <w:fldChar w:fldCharType="end"/>
      </w:r>
    </w:p>
    <w:p w:rsidR="00603E67" w:rsidRPr="00603E67" w:rsidRDefault="00603E67" w:rsidP="00603E67">
      <w:pPr>
        <w:spacing w:after="120" w:line="276" w:lineRule="auto"/>
        <w:rPr>
          <w:i/>
        </w:rPr>
      </w:pPr>
      <w:r w:rsidRPr="00603E67">
        <w:rPr>
          <w:i/>
        </w:rPr>
        <w:t xml:space="preserve">Deweyho model myšlenkového aktu a jeho rozvinutí Reusserem. </w:t>
      </w:r>
    </w:p>
    <w:tbl>
      <w:tblPr>
        <w:tblW w:w="0" w:type="auto"/>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4644"/>
        <w:gridCol w:w="4568"/>
      </w:tblGrid>
      <w:tr w:rsidR="007002DC" w:rsidRPr="000F2E2A" w:rsidTr="009A1280">
        <w:tc>
          <w:tcPr>
            <w:tcW w:w="4644" w:type="dxa"/>
          </w:tcPr>
          <w:p w:rsidR="007002DC" w:rsidRPr="000F2E2A" w:rsidRDefault="007002DC" w:rsidP="00603E67">
            <w:pPr>
              <w:spacing w:line="276" w:lineRule="auto"/>
              <w:rPr>
                <w:bCs/>
                <w:sz w:val="20"/>
              </w:rPr>
            </w:pPr>
            <w:r w:rsidRPr="000F2E2A">
              <w:rPr>
                <w:bCs/>
                <w:sz w:val="20"/>
              </w:rPr>
              <w:t>Model reflektujícího myšlenkového aktu (Dewey – cit</w:t>
            </w:r>
            <w:r w:rsidR="00603E67">
              <w:rPr>
                <w:bCs/>
                <w:sz w:val="20"/>
              </w:rPr>
              <w:t>ováno</w:t>
            </w:r>
            <w:r w:rsidRPr="000F2E2A">
              <w:rPr>
                <w:bCs/>
                <w:sz w:val="20"/>
              </w:rPr>
              <w:t xml:space="preserve"> podle Reusser</w:t>
            </w:r>
            <w:r w:rsidR="00404E0F">
              <w:rPr>
                <w:bCs/>
                <w:sz w:val="20"/>
              </w:rPr>
              <w:t>,</w:t>
            </w:r>
            <w:r w:rsidRPr="000F2E2A">
              <w:rPr>
                <w:bCs/>
                <w:sz w:val="20"/>
              </w:rPr>
              <w:t xml:space="preserve"> 2005)</w:t>
            </w:r>
          </w:p>
        </w:tc>
        <w:tc>
          <w:tcPr>
            <w:tcW w:w="4568" w:type="dxa"/>
          </w:tcPr>
          <w:p w:rsidR="007002DC" w:rsidRPr="000F2E2A" w:rsidRDefault="007002DC" w:rsidP="000F2E2A">
            <w:pPr>
              <w:spacing w:line="276" w:lineRule="auto"/>
              <w:rPr>
                <w:bCs/>
                <w:sz w:val="20"/>
              </w:rPr>
            </w:pPr>
            <w:r w:rsidRPr="000F2E2A">
              <w:rPr>
                <w:bCs/>
                <w:sz w:val="20"/>
              </w:rPr>
              <w:t>Rozvinutí Deweyho modelu Reusserem (2005)</w:t>
            </w:r>
          </w:p>
        </w:tc>
      </w:tr>
      <w:tr w:rsidR="007002DC" w:rsidRPr="000F2E2A" w:rsidTr="009A1280">
        <w:tc>
          <w:tcPr>
            <w:tcW w:w="4644" w:type="dxa"/>
          </w:tcPr>
          <w:p w:rsidR="007002DC" w:rsidRPr="000F2E2A" w:rsidRDefault="007002DC" w:rsidP="00DF229D">
            <w:pPr>
              <w:spacing w:line="276" w:lineRule="auto"/>
              <w:ind w:left="284" w:hanging="284"/>
              <w:rPr>
                <w:bCs/>
                <w:sz w:val="20"/>
              </w:rPr>
            </w:pPr>
            <w:r w:rsidRPr="000F2E2A">
              <w:rPr>
                <w:bCs/>
                <w:sz w:val="20"/>
              </w:rPr>
              <w:t>1. Identifikace problému – znepokojení, nevědomost, pochybnost, údiv, iritace</w:t>
            </w:r>
            <w:r w:rsidR="00DF229D">
              <w:rPr>
                <w:bCs/>
                <w:sz w:val="20"/>
              </w:rPr>
              <w:t>.</w:t>
            </w:r>
          </w:p>
        </w:tc>
        <w:tc>
          <w:tcPr>
            <w:tcW w:w="4568" w:type="dxa"/>
          </w:tcPr>
          <w:p w:rsidR="007002DC" w:rsidRPr="000F2E2A" w:rsidRDefault="007002DC" w:rsidP="00DF722D">
            <w:pPr>
              <w:pStyle w:val="Odstavecseseznamem"/>
              <w:numPr>
                <w:ilvl w:val="0"/>
                <w:numId w:val="6"/>
              </w:numPr>
              <w:spacing w:after="0"/>
              <w:ind w:left="317" w:hanging="283"/>
              <w:rPr>
                <w:rFonts w:ascii="Times New Roman" w:hAnsi="Times New Roman"/>
                <w:bCs/>
                <w:sz w:val="20"/>
              </w:rPr>
            </w:pPr>
            <w:r w:rsidRPr="000F2E2A">
              <w:rPr>
                <w:rFonts w:ascii="Times New Roman" w:hAnsi="Times New Roman"/>
                <w:bCs/>
                <w:sz w:val="20"/>
              </w:rPr>
              <w:t>vnímání problému, kognitivní mezera, konflikt, rozpor, nerovnováha, diskrepance mezi cíli a prostředky</w:t>
            </w:r>
          </w:p>
          <w:p w:rsidR="007002DC" w:rsidRPr="000F2E2A" w:rsidRDefault="007002DC" w:rsidP="00DF722D">
            <w:pPr>
              <w:pStyle w:val="Odstavecseseznamem"/>
              <w:numPr>
                <w:ilvl w:val="0"/>
                <w:numId w:val="6"/>
              </w:numPr>
              <w:spacing w:after="0"/>
              <w:ind w:left="317" w:hanging="283"/>
              <w:rPr>
                <w:rFonts w:ascii="Times New Roman" w:hAnsi="Times New Roman"/>
                <w:bCs/>
                <w:sz w:val="20"/>
              </w:rPr>
            </w:pPr>
            <w:r w:rsidRPr="000F2E2A">
              <w:rPr>
                <w:rFonts w:ascii="Times New Roman" w:hAnsi="Times New Roman"/>
                <w:bCs/>
                <w:sz w:val="20"/>
              </w:rPr>
              <w:t>konfrontace s problémem: první, zpravidla ještě neostré vnímání problému</w:t>
            </w:r>
          </w:p>
        </w:tc>
      </w:tr>
      <w:tr w:rsidR="007002DC" w:rsidRPr="000F2E2A" w:rsidTr="009A1280">
        <w:tc>
          <w:tcPr>
            <w:tcW w:w="4644" w:type="dxa"/>
          </w:tcPr>
          <w:p w:rsidR="007002DC" w:rsidRPr="000F2E2A" w:rsidRDefault="007002DC" w:rsidP="00DF229D">
            <w:pPr>
              <w:spacing w:line="276" w:lineRule="auto"/>
              <w:ind w:left="284" w:hanging="284"/>
              <w:rPr>
                <w:bCs/>
                <w:sz w:val="20"/>
              </w:rPr>
            </w:pPr>
            <w:r w:rsidRPr="000F2E2A">
              <w:rPr>
                <w:bCs/>
                <w:sz w:val="20"/>
              </w:rPr>
              <w:t>2. Vymezení/definice problému</w:t>
            </w:r>
            <w:r w:rsidR="00DF229D">
              <w:rPr>
                <w:bCs/>
                <w:sz w:val="20"/>
              </w:rPr>
              <w:t>.</w:t>
            </w:r>
          </w:p>
        </w:tc>
        <w:tc>
          <w:tcPr>
            <w:tcW w:w="4568" w:type="dxa"/>
          </w:tcPr>
          <w:p w:rsidR="007002DC" w:rsidRPr="000F2E2A" w:rsidRDefault="007002DC" w:rsidP="00DF722D">
            <w:pPr>
              <w:pStyle w:val="Odstavecseseznamem"/>
              <w:numPr>
                <w:ilvl w:val="0"/>
                <w:numId w:val="6"/>
              </w:numPr>
              <w:spacing w:after="0"/>
              <w:ind w:left="317" w:hanging="283"/>
              <w:rPr>
                <w:rFonts w:ascii="Times New Roman" w:hAnsi="Times New Roman"/>
                <w:bCs/>
                <w:sz w:val="20"/>
              </w:rPr>
            </w:pPr>
            <w:r w:rsidRPr="000F2E2A">
              <w:rPr>
                <w:rFonts w:ascii="Times New Roman" w:hAnsi="Times New Roman"/>
                <w:bCs/>
                <w:sz w:val="20"/>
              </w:rPr>
              <w:t xml:space="preserve">definice problému, jazykově pojmová analýza daností a cílů </w:t>
            </w:r>
          </w:p>
          <w:p w:rsidR="007002DC" w:rsidRPr="000F2E2A" w:rsidRDefault="007002DC" w:rsidP="00DF722D">
            <w:pPr>
              <w:pStyle w:val="Odstavecseseznamem"/>
              <w:numPr>
                <w:ilvl w:val="0"/>
                <w:numId w:val="6"/>
              </w:numPr>
              <w:spacing w:after="0"/>
              <w:ind w:left="317" w:hanging="283"/>
              <w:rPr>
                <w:rFonts w:ascii="Times New Roman" w:hAnsi="Times New Roman"/>
                <w:bCs/>
                <w:sz w:val="20"/>
              </w:rPr>
            </w:pPr>
            <w:r w:rsidRPr="000F2E2A">
              <w:rPr>
                <w:rFonts w:ascii="Times New Roman" w:hAnsi="Times New Roman"/>
                <w:bCs/>
                <w:sz w:val="20"/>
              </w:rPr>
              <w:t>identifikace, vymezení a precizování dílčích problémů a požadavků </w:t>
            </w:r>
          </w:p>
        </w:tc>
      </w:tr>
      <w:tr w:rsidR="007002DC" w:rsidRPr="000F2E2A" w:rsidTr="009A1280">
        <w:tc>
          <w:tcPr>
            <w:tcW w:w="4644" w:type="dxa"/>
          </w:tcPr>
          <w:p w:rsidR="007002DC" w:rsidRPr="000F2E2A" w:rsidRDefault="007002DC" w:rsidP="00DF229D">
            <w:pPr>
              <w:spacing w:line="276" w:lineRule="auto"/>
              <w:ind w:left="284" w:hanging="284"/>
              <w:rPr>
                <w:bCs/>
                <w:sz w:val="20"/>
              </w:rPr>
            </w:pPr>
            <w:r w:rsidRPr="000F2E2A">
              <w:rPr>
                <w:bCs/>
                <w:sz w:val="20"/>
              </w:rPr>
              <w:t>3. Návrh možných vysvětlení/řešení</w:t>
            </w:r>
            <w:r w:rsidR="00DF229D">
              <w:rPr>
                <w:bCs/>
                <w:sz w:val="20"/>
              </w:rPr>
              <w:t>.</w:t>
            </w:r>
          </w:p>
        </w:tc>
        <w:tc>
          <w:tcPr>
            <w:tcW w:w="4568" w:type="dxa"/>
          </w:tcPr>
          <w:p w:rsidR="007002DC" w:rsidRPr="000F2E2A" w:rsidRDefault="007002DC" w:rsidP="00DF722D">
            <w:pPr>
              <w:pStyle w:val="Odstavecseseznamem"/>
              <w:numPr>
                <w:ilvl w:val="0"/>
                <w:numId w:val="6"/>
              </w:numPr>
              <w:spacing w:after="0"/>
              <w:ind w:left="317" w:hanging="283"/>
              <w:rPr>
                <w:rFonts w:ascii="Times New Roman" w:hAnsi="Times New Roman"/>
                <w:bCs/>
                <w:sz w:val="20"/>
              </w:rPr>
            </w:pPr>
            <w:r w:rsidRPr="000F2E2A">
              <w:rPr>
                <w:rFonts w:ascii="Times New Roman" w:hAnsi="Times New Roman"/>
                <w:bCs/>
                <w:sz w:val="20"/>
              </w:rPr>
              <w:t>hledání přístupů k řešení, aktualizace a využití znalostí</w:t>
            </w:r>
          </w:p>
          <w:p w:rsidR="007002DC" w:rsidRPr="000F2E2A" w:rsidRDefault="007002DC" w:rsidP="00DF722D">
            <w:pPr>
              <w:pStyle w:val="Odstavecseseznamem"/>
              <w:numPr>
                <w:ilvl w:val="0"/>
                <w:numId w:val="6"/>
              </w:numPr>
              <w:spacing w:after="0"/>
              <w:ind w:left="317" w:hanging="283"/>
              <w:rPr>
                <w:rFonts w:ascii="Times New Roman" w:hAnsi="Times New Roman"/>
                <w:bCs/>
                <w:sz w:val="20"/>
              </w:rPr>
            </w:pPr>
            <w:r w:rsidRPr="000F2E2A">
              <w:rPr>
                <w:rFonts w:ascii="Times New Roman" w:hAnsi="Times New Roman"/>
                <w:bCs/>
                <w:sz w:val="20"/>
              </w:rPr>
              <w:t xml:space="preserve">generování hypotéz, vhled, aha zážitek </w:t>
            </w:r>
          </w:p>
          <w:p w:rsidR="007002DC" w:rsidRPr="000F2E2A" w:rsidRDefault="007002DC" w:rsidP="00DF722D">
            <w:pPr>
              <w:pStyle w:val="Odstavecseseznamem"/>
              <w:numPr>
                <w:ilvl w:val="0"/>
                <w:numId w:val="6"/>
              </w:numPr>
              <w:spacing w:after="0"/>
              <w:ind w:left="317" w:hanging="283"/>
              <w:rPr>
                <w:rFonts w:ascii="Times New Roman" w:hAnsi="Times New Roman"/>
                <w:bCs/>
                <w:sz w:val="20"/>
              </w:rPr>
            </w:pPr>
            <w:r w:rsidRPr="000F2E2A">
              <w:rPr>
                <w:rFonts w:ascii="Times New Roman" w:hAnsi="Times New Roman"/>
                <w:bCs/>
                <w:sz w:val="20"/>
              </w:rPr>
              <w:t>vytváření plánu řešení a postupu</w:t>
            </w:r>
          </w:p>
        </w:tc>
      </w:tr>
      <w:tr w:rsidR="007002DC" w:rsidRPr="000F2E2A" w:rsidTr="009A1280">
        <w:tc>
          <w:tcPr>
            <w:tcW w:w="4644" w:type="dxa"/>
          </w:tcPr>
          <w:p w:rsidR="007002DC" w:rsidRPr="000F2E2A" w:rsidRDefault="007002DC" w:rsidP="00DF229D">
            <w:pPr>
              <w:spacing w:line="276" w:lineRule="auto"/>
              <w:ind w:left="284" w:hanging="284"/>
              <w:rPr>
                <w:bCs/>
              </w:rPr>
            </w:pPr>
            <w:r w:rsidRPr="000F2E2A">
              <w:rPr>
                <w:bCs/>
                <w:sz w:val="20"/>
              </w:rPr>
              <w:t>4. Uplatnění/ověření návrhů řešení, logické vyvozování důsledků</w:t>
            </w:r>
            <w:r w:rsidR="00DF229D">
              <w:rPr>
                <w:bCs/>
                <w:sz w:val="20"/>
              </w:rPr>
              <w:t>.</w:t>
            </w:r>
          </w:p>
        </w:tc>
        <w:tc>
          <w:tcPr>
            <w:tcW w:w="4568" w:type="dxa"/>
          </w:tcPr>
          <w:p w:rsidR="007002DC" w:rsidRPr="000F2E2A" w:rsidRDefault="007002DC" w:rsidP="00DF722D">
            <w:pPr>
              <w:pStyle w:val="Odstavecseseznamem"/>
              <w:numPr>
                <w:ilvl w:val="0"/>
                <w:numId w:val="6"/>
              </w:numPr>
              <w:spacing w:after="0"/>
              <w:ind w:left="317" w:hanging="283"/>
              <w:rPr>
                <w:rFonts w:ascii="Times New Roman" w:hAnsi="Times New Roman"/>
                <w:bCs/>
                <w:sz w:val="20"/>
              </w:rPr>
            </w:pPr>
            <w:r w:rsidRPr="000F2E2A">
              <w:rPr>
                <w:rFonts w:ascii="Times New Roman" w:hAnsi="Times New Roman"/>
                <w:bCs/>
                <w:sz w:val="20"/>
              </w:rPr>
              <w:t xml:space="preserve">ověřování hypotéz a domněnek, kritické promýšlení </w:t>
            </w:r>
          </w:p>
          <w:p w:rsidR="007002DC" w:rsidRPr="000F2E2A" w:rsidRDefault="007002DC" w:rsidP="00DF722D">
            <w:pPr>
              <w:pStyle w:val="Odstavecseseznamem"/>
              <w:numPr>
                <w:ilvl w:val="0"/>
                <w:numId w:val="6"/>
              </w:numPr>
              <w:spacing w:after="0"/>
              <w:ind w:left="317" w:hanging="283"/>
              <w:rPr>
                <w:rFonts w:ascii="Times New Roman" w:hAnsi="Times New Roman"/>
                <w:bCs/>
                <w:sz w:val="20"/>
              </w:rPr>
            </w:pPr>
            <w:r w:rsidRPr="000F2E2A">
              <w:rPr>
                <w:rFonts w:ascii="Times New Roman" w:hAnsi="Times New Roman"/>
                <w:bCs/>
                <w:sz w:val="20"/>
              </w:rPr>
              <w:t>syntéza kroků řešení, konkretizace, aplikace řešení </w:t>
            </w:r>
          </w:p>
        </w:tc>
      </w:tr>
      <w:tr w:rsidR="007002DC" w:rsidRPr="000F2E2A" w:rsidTr="009A1280">
        <w:tc>
          <w:tcPr>
            <w:tcW w:w="4644" w:type="dxa"/>
          </w:tcPr>
          <w:p w:rsidR="007002DC" w:rsidRPr="000F2E2A" w:rsidRDefault="007002DC" w:rsidP="00DF229D">
            <w:pPr>
              <w:spacing w:line="276" w:lineRule="auto"/>
              <w:ind w:left="284" w:hanging="284"/>
              <w:rPr>
                <w:bCs/>
                <w:sz w:val="20"/>
              </w:rPr>
            </w:pPr>
            <w:r w:rsidRPr="000F2E2A">
              <w:rPr>
                <w:bCs/>
                <w:sz w:val="20"/>
              </w:rPr>
              <w:t>5. Další pozorování a experimentace vedoucí k jejich přijetí či odmítnutí</w:t>
            </w:r>
            <w:r w:rsidR="00DF229D">
              <w:rPr>
                <w:bCs/>
                <w:sz w:val="20"/>
              </w:rPr>
              <w:t>.</w:t>
            </w:r>
          </w:p>
        </w:tc>
        <w:tc>
          <w:tcPr>
            <w:tcW w:w="4568" w:type="dxa"/>
          </w:tcPr>
          <w:p w:rsidR="007002DC" w:rsidRPr="000F2E2A" w:rsidRDefault="007002DC" w:rsidP="00DF722D">
            <w:pPr>
              <w:pStyle w:val="Odstavecseseznamem"/>
              <w:numPr>
                <w:ilvl w:val="0"/>
                <w:numId w:val="6"/>
              </w:numPr>
              <w:spacing w:after="0"/>
              <w:ind w:left="317" w:hanging="283"/>
              <w:rPr>
                <w:rFonts w:ascii="Times New Roman" w:hAnsi="Times New Roman"/>
                <w:bCs/>
                <w:sz w:val="20"/>
              </w:rPr>
            </w:pPr>
            <w:r w:rsidRPr="000F2E2A">
              <w:rPr>
                <w:rFonts w:ascii="Times New Roman" w:hAnsi="Times New Roman"/>
                <w:bCs/>
                <w:sz w:val="20"/>
              </w:rPr>
              <w:t>verifikace, hodnocení, odzkoušení a reflexe</w:t>
            </w:r>
          </w:p>
          <w:p w:rsidR="007002DC" w:rsidRPr="000F2E2A" w:rsidRDefault="007002DC" w:rsidP="00DF722D">
            <w:pPr>
              <w:pStyle w:val="Odstavecseseznamem"/>
              <w:numPr>
                <w:ilvl w:val="0"/>
                <w:numId w:val="6"/>
              </w:numPr>
              <w:spacing w:after="0"/>
              <w:ind w:left="317" w:hanging="283"/>
              <w:rPr>
                <w:rFonts w:ascii="Times New Roman" w:hAnsi="Times New Roman"/>
                <w:bCs/>
                <w:sz w:val="20"/>
              </w:rPr>
            </w:pPr>
            <w:r w:rsidRPr="000F2E2A">
              <w:rPr>
                <w:rFonts w:ascii="Times New Roman" w:hAnsi="Times New Roman"/>
                <w:bCs/>
                <w:sz w:val="20"/>
              </w:rPr>
              <w:t xml:space="preserve">rozhodnutí (přijetí, odmítnutí), sdělení řešení </w:t>
            </w:r>
          </w:p>
        </w:tc>
      </w:tr>
    </w:tbl>
    <w:p w:rsidR="00AB0555" w:rsidRPr="00D37700" w:rsidRDefault="00AB0555" w:rsidP="000F2E2A">
      <w:pPr>
        <w:spacing w:after="120" w:line="276" w:lineRule="auto"/>
        <w:jc w:val="both"/>
      </w:pPr>
    </w:p>
    <w:p w:rsidR="007C5206" w:rsidRPr="00DA2A1E" w:rsidRDefault="007C5206" w:rsidP="00DA2A1E">
      <w:pPr>
        <w:spacing w:after="120" w:line="276" w:lineRule="auto"/>
        <w:jc w:val="both"/>
      </w:pPr>
      <w:r w:rsidRPr="00DA2A1E">
        <w:t>V koncepci studie PISA (OECD</w:t>
      </w:r>
      <w:r w:rsidR="00C570B3" w:rsidRPr="00DA2A1E">
        <w:t>,</w:t>
      </w:r>
      <w:r w:rsidRPr="00DA2A1E">
        <w:t xml:space="preserve"> 2003) jsou rozlišeny tři typy problémů, jež mohou být řešeny prostřednictvím úloh: (a) rozhodování (</w:t>
      </w:r>
      <w:r w:rsidR="00F257AE">
        <w:t xml:space="preserve">angl. </w:t>
      </w:r>
      <w:r w:rsidRPr="004A63C0">
        <w:rPr>
          <w:i/>
        </w:rPr>
        <w:t>decision making</w:t>
      </w:r>
      <w:r w:rsidRPr="00DA2A1E">
        <w:t>), (b) analýza a vytváření systému (</w:t>
      </w:r>
      <w:r w:rsidR="00F257AE">
        <w:t xml:space="preserve">angl. </w:t>
      </w:r>
      <w:r w:rsidRPr="004A63C0">
        <w:rPr>
          <w:i/>
        </w:rPr>
        <w:t>system analysis and design</w:t>
      </w:r>
      <w:r w:rsidRPr="00DA2A1E">
        <w:t xml:space="preserve">), (c) řešení problémů </w:t>
      </w:r>
      <w:r w:rsidR="004A63C0" w:rsidRPr="00463202">
        <w:t>zaměřen</w:t>
      </w:r>
      <w:r w:rsidR="004A63C0">
        <w:t>ých</w:t>
      </w:r>
      <w:r w:rsidR="004A63C0" w:rsidRPr="00463202">
        <w:t xml:space="preserve"> na vyhledávání a odstraňování závad </w:t>
      </w:r>
      <w:r w:rsidRPr="00DA2A1E">
        <w:t>(</w:t>
      </w:r>
      <w:r w:rsidR="00F257AE">
        <w:t xml:space="preserve">angl. </w:t>
      </w:r>
      <w:r w:rsidR="0072228F">
        <w:rPr>
          <w:i/>
        </w:rPr>
        <w:t>trouble</w:t>
      </w:r>
      <w:r w:rsidRPr="004A63C0">
        <w:rPr>
          <w:i/>
        </w:rPr>
        <w:t>shooting</w:t>
      </w:r>
      <w:r w:rsidRPr="00DA2A1E">
        <w:t>). Úlohy nejsou situovány do školního ani kurikulárního kontextu, spíše je přítomen kontext žákova osobního života, práce či volného času, komunity a společnosti. Proces řešení problému je zde modelován následujícím způsobem (OECD</w:t>
      </w:r>
      <w:r w:rsidR="00C570B3" w:rsidRPr="00DA2A1E">
        <w:t>,</w:t>
      </w:r>
      <w:r w:rsidRPr="00DA2A1E">
        <w:t xml:space="preserve"> 2004, s. 27–28):</w:t>
      </w:r>
    </w:p>
    <w:p w:rsidR="007C5206" w:rsidRPr="00DA2A1E" w:rsidRDefault="007C5206" w:rsidP="00FE68D6">
      <w:pPr>
        <w:pStyle w:val="Odstavecseseznamem"/>
        <w:numPr>
          <w:ilvl w:val="0"/>
          <w:numId w:val="14"/>
        </w:numPr>
        <w:tabs>
          <w:tab w:val="left" w:pos="709"/>
        </w:tabs>
        <w:spacing w:after="120"/>
        <w:jc w:val="both"/>
        <w:rPr>
          <w:rFonts w:ascii="Times New Roman" w:hAnsi="Times New Roman"/>
          <w:sz w:val="24"/>
          <w:szCs w:val="24"/>
        </w:rPr>
      </w:pPr>
      <w:r w:rsidRPr="00DA2A1E">
        <w:rPr>
          <w:rFonts w:ascii="Times New Roman" w:hAnsi="Times New Roman"/>
          <w:sz w:val="24"/>
          <w:szCs w:val="24"/>
        </w:rPr>
        <w:t>Porozumění problému (</w:t>
      </w:r>
      <w:r w:rsidR="00F257AE">
        <w:rPr>
          <w:rFonts w:ascii="Times New Roman" w:hAnsi="Times New Roman"/>
          <w:sz w:val="24"/>
          <w:szCs w:val="24"/>
        </w:rPr>
        <w:t xml:space="preserve">angl. </w:t>
      </w:r>
      <w:r w:rsidRPr="00DA2A1E">
        <w:rPr>
          <w:rFonts w:ascii="Times New Roman" w:hAnsi="Times New Roman"/>
          <w:sz w:val="24"/>
          <w:szCs w:val="24"/>
        </w:rPr>
        <w:t>understand the problem): zahrnuje porozumění informacím z textů, vzorců, tabulek i grafů, čerpání a kombinování informací z různých zdrojů, porozumění relevantním konceptům, vztahování nových informací k informacím získaným dříve.</w:t>
      </w:r>
    </w:p>
    <w:p w:rsidR="007C5206" w:rsidRPr="00DA2A1E" w:rsidRDefault="007C5206" w:rsidP="00FE68D6">
      <w:pPr>
        <w:pStyle w:val="Odstavecseseznamem"/>
        <w:numPr>
          <w:ilvl w:val="0"/>
          <w:numId w:val="14"/>
        </w:numPr>
        <w:tabs>
          <w:tab w:val="left" w:pos="709"/>
        </w:tabs>
        <w:spacing w:after="120"/>
        <w:jc w:val="both"/>
        <w:rPr>
          <w:rFonts w:ascii="Times New Roman" w:hAnsi="Times New Roman"/>
          <w:sz w:val="24"/>
          <w:szCs w:val="24"/>
        </w:rPr>
      </w:pPr>
      <w:r w:rsidRPr="00DA2A1E">
        <w:rPr>
          <w:rFonts w:ascii="Times New Roman" w:hAnsi="Times New Roman"/>
          <w:sz w:val="24"/>
          <w:szCs w:val="24"/>
        </w:rPr>
        <w:t>Uchopení problému (</w:t>
      </w:r>
      <w:r w:rsidR="00F257AE">
        <w:rPr>
          <w:rFonts w:ascii="Times New Roman" w:hAnsi="Times New Roman"/>
          <w:sz w:val="24"/>
          <w:szCs w:val="24"/>
        </w:rPr>
        <w:t xml:space="preserve">angl. </w:t>
      </w:r>
      <w:r w:rsidRPr="00DA2A1E">
        <w:rPr>
          <w:rFonts w:ascii="Times New Roman" w:hAnsi="Times New Roman"/>
          <w:sz w:val="24"/>
          <w:szCs w:val="24"/>
        </w:rPr>
        <w:t>characterise the problem): zahrnuje identifikování proměnných vyskytujících se v problému a porozumění jejich vztahům, rozlišení podstatných vlivů od nepodstatných, konstrukce hypotéz a kritické posouzení kontextuálních informací.</w:t>
      </w:r>
    </w:p>
    <w:p w:rsidR="007C5206" w:rsidRPr="00DA2A1E" w:rsidRDefault="007C5206" w:rsidP="00FE68D6">
      <w:pPr>
        <w:pStyle w:val="Odstavecseseznamem"/>
        <w:numPr>
          <w:ilvl w:val="0"/>
          <w:numId w:val="14"/>
        </w:numPr>
        <w:tabs>
          <w:tab w:val="left" w:pos="709"/>
        </w:tabs>
        <w:spacing w:after="120"/>
        <w:jc w:val="both"/>
        <w:rPr>
          <w:rFonts w:ascii="Times New Roman" w:hAnsi="Times New Roman"/>
          <w:sz w:val="24"/>
          <w:szCs w:val="24"/>
        </w:rPr>
      </w:pPr>
      <w:r w:rsidRPr="00DA2A1E">
        <w:rPr>
          <w:rFonts w:ascii="Times New Roman" w:hAnsi="Times New Roman"/>
          <w:sz w:val="24"/>
          <w:szCs w:val="24"/>
        </w:rPr>
        <w:t>Znázornění problému (</w:t>
      </w:r>
      <w:r w:rsidR="00F257AE">
        <w:rPr>
          <w:rFonts w:ascii="Times New Roman" w:hAnsi="Times New Roman"/>
          <w:sz w:val="24"/>
          <w:szCs w:val="24"/>
        </w:rPr>
        <w:t xml:space="preserve">angl. </w:t>
      </w:r>
      <w:r w:rsidRPr="00DA2A1E">
        <w:rPr>
          <w:rFonts w:ascii="Times New Roman" w:hAnsi="Times New Roman"/>
          <w:sz w:val="24"/>
          <w:szCs w:val="24"/>
        </w:rPr>
        <w:t>represent the problem): zahrnuje vytváření tabulárních, grafických, symbolických a verbálních reprezentací, či aplikování konkrétní reprezentace na řešení daného problému.</w:t>
      </w:r>
    </w:p>
    <w:p w:rsidR="007C5206" w:rsidRPr="00DA2A1E" w:rsidRDefault="007C5206" w:rsidP="00FE68D6">
      <w:pPr>
        <w:pStyle w:val="Odstavecseseznamem"/>
        <w:numPr>
          <w:ilvl w:val="0"/>
          <w:numId w:val="14"/>
        </w:numPr>
        <w:tabs>
          <w:tab w:val="left" w:pos="709"/>
        </w:tabs>
        <w:spacing w:after="120"/>
        <w:jc w:val="both"/>
        <w:rPr>
          <w:rFonts w:ascii="Times New Roman" w:hAnsi="Times New Roman"/>
          <w:sz w:val="24"/>
          <w:szCs w:val="24"/>
        </w:rPr>
      </w:pPr>
      <w:r w:rsidRPr="00DA2A1E">
        <w:rPr>
          <w:rFonts w:ascii="Times New Roman" w:hAnsi="Times New Roman"/>
          <w:sz w:val="24"/>
          <w:szCs w:val="24"/>
        </w:rPr>
        <w:t>Hledání řešení problému (</w:t>
      </w:r>
      <w:r w:rsidR="00F257AE">
        <w:rPr>
          <w:rFonts w:ascii="Times New Roman" w:hAnsi="Times New Roman"/>
          <w:sz w:val="24"/>
          <w:szCs w:val="24"/>
        </w:rPr>
        <w:t xml:space="preserve">angl. </w:t>
      </w:r>
      <w:r w:rsidRPr="00DA2A1E">
        <w:rPr>
          <w:rFonts w:ascii="Times New Roman" w:hAnsi="Times New Roman"/>
          <w:sz w:val="24"/>
          <w:szCs w:val="24"/>
        </w:rPr>
        <w:t>solve the problem): zahrnuje přijímání rozhodnutí, analyzování a vytváření nových systémů či diagnostikování a navrhování řešení.</w:t>
      </w:r>
    </w:p>
    <w:p w:rsidR="007C5206" w:rsidRPr="00DA2A1E" w:rsidRDefault="007C5206" w:rsidP="00FE68D6">
      <w:pPr>
        <w:pStyle w:val="Odstavecseseznamem"/>
        <w:numPr>
          <w:ilvl w:val="0"/>
          <w:numId w:val="14"/>
        </w:numPr>
        <w:tabs>
          <w:tab w:val="left" w:pos="709"/>
        </w:tabs>
        <w:spacing w:after="120"/>
        <w:jc w:val="both"/>
        <w:rPr>
          <w:rFonts w:ascii="Times New Roman" w:hAnsi="Times New Roman"/>
          <w:sz w:val="24"/>
          <w:szCs w:val="24"/>
        </w:rPr>
      </w:pPr>
      <w:r w:rsidRPr="00DA2A1E">
        <w:rPr>
          <w:rFonts w:ascii="Times New Roman" w:hAnsi="Times New Roman"/>
          <w:sz w:val="24"/>
          <w:szCs w:val="24"/>
        </w:rPr>
        <w:t>Reflexe řešení problému (</w:t>
      </w:r>
      <w:r w:rsidR="00F257AE">
        <w:rPr>
          <w:rFonts w:ascii="Times New Roman" w:hAnsi="Times New Roman"/>
          <w:sz w:val="24"/>
          <w:szCs w:val="24"/>
        </w:rPr>
        <w:t xml:space="preserve">angl. </w:t>
      </w:r>
      <w:r w:rsidRPr="00DA2A1E">
        <w:rPr>
          <w:rFonts w:ascii="Times New Roman" w:hAnsi="Times New Roman"/>
          <w:sz w:val="24"/>
          <w:szCs w:val="24"/>
        </w:rPr>
        <w:t>reflect on the solution): zahrnuje přezkoumání různých řešení, vyhledávání nových informací, vyjasňování nepřesností, náhled na řešení z různých perspektiv, přizpůsobování řešení sociálním a technickým požadavkům a ospravedlňování řešení.</w:t>
      </w:r>
    </w:p>
    <w:p w:rsidR="008B35D3" w:rsidRDefault="007C5206" w:rsidP="00FE68D6">
      <w:pPr>
        <w:pStyle w:val="Odstavecseseznamem"/>
        <w:numPr>
          <w:ilvl w:val="0"/>
          <w:numId w:val="14"/>
        </w:numPr>
        <w:tabs>
          <w:tab w:val="left" w:pos="709"/>
        </w:tabs>
        <w:spacing w:after="120"/>
        <w:jc w:val="both"/>
        <w:rPr>
          <w:rFonts w:ascii="Times New Roman" w:hAnsi="Times New Roman"/>
          <w:sz w:val="24"/>
          <w:szCs w:val="24"/>
        </w:rPr>
      </w:pPr>
      <w:r w:rsidRPr="00DA2A1E">
        <w:rPr>
          <w:rFonts w:ascii="Times New Roman" w:hAnsi="Times New Roman"/>
          <w:sz w:val="24"/>
          <w:szCs w:val="24"/>
        </w:rPr>
        <w:t>Komunikace řešení problému (</w:t>
      </w:r>
      <w:r w:rsidR="00F257AE">
        <w:rPr>
          <w:rFonts w:ascii="Times New Roman" w:hAnsi="Times New Roman"/>
          <w:sz w:val="24"/>
          <w:szCs w:val="24"/>
        </w:rPr>
        <w:t xml:space="preserve">angl. </w:t>
      </w:r>
      <w:r w:rsidRPr="00DA2A1E">
        <w:rPr>
          <w:rFonts w:ascii="Times New Roman" w:hAnsi="Times New Roman"/>
          <w:sz w:val="24"/>
          <w:szCs w:val="24"/>
        </w:rPr>
        <w:t>communicate the problem solution): zahrnuje volbu adekvátního média pro reprezentaci a komunikaci řešení širšímu publiku.</w:t>
      </w:r>
    </w:p>
    <w:p w:rsidR="00ED3218" w:rsidRPr="00DA2A1E" w:rsidRDefault="00ED3218" w:rsidP="00ED3218">
      <w:pPr>
        <w:pStyle w:val="Odstavecseseznamem"/>
        <w:tabs>
          <w:tab w:val="left" w:pos="709"/>
        </w:tabs>
        <w:spacing w:after="120"/>
        <w:jc w:val="both"/>
        <w:rPr>
          <w:rFonts w:ascii="Times New Roman" w:hAnsi="Times New Roman"/>
          <w:sz w:val="24"/>
          <w:szCs w:val="24"/>
        </w:rPr>
      </w:pPr>
    </w:p>
    <w:p w:rsidR="00DA2A1E" w:rsidRDefault="00DA2A1E" w:rsidP="00DA2A1E">
      <w:pPr>
        <w:pStyle w:val="Nadpis3"/>
        <w:spacing w:before="0" w:after="120"/>
        <w:jc w:val="both"/>
      </w:pPr>
      <w:bookmarkStart w:id="52" w:name="_Toc399775410"/>
      <w:r>
        <w:t>Shrnutí</w:t>
      </w:r>
      <w:bookmarkEnd w:id="52"/>
    </w:p>
    <w:p w:rsidR="00DA2A1E" w:rsidRPr="00DD3388" w:rsidRDefault="00DA2A1E" w:rsidP="00DA2A1E">
      <w:pPr>
        <w:spacing w:after="120" w:line="276" w:lineRule="auto"/>
        <w:jc w:val="both"/>
      </w:pPr>
      <w:r w:rsidRPr="00366AAE">
        <w:t>V</w:t>
      </w:r>
      <w:r w:rsidR="008A627B">
        <w:t> </w:t>
      </w:r>
      <w:r w:rsidRPr="00366AAE">
        <w:t>námi</w:t>
      </w:r>
      <w:r w:rsidR="008A627B">
        <w:t xml:space="preserve"> </w:t>
      </w:r>
      <w:r w:rsidRPr="00366AAE">
        <w:t xml:space="preserve">realizovaném výzkumu operacionalizujeme příležitosti k utváření a rozvíjení kompetence k řešení problémů pomocí problémových učebních úloh. Problémové učební úlohy jsou ve výuce </w:t>
      </w:r>
      <w:r w:rsidR="008A627B" w:rsidRPr="00366AAE">
        <w:t xml:space="preserve">zpravidla </w:t>
      </w:r>
      <w:r w:rsidRPr="00366AAE">
        <w:t>součástí problémových situací, které mohou mít teoretický i praktický charakter, jejichž podstatou je úsilí o odstranění nějaké překážky. Žáci musí odhalit sami, nebo za přiměřené pomoci učitele, které informace jim k překonání překážky chybějí, případně jak se k nim mohou dopracovat. Problémovou situaci navozuje učitel konkrétní úlohou, případně ji může navodit i žák sám. Ve školním prostředí se nejčastěji setkáváme se situacemi, které jsou blízké řešení každodenních životních problémů, a které do jisté míry směřují k ovládnutí určitých rutinních postupů. Proto se v této práci přikláníme k širší definici problémové výuky, která v sobě zahrnuje neautentické problémové situace, k jejichž řešení je možné na základě použití předem známých a rutinních postupů. V didaktickém kontextu mívají problémové úlohy specifický charakter</w:t>
      </w:r>
      <w:r w:rsidR="008D3E20">
        <w:t>. K</w:t>
      </w:r>
      <w:r w:rsidR="008D3E20" w:rsidRPr="00366AAE">
        <w:t xml:space="preserve">aždá problémová úloha obsahuje nějaký problém a měla by být zasazena do širšího kontextu definujícího a ohraničujícího problémovou situaci. </w:t>
      </w:r>
      <w:r w:rsidR="008D3E20">
        <w:t>O</w:t>
      </w:r>
      <w:r w:rsidRPr="00366AAE">
        <w:t>čekává</w:t>
      </w:r>
      <w:r w:rsidR="008D3E20">
        <w:t xml:space="preserve"> se</w:t>
      </w:r>
      <w:r w:rsidRPr="00366AAE">
        <w:t xml:space="preserve">, že subjekt problém nastíněný problémovou úlohou vyřeší s využitím vlastních dostupných prostředků (znalostí, dovedností, zkušeností, badatelskou činností aj.). Zadání problémové učební úlohy zpravidla splňuje následující podmínky: a) žáci obdrží zadání problémové učební úlohy (výchozí stav); b) učební úloha by měla být vyřešena (cílový stav), c) s dostupnými informacemi a materiály není možné úlohu úspěšně vyřešit (překážka). Pro většinu úloh spojených s manipulacemi se znalostmi, s jejich vyhledáváním, výběrem, posouzením a aplikací má velký význam, jakým způsobem jsou tyto úlohy formulovány. Před formulací úlohy je třeba rozlišovat učivo, které žáci musí znát již před zadáním problémové úlohy, a učivo, k jehož osvojení problémová úloha směřuje. </w:t>
      </w:r>
      <w:r w:rsidR="008D3E20" w:rsidRPr="00DD3388">
        <w:t>Výše jsme uvedli, že rozhodující vliv na průběh řešení problému mají znalosti, ke kterým se proces řešení vztahuje</w:t>
      </w:r>
      <w:r w:rsidR="008D3E20">
        <w:t xml:space="preserve">. </w:t>
      </w:r>
      <w:r w:rsidRPr="00366AAE">
        <w:t xml:space="preserve">Vyhledání a výběr relevantních znalostí, týkajících se cílů a úkolů definovaných v problémové úloze, v níž </w:t>
      </w:r>
      <w:r w:rsidRPr="00DD3388">
        <w:t xml:space="preserve">znalosti budou nebo mají být aplikovány, je nutným předpokladem k úspěšnému řešení problémů. </w:t>
      </w:r>
      <w:r>
        <w:t>Znalostem se proto věnujeme podrobněji v následující kapitole</w:t>
      </w:r>
      <w:r w:rsidR="00A952EA">
        <w:t xml:space="preserve"> podrobněji</w:t>
      </w:r>
      <w:r>
        <w:t>.</w:t>
      </w:r>
    </w:p>
    <w:p w:rsidR="003A021A" w:rsidRDefault="003A021A" w:rsidP="003A021A">
      <w:pPr>
        <w:ind w:left="720"/>
      </w:pPr>
    </w:p>
    <w:p w:rsidR="00D1792D" w:rsidRPr="0010497B" w:rsidRDefault="00D1792D" w:rsidP="0010497B">
      <w:pPr>
        <w:pStyle w:val="Nadpis2"/>
      </w:pPr>
      <w:bookmarkStart w:id="53" w:name="_Toc399775411"/>
      <w:r w:rsidRPr="0010497B">
        <w:t>Znalost jako klíčová determinanta řešení problémů</w:t>
      </w:r>
      <w:bookmarkEnd w:id="53"/>
    </w:p>
    <w:p w:rsidR="00F72E9D" w:rsidRPr="00D96DAA" w:rsidRDefault="00C33879" w:rsidP="005E23F1">
      <w:pPr>
        <w:spacing w:after="120" w:line="276" w:lineRule="auto"/>
        <w:jc w:val="both"/>
      </w:pPr>
      <w:r>
        <w:t>V předchozích kapitolách jsme upozornili</w:t>
      </w:r>
      <w:r w:rsidR="000D6D51" w:rsidRPr="00D96DAA">
        <w:t>, že kompetence n</w:t>
      </w:r>
      <w:r w:rsidR="00B06B26" w:rsidRPr="00D96DAA">
        <w:t>ení možné rozvíjet bez znalosti</w:t>
      </w:r>
      <w:r w:rsidR="00897FE5">
        <w:t>.</w:t>
      </w:r>
      <w:r w:rsidR="00BE2CAC">
        <w:t xml:space="preserve"> </w:t>
      </w:r>
      <w:r w:rsidR="00897FE5">
        <w:t>S</w:t>
      </w:r>
      <w:r w:rsidR="00B06B26" w:rsidRPr="00D96DAA">
        <w:t xml:space="preserve">tejně tak </w:t>
      </w:r>
      <w:r w:rsidR="00897FE5">
        <w:t xml:space="preserve">pro úspěšné řešení problémových učebních úloh je </w:t>
      </w:r>
      <w:r w:rsidR="00897FE5" w:rsidRPr="00D96DAA">
        <w:t xml:space="preserve">nezbytné, aby žák disponoval znalostmi nezbytnými k úspěšnému řešení </w:t>
      </w:r>
      <w:r w:rsidR="00897FE5">
        <w:t xml:space="preserve">souvisejícího </w:t>
      </w:r>
      <w:r w:rsidR="00897FE5" w:rsidRPr="00D96DAA">
        <w:t>problému</w:t>
      </w:r>
      <w:r w:rsidR="00897FE5">
        <w:t xml:space="preserve"> (</w:t>
      </w:r>
      <w:r w:rsidR="00B06B26" w:rsidRPr="00D96DAA">
        <w:t xml:space="preserve">srov. Barrow, </w:t>
      </w:r>
      <w:r w:rsidR="00444EB2" w:rsidRPr="00D96DAA">
        <w:t>1999,</w:t>
      </w:r>
      <w:r w:rsidR="00B06B26" w:rsidRPr="00D96DAA">
        <w:t xml:space="preserve"> s. 134; </w:t>
      </w:r>
      <w:r w:rsidR="00B06B26" w:rsidRPr="00E6726D">
        <w:t>Štech</w:t>
      </w:r>
      <w:r w:rsidR="00B54F66" w:rsidRPr="00E6726D">
        <w:t>,</w:t>
      </w:r>
      <w:r w:rsidR="00B54F66" w:rsidRPr="00D96DAA">
        <w:t xml:space="preserve"> </w:t>
      </w:r>
      <w:r w:rsidR="00E6726D">
        <w:t>2013, s. 629</w:t>
      </w:r>
      <w:r w:rsidR="00B06B26" w:rsidRPr="00D96DAA">
        <w:t>)</w:t>
      </w:r>
      <w:r w:rsidR="0000368C" w:rsidRPr="00D96DAA">
        <w:t xml:space="preserve">. </w:t>
      </w:r>
      <w:r w:rsidR="00072A4E" w:rsidRPr="00D96DAA">
        <w:t xml:space="preserve">Proto jsou znalosti v problémovém vyučování a učení pojímány jako klíčový element. </w:t>
      </w:r>
      <w:r w:rsidR="00444EB2" w:rsidRPr="00D96DAA">
        <w:t>To, co nazýváme znalostí, tradi</w:t>
      </w:r>
      <w:r w:rsidR="00B54F66" w:rsidRPr="00D96DAA">
        <w:t>č</w:t>
      </w:r>
      <w:r w:rsidR="00444EB2" w:rsidRPr="00D96DAA">
        <w:t xml:space="preserve">ně pokládáme za výsledek úspěšné poznávací činnosti. Proto je znalost také přijatelnou a uznávanou odpovědí na různé typy otázek, zejména otázky navozené slovy „co“, „kdo“, „kdy“, „kde“, „proč“, „zda“, „jak“, „kam“ a případně další výrazy vyjadřující deficit znalosti. </w:t>
      </w:r>
      <w:r w:rsidR="00897FE5">
        <w:t>Ve školní výuce by proto měly být nastolovány</w:t>
      </w:r>
      <w:r w:rsidR="00444EB2" w:rsidRPr="00D96DAA">
        <w:t xml:space="preserve"> situace, kdy vzniká potřeba znalostí, nebo deficit disponibilních znalostí, kdy jsou vytvářeny podněty a požadavky, aby potřebné znalosti byly zjištěny, vyhledány nebo nové </w:t>
      </w:r>
      <w:r w:rsidR="00897FE5">
        <w:t xml:space="preserve">znalosti </w:t>
      </w:r>
      <w:r w:rsidR="00444EB2" w:rsidRPr="00D96DAA">
        <w:t>objeveny (srov. Tondl, 2011, s. 470).</w:t>
      </w:r>
      <w:r w:rsidR="00F72E9D" w:rsidRPr="00D96DAA">
        <w:t xml:space="preserve"> </w:t>
      </w:r>
      <w:r w:rsidR="00F72E9D" w:rsidRPr="00D96DAA">
        <w:rPr>
          <w:rFonts w:eastAsia="Calibri"/>
          <w:lang w:eastAsia="en-US"/>
        </w:rPr>
        <w:t xml:space="preserve">V této kapitole budou představeny různé druhy </w:t>
      </w:r>
      <w:r w:rsidR="00332707" w:rsidRPr="00897FE5">
        <w:rPr>
          <w:rFonts w:eastAsia="Calibri"/>
          <w:lang w:eastAsia="en-US"/>
        </w:rPr>
        <w:t xml:space="preserve">znalostí </w:t>
      </w:r>
      <w:r w:rsidR="00332707" w:rsidRPr="00D96DAA">
        <w:rPr>
          <w:rFonts w:eastAsia="Calibri"/>
          <w:lang w:eastAsia="en-US"/>
        </w:rPr>
        <w:t>a popsány</w:t>
      </w:r>
      <w:r w:rsidR="00F72E9D" w:rsidRPr="00D96DAA">
        <w:rPr>
          <w:rFonts w:eastAsia="Calibri"/>
          <w:lang w:eastAsia="en-US"/>
        </w:rPr>
        <w:t xml:space="preserve"> procesy jejich utváření v kontextu školního </w:t>
      </w:r>
      <w:r w:rsidR="00F72E9D" w:rsidRPr="00897FE5">
        <w:rPr>
          <w:rFonts w:eastAsia="Calibri"/>
          <w:lang w:eastAsia="en-US"/>
        </w:rPr>
        <w:t>učení.</w:t>
      </w:r>
      <w:r w:rsidR="00F72E9D" w:rsidRPr="00D96DAA">
        <w:rPr>
          <w:rFonts w:eastAsia="Calibri"/>
          <w:lang w:eastAsia="en-US"/>
        </w:rPr>
        <w:t xml:space="preserve"> Částečně zde navazujeme na naše předchozí práce (</w:t>
      </w:r>
      <w:r w:rsidR="00897FE5">
        <w:rPr>
          <w:rFonts w:eastAsia="Calibri"/>
          <w:lang w:eastAsia="en-US"/>
        </w:rPr>
        <w:t xml:space="preserve">zejména </w:t>
      </w:r>
      <w:r w:rsidR="00F72E9D" w:rsidRPr="00D96DAA">
        <w:rPr>
          <w:rFonts w:eastAsia="Calibri"/>
          <w:lang w:eastAsia="en-US"/>
        </w:rPr>
        <w:t>Janík, Maňák, &amp; Knecht, 2009, s. 139–151).</w:t>
      </w:r>
    </w:p>
    <w:p w:rsidR="00F72E9D" w:rsidRPr="00D96DAA" w:rsidRDefault="00F72E9D" w:rsidP="005E23F1">
      <w:pPr>
        <w:spacing w:after="120" w:line="276" w:lineRule="auto"/>
        <w:jc w:val="both"/>
        <w:rPr>
          <w:rFonts w:eastAsia="Calibri"/>
          <w:lang w:eastAsia="en-US"/>
        </w:rPr>
      </w:pPr>
    </w:p>
    <w:p w:rsidR="00F72E9D" w:rsidRPr="00D96DAA" w:rsidRDefault="005E1120" w:rsidP="00D053A8">
      <w:pPr>
        <w:pStyle w:val="Nadpis3"/>
        <w:rPr>
          <w:rFonts w:eastAsia="Calibri"/>
          <w:lang w:eastAsia="en-US"/>
        </w:rPr>
      </w:pPr>
      <w:bookmarkStart w:id="54" w:name="_Toc399775412"/>
      <w:r w:rsidRPr="00D96DAA">
        <w:rPr>
          <w:rFonts w:eastAsia="Calibri"/>
          <w:lang w:eastAsia="en-US"/>
        </w:rPr>
        <w:t>Deklarativní, procedurální a kontextuální znalosti</w:t>
      </w:r>
      <w:bookmarkEnd w:id="54"/>
    </w:p>
    <w:p w:rsidR="00F72E9D" w:rsidRPr="00897FE5" w:rsidRDefault="00F72E9D" w:rsidP="005E23F1">
      <w:pPr>
        <w:spacing w:after="120" w:line="276" w:lineRule="auto"/>
        <w:jc w:val="both"/>
        <w:rPr>
          <w:rFonts w:eastAsia="Calibri"/>
          <w:lang w:eastAsia="en-US"/>
        </w:rPr>
      </w:pPr>
      <w:r w:rsidRPr="00897FE5">
        <w:rPr>
          <w:rFonts w:eastAsia="Calibri"/>
          <w:i/>
          <w:lang w:eastAsia="en-US"/>
        </w:rPr>
        <w:t>Deklarativní znalosti</w:t>
      </w:r>
      <w:r w:rsidRPr="00897FE5">
        <w:rPr>
          <w:rFonts w:eastAsia="Calibri"/>
          <w:lang w:eastAsia="en-US"/>
        </w:rPr>
        <w:t xml:space="preserve"> jsou znalostmi typu „</w:t>
      </w:r>
      <w:r w:rsidR="00897FE5" w:rsidRPr="00897FE5">
        <w:rPr>
          <w:rFonts w:eastAsia="Calibri"/>
          <w:lang w:eastAsia="en-US"/>
        </w:rPr>
        <w:t>co</w:t>
      </w:r>
      <w:r w:rsidRPr="00897FE5">
        <w:rPr>
          <w:rFonts w:eastAsia="Calibri"/>
          <w:lang w:eastAsia="en-US"/>
        </w:rPr>
        <w:t>“. Díky nim víme, že něco je takové či jiné, že něco je tak či onak. Deklarativní znalosti se vztahují</w:t>
      </w:r>
      <w:r w:rsidR="00897FE5" w:rsidRPr="00897FE5">
        <w:rPr>
          <w:rFonts w:eastAsia="Calibri"/>
          <w:lang w:eastAsia="en-US"/>
        </w:rPr>
        <w:t xml:space="preserve"> zejména k faktografické a pojmové složce </w:t>
      </w:r>
      <w:r w:rsidRPr="00897FE5">
        <w:rPr>
          <w:rFonts w:eastAsia="Calibri"/>
          <w:lang w:eastAsia="en-US"/>
        </w:rPr>
        <w:t>učiva (např. zna</w:t>
      </w:r>
      <w:r w:rsidRPr="00897FE5">
        <w:rPr>
          <w:rFonts w:eastAsia="Calibri"/>
          <w:lang w:eastAsia="en-US"/>
        </w:rPr>
        <w:softHyphen/>
        <w:t>losti historických dat, jednotek fyzikálních veličin atp.). Na úrovni základního vzdělávání patří deklarativní znalosti k nejčastěji zprostředkovávaným typům znalostí. Deklarativní znalosti fungují jako „základní stavební kameny“ znalostních struktur. Z hlediska časové následnosti jsou deklarativní znalosti zprostředkovávány zpravidla dříve než znalosti procedurální či kontextuální (viz dále).</w:t>
      </w:r>
      <w:r w:rsidRPr="00897FE5">
        <w:rPr>
          <w:rStyle w:val="Znakapoznpodarou"/>
          <w:rFonts w:eastAsia="Calibri"/>
          <w:lang w:eastAsia="en-US"/>
        </w:rPr>
        <w:footnoteReference w:id="56"/>
      </w:r>
      <w:r w:rsidRPr="00897FE5">
        <w:rPr>
          <w:rFonts w:eastAsia="Calibri"/>
          <w:lang w:eastAsia="en-US"/>
        </w:rPr>
        <w:t xml:space="preserve"> </w:t>
      </w:r>
    </w:p>
    <w:p w:rsidR="00F72E9D" w:rsidRPr="00897FE5" w:rsidRDefault="00F72E9D" w:rsidP="005E23F1">
      <w:pPr>
        <w:spacing w:after="120" w:line="276" w:lineRule="auto"/>
        <w:jc w:val="both"/>
        <w:rPr>
          <w:rFonts w:eastAsia="Calibri"/>
          <w:lang w:eastAsia="en-US"/>
        </w:rPr>
      </w:pPr>
      <w:r w:rsidRPr="00897FE5">
        <w:rPr>
          <w:rFonts w:eastAsia="Calibri"/>
          <w:i/>
          <w:lang w:eastAsia="en-US"/>
        </w:rPr>
        <w:t>Procedurální (aplikační) znalosti</w:t>
      </w:r>
      <w:r w:rsidRPr="00897FE5">
        <w:rPr>
          <w:rFonts w:eastAsia="Calibri"/>
          <w:lang w:eastAsia="en-US"/>
        </w:rPr>
        <w:t xml:space="preserve"> – jde o dynamické znalosti, které se váží k procedurám řešení problémů. Jsou to znalosti typu „jak“. Co do povahy jde o znalosti gene</w:t>
      </w:r>
      <w:r w:rsidRPr="00897FE5">
        <w:rPr>
          <w:rFonts w:eastAsia="Calibri"/>
          <w:lang w:eastAsia="en-US"/>
        </w:rPr>
        <w:softHyphen/>
        <w:t>rické, neboť jako výsledek uplatnění procedury z nich vznikají nové znalosti. Většinou jsou reprezentovány ve formě algoritmů či scénářů jednání. Cha</w:t>
      </w:r>
      <w:r w:rsidRPr="00897FE5">
        <w:rPr>
          <w:rFonts w:eastAsia="Calibri"/>
          <w:lang w:eastAsia="en-US"/>
        </w:rPr>
        <w:softHyphen/>
        <w:t>ra</w:t>
      </w:r>
      <w:r w:rsidRPr="00897FE5">
        <w:rPr>
          <w:rFonts w:eastAsia="Calibri"/>
          <w:lang w:eastAsia="en-US"/>
        </w:rPr>
        <w:softHyphen/>
        <w:t>kte</w:t>
      </w:r>
      <w:r w:rsidRPr="00897FE5">
        <w:rPr>
          <w:rFonts w:eastAsia="Calibri"/>
          <w:lang w:eastAsia="en-US"/>
        </w:rPr>
        <w:softHyphen/>
        <w:t>ristická je pro ně zaměřenost na cíl včetně jeho rozložení na dílčí cíle; zahrnují výběr a popis jednání nutného pro dosažení (dílčích) cílů. Díky těmto zna</w:t>
      </w:r>
      <w:r w:rsidRPr="00897FE5">
        <w:rPr>
          <w:rFonts w:eastAsia="Calibri"/>
          <w:lang w:eastAsia="en-US"/>
        </w:rPr>
        <w:softHyphen/>
        <w:t>lost</w:t>
      </w:r>
      <w:r w:rsidRPr="00897FE5">
        <w:rPr>
          <w:rFonts w:eastAsia="Calibri"/>
          <w:lang w:eastAsia="en-US"/>
        </w:rPr>
        <w:softHyphen/>
        <w:t xml:space="preserve">em víme, jak řešit problémy. Jsou uplatňovány bezprostředně při jednání. Ve školní výuce jsou procedurální znalosti rozvíjeny v úzké návaznosti na znalosti deklarativní. Díky procedurálním znalostem žáci vědí, jak něco udělat. </w:t>
      </w:r>
    </w:p>
    <w:p w:rsidR="004B2BCF" w:rsidRPr="00897FE5" w:rsidRDefault="00F72E9D" w:rsidP="008026B1">
      <w:pPr>
        <w:spacing w:after="120" w:line="276" w:lineRule="auto"/>
        <w:jc w:val="both"/>
      </w:pPr>
      <w:r w:rsidRPr="00897FE5">
        <w:rPr>
          <w:rFonts w:eastAsia="Calibri"/>
          <w:i/>
          <w:iCs/>
          <w:lang w:eastAsia="en-US"/>
        </w:rPr>
        <w:t>Kontextuální znalosti</w:t>
      </w:r>
      <w:r w:rsidRPr="00897FE5">
        <w:rPr>
          <w:rFonts w:eastAsia="Calibri"/>
          <w:lang w:eastAsia="en-US"/>
        </w:rPr>
        <w:t xml:space="preserve"> – jsou chápány jako znalost účelu, souvislostí a podmínek, jak dosáhnout potřebného cíle. Zároveň odpovídají tyto znalosti na otázky typu: proč něco udělat či neudělat, kdy, kde a za jakých podmínek (Průcha, Walterová, &amp; Mareš, 2009, s. 132). Zejména při řešení problémů mnohdy nestačí vědět „</w:t>
      </w:r>
      <w:r w:rsidR="00897FE5">
        <w:rPr>
          <w:rFonts w:eastAsia="Calibri"/>
          <w:lang w:eastAsia="en-US"/>
        </w:rPr>
        <w:t>co</w:t>
      </w:r>
      <w:r w:rsidRPr="00897FE5">
        <w:rPr>
          <w:rFonts w:eastAsia="Calibri"/>
          <w:lang w:eastAsia="en-US"/>
        </w:rPr>
        <w:t>“ a „jak“, často je také nezbytné vědět „proč“. Kontextuální (strukturální) znalosti jsou předpokladem pro porozumění vztahu me</w:t>
      </w:r>
      <w:r w:rsidR="00E6726D" w:rsidRPr="00897FE5">
        <w:rPr>
          <w:rFonts w:eastAsia="Calibri"/>
          <w:lang w:eastAsia="en-US"/>
        </w:rPr>
        <w:t>zi</w:t>
      </w:r>
      <w:r w:rsidR="008F7D99" w:rsidRPr="00897FE5">
        <w:rPr>
          <w:rFonts w:eastAsia="Calibri"/>
          <w:lang w:eastAsia="en-US"/>
        </w:rPr>
        <w:t xml:space="preserve"> p</w:t>
      </w:r>
      <w:r w:rsidRPr="00897FE5">
        <w:rPr>
          <w:rFonts w:eastAsia="Calibri"/>
          <w:lang w:eastAsia="en-US"/>
        </w:rPr>
        <w:t xml:space="preserve">ojmy, </w:t>
      </w:r>
      <w:r w:rsidR="00E6726D" w:rsidRPr="00897FE5">
        <w:rPr>
          <w:rFonts w:eastAsia="Calibri"/>
          <w:lang w:eastAsia="en-US"/>
        </w:rPr>
        <w:t xml:space="preserve">a </w:t>
      </w:r>
      <w:r w:rsidRPr="00897FE5">
        <w:rPr>
          <w:rFonts w:eastAsia="Calibri"/>
          <w:lang w:eastAsia="en-US"/>
        </w:rPr>
        <w:t xml:space="preserve">jsou předpokladem pro řešení </w:t>
      </w:r>
      <w:r w:rsidR="004B2BCF" w:rsidRPr="00897FE5">
        <w:rPr>
          <w:rFonts w:eastAsia="Calibri"/>
          <w:lang w:eastAsia="en-US"/>
        </w:rPr>
        <w:t>p</w:t>
      </w:r>
      <w:r w:rsidRPr="00897FE5">
        <w:rPr>
          <w:rFonts w:eastAsia="Calibri"/>
          <w:lang w:eastAsia="en-US"/>
        </w:rPr>
        <w:t xml:space="preserve">roblémů. </w:t>
      </w:r>
    </w:p>
    <w:p w:rsidR="004B2BCF" w:rsidRDefault="004B2BCF" w:rsidP="008F7D99">
      <w:pPr>
        <w:spacing w:after="120" w:line="276" w:lineRule="auto"/>
        <w:jc w:val="both"/>
      </w:pPr>
    </w:p>
    <w:p w:rsidR="00F72E9D" w:rsidRPr="00D96DAA" w:rsidRDefault="004B2BCF" w:rsidP="004B2BCF">
      <w:pPr>
        <w:spacing w:after="120" w:line="276" w:lineRule="auto"/>
        <w:jc w:val="both"/>
        <w:rPr>
          <w:color w:val="FF0000"/>
        </w:rPr>
      </w:pPr>
      <w:r>
        <w:rPr>
          <w:noProof/>
          <w:color w:val="FF0000"/>
        </w:rPr>
        <w:drawing>
          <wp:inline distT="0" distB="0" distL="0" distR="0">
            <wp:extent cx="5759450" cy="2538730"/>
            <wp:effectExtent l="19050" t="0" r="0" b="0"/>
            <wp:docPr id="13" name="Obrázek 12" descr="Obrázek 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03.png"/>
                    <pic:cNvPicPr/>
                  </pic:nvPicPr>
                  <pic:blipFill>
                    <a:blip r:embed="rId23" cstate="print"/>
                    <a:stretch>
                      <a:fillRect/>
                    </a:stretch>
                  </pic:blipFill>
                  <pic:spPr>
                    <a:xfrm>
                      <a:off x="0" y="0"/>
                      <a:ext cx="5759450" cy="2538730"/>
                    </a:xfrm>
                    <a:prstGeom prst="rect">
                      <a:avLst/>
                    </a:prstGeom>
                  </pic:spPr>
                </pic:pic>
              </a:graphicData>
            </a:graphic>
          </wp:inline>
        </w:drawing>
      </w:r>
    </w:p>
    <w:p w:rsidR="00603E67" w:rsidRPr="001C1FE3" w:rsidRDefault="001C1FE3" w:rsidP="001C1FE3">
      <w:pPr>
        <w:pStyle w:val="Titulek"/>
        <w:rPr>
          <w:b w:val="0"/>
          <w:sz w:val="24"/>
        </w:rPr>
      </w:pPr>
      <w:bookmarkStart w:id="55" w:name="_Toc399789150"/>
      <w:r w:rsidRPr="001C1FE3">
        <w:rPr>
          <w:b w:val="0"/>
          <w:i/>
          <w:sz w:val="24"/>
        </w:rPr>
        <w:t xml:space="preserve">Obrázek </w:t>
      </w:r>
      <w:r w:rsidR="003818A1" w:rsidRPr="001C1FE3">
        <w:rPr>
          <w:b w:val="0"/>
          <w:i/>
          <w:sz w:val="24"/>
        </w:rPr>
        <w:fldChar w:fldCharType="begin"/>
      </w:r>
      <w:r w:rsidRPr="001C1FE3">
        <w:rPr>
          <w:b w:val="0"/>
          <w:i/>
          <w:sz w:val="24"/>
        </w:rPr>
        <w:instrText xml:space="preserve"> SEQ Obrázek \* ARABIC </w:instrText>
      </w:r>
      <w:r w:rsidR="003818A1" w:rsidRPr="001C1FE3">
        <w:rPr>
          <w:b w:val="0"/>
          <w:i/>
          <w:sz w:val="24"/>
        </w:rPr>
        <w:fldChar w:fldCharType="separate"/>
      </w:r>
      <w:r w:rsidR="00FB20B9">
        <w:rPr>
          <w:b w:val="0"/>
          <w:i/>
          <w:noProof/>
          <w:sz w:val="24"/>
        </w:rPr>
        <w:t>12</w:t>
      </w:r>
      <w:r w:rsidR="003818A1" w:rsidRPr="001C1FE3">
        <w:rPr>
          <w:b w:val="0"/>
          <w:i/>
          <w:sz w:val="24"/>
        </w:rPr>
        <w:fldChar w:fldCharType="end"/>
      </w:r>
      <w:r w:rsidRPr="001C1FE3">
        <w:rPr>
          <w:b w:val="0"/>
          <w:i/>
          <w:sz w:val="24"/>
        </w:rPr>
        <w:t xml:space="preserve">. </w:t>
      </w:r>
      <w:r w:rsidR="005E1120" w:rsidRPr="001C1FE3">
        <w:rPr>
          <w:b w:val="0"/>
          <w:sz w:val="24"/>
        </w:rPr>
        <w:t>Konceptualizace znalostí</w:t>
      </w:r>
      <w:r w:rsidR="00603E67" w:rsidRPr="001C1FE3">
        <w:rPr>
          <w:b w:val="0"/>
          <w:sz w:val="24"/>
        </w:rPr>
        <w:t>.</w:t>
      </w:r>
      <w:bookmarkEnd w:id="55"/>
      <w:r w:rsidR="00603E67" w:rsidRPr="001C1FE3">
        <w:rPr>
          <w:b w:val="0"/>
          <w:sz w:val="24"/>
        </w:rPr>
        <w:t xml:space="preserve"> </w:t>
      </w:r>
    </w:p>
    <w:p w:rsidR="005E1120" w:rsidRPr="00603E67" w:rsidRDefault="001C1FE3" w:rsidP="00110559">
      <w:pPr>
        <w:spacing w:line="276" w:lineRule="auto"/>
        <w:jc w:val="both"/>
        <w:rPr>
          <w:sz w:val="20"/>
        </w:rPr>
      </w:pPr>
      <w:r>
        <w:rPr>
          <w:sz w:val="20"/>
        </w:rPr>
        <w:t>Pozn. Převzato z</w:t>
      </w:r>
      <w:r w:rsidR="00603E67" w:rsidRPr="00603E67">
        <w:rPr>
          <w:sz w:val="20"/>
        </w:rPr>
        <w:t xml:space="preserve"> </w:t>
      </w:r>
      <w:r w:rsidR="00427E3F" w:rsidRPr="00603E67">
        <w:rPr>
          <w:sz w:val="20"/>
        </w:rPr>
        <w:t xml:space="preserve">Yim </w:t>
      </w:r>
      <w:r w:rsidR="00603E67" w:rsidRPr="00603E67">
        <w:rPr>
          <w:sz w:val="20"/>
        </w:rPr>
        <w:t>a kol</w:t>
      </w:r>
      <w:r w:rsidR="00427E3F" w:rsidRPr="00603E67">
        <w:rPr>
          <w:sz w:val="20"/>
        </w:rPr>
        <w:t>.</w:t>
      </w:r>
      <w:r w:rsidR="00603E67" w:rsidRPr="00603E67">
        <w:rPr>
          <w:sz w:val="20"/>
        </w:rPr>
        <w:t xml:space="preserve"> (</w:t>
      </w:r>
      <w:r w:rsidR="00427E3F" w:rsidRPr="00603E67">
        <w:rPr>
          <w:sz w:val="20"/>
        </w:rPr>
        <w:t>2004, s. 144).</w:t>
      </w:r>
      <w:r w:rsidR="00427E3F" w:rsidRPr="00603E67">
        <w:rPr>
          <w:rStyle w:val="Znakapoznpodarou"/>
          <w:sz w:val="20"/>
        </w:rPr>
        <w:footnoteReference w:id="57"/>
      </w:r>
      <w:r w:rsidR="00B67F9E" w:rsidRPr="00603E67">
        <w:rPr>
          <w:sz w:val="20"/>
        </w:rPr>
        <w:t xml:space="preserve"> </w:t>
      </w:r>
    </w:p>
    <w:p w:rsidR="00F72E9D" w:rsidRPr="00D96DAA" w:rsidRDefault="00F72E9D" w:rsidP="00110559">
      <w:pPr>
        <w:spacing w:after="120" w:line="276" w:lineRule="auto"/>
        <w:jc w:val="both"/>
        <w:rPr>
          <w:rFonts w:eastAsia="Calibri"/>
          <w:szCs w:val="22"/>
          <w:lang w:eastAsia="en-US"/>
        </w:rPr>
      </w:pPr>
    </w:p>
    <w:p w:rsidR="00653ED1" w:rsidRPr="004F0F04" w:rsidRDefault="00F72E9D" w:rsidP="00110559">
      <w:pPr>
        <w:spacing w:after="120" w:line="276" w:lineRule="auto"/>
        <w:jc w:val="both"/>
        <w:rPr>
          <w:rFonts w:eastAsia="Calibri"/>
          <w:szCs w:val="22"/>
          <w:lang w:eastAsia="en-US"/>
        </w:rPr>
      </w:pPr>
      <w:r w:rsidRPr="004F0F04">
        <w:rPr>
          <w:rFonts w:eastAsia="Calibri"/>
          <w:szCs w:val="22"/>
          <w:lang w:eastAsia="en-US"/>
        </w:rPr>
        <w:t xml:space="preserve">Řešení učebních úloh vyžaduje </w:t>
      </w:r>
      <w:r w:rsidRPr="00603E67">
        <w:rPr>
          <w:rFonts w:eastAsia="Calibri"/>
          <w:szCs w:val="22"/>
          <w:lang w:eastAsia="en-US"/>
        </w:rPr>
        <w:t>koordinované a simultánní uplatnění zejména znalostí deklarativních a znalostí procedurálních</w:t>
      </w:r>
      <w:r w:rsidR="004F0F04" w:rsidRPr="00603E67">
        <w:rPr>
          <w:rFonts w:eastAsia="Calibri"/>
          <w:szCs w:val="22"/>
          <w:lang w:eastAsia="en-US"/>
        </w:rPr>
        <w:t xml:space="preserve"> (srov. obr. </w:t>
      </w:r>
      <w:r w:rsidR="00603E67" w:rsidRPr="00603E67">
        <w:rPr>
          <w:rFonts w:eastAsia="Calibri"/>
          <w:szCs w:val="22"/>
          <w:lang w:eastAsia="en-US"/>
        </w:rPr>
        <w:t>12</w:t>
      </w:r>
      <w:r w:rsidR="004F0F04" w:rsidRPr="00603E67">
        <w:rPr>
          <w:rFonts w:eastAsia="Calibri"/>
          <w:szCs w:val="22"/>
          <w:lang w:eastAsia="en-US"/>
        </w:rPr>
        <w:t>)</w:t>
      </w:r>
      <w:r w:rsidRPr="00603E67">
        <w:rPr>
          <w:rFonts w:eastAsia="Calibri"/>
          <w:szCs w:val="22"/>
          <w:lang w:eastAsia="en-US"/>
        </w:rPr>
        <w:t xml:space="preserve">. V případě, že se jedná o problémové </w:t>
      </w:r>
      <w:r w:rsidR="00A6055E" w:rsidRPr="00603E67">
        <w:rPr>
          <w:rFonts w:eastAsia="Calibri"/>
          <w:szCs w:val="22"/>
          <w:lang w:eastAsia="en-US"/>
        </w:rPr>
        <w:t>učebn</w:t>
      </w:r>
      <w:r w:rsidR="00110559" w:rsidRPr="00603E67">
        <w:rPr>
          <w:rFonts w:eastAsia="Calibri"/>
          <w:szCs w:val="22"/>
          <w:lang w:eastAsia="en-US"/>
        </w:rPr>
        <w:t>í</w:t>
      </w:r>
      <w:r w:rsidR="00A6055E" w:rsidRPr="00603E67">
        <w:rPr>
          <w:rFonts w:eastAsia="Calibri"/>
          <w:szCs w:val="22"/>
          <w:lang w:eastAsia="en-US"/>
        </w:rPr>
        <w:t xml:space="preserve"> </w:t>
      </w:r>
      <w:r w:rsidRPr="00603E67">
        <w:rPr>
          <w:rFonts w:eastAsia="Calibri"/>
          <w:szCs w:val="22"/>
          <w:lang w:eastAsia="en-US"/>
        </w:rPr>
        <w:t>úlohy, bývají ve výraznější míře akt</w:t>
      </w:r>
      <w:r w:rsidR="004F0F04" w:rsidRPr="00603E67">
        <w:rPr>
          <w:rFonts w:eastAsia="Calibri"/>
          <w:szCs w:val="22"/>
          <w:lang w:eastAsia="en-US"/>
        </w:rPr>
        <w:t>ivizovány</w:t>
      </w:r>
      <w:r w:rsidRPr="00603E67">
        <w:rPr>
          <w:rFonts w:eastAsia="Calibri"/>
          <w:szCs w:val="22"/>
          <w:lang w:eastAsia="en-US"/>
        </w:rPr>
        <w:t xml:space="preserve"> též znalosti</w:t>
      </w:r>
      <w:r w:rsidRPr="004F0F04">
        <w:rPr>
          <w:rFonts w:eastAsia="Calibri"/>
          <w:szCs w:val="22"/>
          <w:lang w:eastAsia="en-US"/>
        </w:rPr>
        <w:t xml:space="preserve"> kontextuální.</w:t>
      </w:r>
      <w:r w:rsidR="00D461A1" w:rsidRPr="004F0F04">
        <w:rPr>
          <w:rStyle w:val="Znakapoznpodarou"/>
          <w:rFonts w:eastAsia="Calibri"/>
          <w:szCs w:val="22"/>
          <w:lang w:eastAsia="en-US"/>
        </w:rPr>
        <w:footnoteReference w:id="58"/>
      </w:r>
      <w:r w:rsidRPr="004F0F04">
        <w:rPr>
          <w:rFonts w:eastAsia="Calibri"/>
          <w:szCs w:val="22"/>
          <w:lang w:eastAsia="en-US"/>
        </w:rPr>
        <w:t xml:space="preserve"> </w:t>
      </w:r>
    </w:p>
    <w:p w:rsidR="005E7AF7" w:rsidRPr="0020366F" w:rsidRDefault="005E7AF7" w:rsidP="00110559">
      <w:pPr>
        <w:spacing w:after="120" w:line="276" w:lineRule="auto"/>
        <w:jc w:val="both"/>
        <w:rPr>
          <w:rFonts w:eastAsia="Calibri"/>
          <w:szCs w:val="22"/>
          <w:lang w:eastAsia="en-US"/>
        </w:rPr>
      </w:pPr>
    </w:p>
    <w:p w:rsidR="00653ED1" w:rsidRDefault="00653ED1" w:rsidP="00110559">
      <w:pPr>
        <w:pStyle w:val="Nadpis3"/>
        <w:jc w:val="both"/>
      </w:pPr>
      <w:bookmarkStart w:id="56" w:name="_Toc399775413"/>
      <w:r>
        <w:t>Epistemické a heuristické znalosti</w:t>
      </w:r>
      <w:bookmarkEnd w:id="56"/>
    </w:p>
    <w:p w:rsidR="00C524FB" w:rsidRDefault="00A6055E" w:rsidP="00110559">
      <w:pPr>
        <w:spacing w:line="276" w:lineRule="auto"/>
        <w:jc w:val="both"/>
      </w:pPr>
      <w:r w:rsidRPr="00D96DAA">
        <w:t>Alternativu k</w:t>
      </w:r>
      <w:r w:rsidR="00653ED1">
        <w:t xml:space="preserve"> výše </w:t>
      </w:r>
      <w:r w:rsidRPr="00D96DAA">
        <w:t>uvedenému členění znalostí navrhuje Dörner (</w:t>
      </w:r>
      <w:r w:rsidR="00F72E9D" w:rsidRPr="00D96DAA">
        <w:t>1976, s. 26), který rozlišuje epistemické a heuristické znalosti. Epistemické znalosti odrážejí všechny dosavadní zkušenost</w:t>
      </w:r>
      <w:r w:rsidR="00653ED1">
        <w:t>i</w:t>
      </w:r>
      <w:r w:rsidR="00FD74C2">
        <w:t xml:space="preserve"> subjektu. Tvoří je</w:t>
      </w:r>
      <w:r w:rsidR="00F72E9D" w:rsidRPr="00D96DAA">
        <w:t xml:space="preserve"> </w:t>
      </w:r>
      <w:r w:rsidR="00FD74C2">
        <w:t xml:space="preserve">znalosti o faktech a operátorech vztažených ke konkrétnímu problému – zejména </w:t>
      </w:r>
      <w:r w:rsidR="00F72E9D" w:rsidRPr="00D96DAA">
        <w:t>fakt</w:t>
      </w:r>
      <w:r w:rsidR="004F0F04">
        <w:t>ografické</w:t>
      </w:r>
      <w:r w:rsidR="00F72E9D" w:rsidRPr="00D96DAA">
        <w:t xml:space="preserve"> znalosti, znalosti o procesech řešení problémových situací a znalosti o jejich praktické aplikaci. Epistemické znalosti se vyvíjejí a proměňují na základ</w:t>
      </w:r>
      <w:r w:rsidR="00FD74C2">
        <w:t xml:space="preserve">ě mentálního procesu akomodace. </w:t>
      </w:r>
    </w:p>
    <w:p w:rsidR="00F72E9D" w:rsidRPr="00D96DAA" w:rsidRDefault="00F72E9D" w:rsidP="00110559">
      <w:pPr>
        <w:spacing w:line="276" w:lineRule="auto"/>
        <w:jc w:val="both"/>
      </w:pPr>
      <w:r w:rsidRPr="00D96DAA">
        <w:t xml:space="preserve">Heuristické znalosti je možné definovat jako znalosti o procesu akomodace. </w:t>
      </w:r>
      <w:r w:rsidR="00C524FB">
        <w:t>Tyto meta-znalosti nejsou vázané na konkrétní problém, je možné je chápat jako zásobník postupů řešení (metod), s využitím kterých může být konstruován nebo přizpůsobován proces řešení problému.</w:t>
      </w:r>
      <w:r w:rsidR="00C524FB">
        <w:rPr>
          <w:rStyle w:val="Znakapoznpodarou"/>
        </w:rPr>
        <w:footnoteReference w:id="59"/>
      </w:r>
      <w:r w:rsidR="00C524FB">
        <w:t xml:space="preserve"> </w:t>
      </w:r>
      <w:r w:rsidRPr="00D96DAA">
        <w:t xml:space="preserve">Obsahují operátory, s pomocí kterých je možné přizpůsobovat kognitivní struktury tak, aby aktivity založené na jejich základě byly úspěšné. </w:t>
      </w:r>
      <w:r w:rsidR="00FD74C2">
        <w:t>Heuristické znalosti</w:t>
      </w:r>
      <w:r w:rsidR="00653ED1">
        <w:t xml:space="preserve"> zahrnují množství metaoperátorů, s nimiž proces řešení problému může vést k dosažení stanovených cílů. </w:t>
      </w:r>
    </w:p>
    <w:p w:rsidR="00F72E9D" w:rsidRPr="00D96DAA" w:rsidRDefault="00F72E9D" w:rsidP="00C524FB">
      <w:pPr>
        <w:spacing w:after="120" w:line="276" w:lineRule="auto"/>
        <w:jc w:val="both"/>
      </w:pPr>
    </w:p>
    <w:p w:rsidR="001C2E31" w:rsidRPr="00D96DAA" w:rsidRDefault="001C2E31" w:rsidP="00C524FB">
      <w:pPr>
        <w:pStyle w:val="Nadpis3"/>
        <w:jc w:val="both"/>
      </w:pPr>
      <w:bookmarkStart w:id="57" w:name="_Toc399775414"/>
      <w:r w:rsidRPr="00D96DAA">
        <w:t xml:space="preserve">Gagného klasifikace </w:t>
      </w:r>
      <w:r w:rsidR="003F5B23">
        <w:t>znalostí</w:t>
      </w:r>
      <w:bookmarkEnd w:id="57"/>
    </w:p>
    <w:p w:rsidR="001C2E31" w:rsidRPr="00D96DAA" w:rsidRDefault="004F0F04" w:rsidP="00C524FB">
      <w:pPr>
        <w:autoSpaceDE w:val="0"/>
        <w:autoSpaceDN w:val="0"/>
        <w:adjustRightInd w:val="0"/>
        <w:spacing w:after="120" w:line="276" w:lineRule="auto"/>
        <w:jc w:val="both"/>
      </w:pPr>
      <w:r>
        <w:t xml:space="preserve">Stejně jako další autoři </w:t>
      </w:r>
      <w:r w:rsidR="00090C6B" w:rsidRPr="00D96DAA">
        <w:t xml:space="preserve">rozlišuje </w:t>
      </w:r>
      <w:r w:rsidRPr="00D96DAA">
        <w:t xml:space="preserve">Gagné </w:t>
      </w:r>
      <w:r w:rsidR="00090C6B" w:rsidRPr="00D96DAA">
        <w:t>deklarativní znalosti (znalost faktů a konceptů) a procedurální znalosti (znalost pravidel</w:t>
      </w:r>
      <w:r w:rsidR="003F5B23">
        <w:t xml:space="preserve"> a postupů</w:t>
      </w:r>
      <w:r w:rsidR="00090C6B" w:rsidRPr="00D96DAA">
        <w:t>). Osvoj</w:t>
      </w:r>
      <w:r>
        <w:t>ování</w:t>
      </w:r>
      <w:r w:rsidR="00090C6B" w:rsidRPr="00D96DAA">
        <w:t xml:space="preserve"> znalostí závisí především na druhu učení, které je po subjektu vyžadováno. Jednotlivé druhy učení jsou hierarchicky uspořádány tak, že nižší druhy učení (např. klasifikace pojmů) vytvářejí předpoklady pro vyšší druhy učení (např. identifikace pravidel a principů). Nejvyšším druhem učení je dle Gagného </w:t>
      </w:r>
      <w:r w:rsidR="00090C6B" w:rsidRPr="00D96DAA">
        <w:rPr>
          <w:i/>
        </w:rPr>
        <w:t>řešení problémů.</w:t>
      </w:r>
      <w:r w:rsidR="00090C6B" w:rsidRPr="00D96DAA">
        <w:rPr>
          <w:b/>
        </w:rPr>
        <w:t xml:space="preserve"> </w:t>
      </w:r>
      <w:r w:rsidR="00090C6B" w:rsidRPr="00D96DAA">
        <w:t xml:space="preserve">Řešení problémů vyžaduje zpětné vybavení si jednodušších pravidel a vymezených konceptů. Učení se vymezeným (odborným, složitějším) konceptům není možné bez znalosti konkrétních (každodenních) konceptů (podmínkou je schopnost zobecňovat, např. pojmenovat předměty se shodnými vlastnostmi). Konceptuální učení přímo souvisí se zvládnutím učení se diskriminacím (schopnost rozlišování percepčních struktur, např. předmětů se shodnými a odlišnými vlastnostmi). </w:t>
      </w:r>
      <w:r>
        <w:t>Znalosti</w:t>
      </w:r>
      <w:r w:rsidR="00090C6B" w:rsidRPr="00D96DAA">
        <w:t xml:space="preserve"> získané na nižších hladinách tvoří základnu potřebnou pro úspěšné řešení úloh na hladinác</w:t>
      </w:r>
      <w:r w:rsidR="004B2472" w:rsidRPr="00D96DAA">
        <w:t>h vyšších</w:t>
      </w:r>
      <w:r w:rsidR="008026B1" w:rsidRPr="008026B1">
        <w:t xml:space="preserve"> </w:t>
      </w:r>
      <w:r w:rsidR="008026B1">
        <w:t>(volně podle Gagné et al., 2005, s. 60–73):</w:t>
      </w:r>
    </w:p>
    <w:p w:rsidR="001C2E31" w:rsidRPr="00D96DAA" w:rsidRDefault="001C2E31" w:rsidP="00FE68D6">
      <w:pPr>
        <w:numPr>
          <w:ilvl w:val="0"/>
          <w:numId w:val="22"/>
        </w:numPr>
        <w:autoSpaceDE w:val="0"/>
        <w:autoSpaceDN w:val="0"/>
        <w:adjustRightInd w:val="0"/>
        <w:spacing w:after="120" w:line="276" w:lineRule="auto"/>
        <w:jc w:val="both"/>
      </w:pPr>
      <w:r w:rsidRPr="00D96DAA">
        <w:t>Učení se diskriminacím. Učící se subjekt musí disponovat správnou funkcí relevantních mozkových činností, které mu umožní o určitém objektu prohlásit, že je totožný nebo odlišný ve srovnání s jiným objektem. Učitel vytváří různé stimuly za účelem jejich porovnávání. Žáci jsou následně schopni rozlišovat stimuly se shodnými či odlišnými vlastnostmi na základě podobnosti či odlišnosti.</w:t>
      </w:r>
    </w:p>
    <w:p w:rsidR="001C2E31" w:rsidRPr="00D96DAA" w:rsidRDefault="001C2E31" w:rsidP="00FE68D6">
      <w:pPr>
        <w:numPr>
          <w:ilvl w:val="0"/>
          <w:numId w:val="22"/>
        </w:numPr>
        <w:autoSpaceDE w:val="0"/>
        <w:autoSpaceDN w:val="0"/>
        <w:adjustRightInd w:val="0"/>
        <w:spacing w:after="120" w:line="276" w:lineRule="auto"/>
        <w:jc w:val="both"/>
      </w:pPr>
      <w:r w:rsidRPr="00D96DAA">
        <w:t>Učení se konkrétním konceptům. Osvojení konkrétního konceptu vyžaduje schopnost diskriminace, jednotlivé relevantní vlastnosti konkrétního konceptu musí být porovnány a kategorizovány. Učitel označuje příslušný koncept, na příkladech prezentuje jeho relevantní vlastnosti a vytváří příležitosti pro porovnávání a kategorizování relevantních charakteristik za účelem jejich osvojení. Identifikace třídy vlastností určitého objektu na základě určení alespoň dvou zástupců této třídy.</w:t>
      </w:r>
    </w:p>
    <w:p w:rsidR="001C2E31" w:rsidRPr="00D96DAA" w:rsidRDefault="001C2E31" w:rsidP="00FE68D6">
      <w:pPr>
        <w:numPr>
          <w:ilvl w:val="0"/>
          <w:numId w:val="22"/>
        </w:numPr>
        <w:autoSpaceDE w:val="0"/>
        <w:autoSpaceDN w:val="0"/>
        <w:adjustRightInd w:val="0"/>
        <w:spacing w:after="120" w:line="276" w:lineRule="auto"/>
        <w:jc w:val="both"/>
      </w:pPr>
      <w:r w:rsidRPr="00D96DAA">
        <w:t>Učení se vymezeným konceptům. Učící se subjekt si musí vybavit součásti typické pro určitý koncept a prokázat porozumění tomuto konceptu např. tím, že překročí úroveň pamětně osvojené definice příslušného konceptu. Učitel přibližuje a definuje příslušný koncept a vytváří příležitosti k jeho osvojování. Aplikace konceptu na základě klasifikace typických případů. Aplikace překračuje pamětně osvojenou definici konceptu směrem k hlubšímu porozumění.</w:t>
      </w:r>
    </w:p>
    <w:p w:rsidR="001C2E31" w:rsidRPr="00D96DAA" w:rsidRDefault="001C2E31" w:rsidP="00FE68D6">
      <w:pPr>
        <w:numPr>
          <w:ilvl w:val="0"/>
          <w:numId w:val="22"/>
        </w:numPr>
        <w:autoSpaceDE w:val="0"/>
        <w:autoSpaceDN w:val="0"/>
        <w:adjustRightInd w:val="0"/>
        <w:spacing w:after="120" w:line="276" w:lineRule="auto"/>
        <w:jc w:val="both"/>
      </w:pPr>
      <w:r w:rsidRPr="00D96DAA">
        <w:t>Učení se pravidlům. Učící se subjekt si musí vybavit klíčové koncepty tvořící pravidlo, včetně konceptů označujících vztahy a souvislosti. Učitel vytváří situace vyžadující aplikaci nově osvojeného pravidla. Identifikace pravidla a jeho aplikace na jeden či více konkrétních případů.</w:t>
      </w:r>
    </w:p>
    <w:p w:rsidR="001C2E31" w:rsidRPr="00D96DAA" w:rsidRDefault="001C2E31" w:rsidP="00FE68D6">
      <w:pPr>
        <w:numPr>
          <w:ilvl w:val="0"/>
          <w:numId w:val="22"/>
        </w:numPr>
        <w:autoSpaceDE w:val="0"/>
        <w:autoSpaceDN w:val="0"/>
        <w:adjustRightInd w:val="0"/>
        <w:spacing w:after="120" w:line="276" w:lineRule="auto"/>
        <w:jc w:val="both"/>
      </w:pPr>
      <w:r w:rsidRPr="00D96DAA">
        <w:t>Učení se řešení problémů. Učící se subjekt musí ovládat dílčí relevantní pravidla a informace, které jsou nezbytné k vyřešení problému. Učitel má roli facilitátora a povzbuzovatele. Samostatné vytvoření a aplikování nového komplexního pravidla za účelem vyřešení subjektivně nového nebo neznámého problému a případná demonstrace jeho fungování v obdobné nebo odlišné situaci.</w:t>
      </w:r>
    </w:p>
    <w:p w:rsidR="00090C6B" w:rsidRPr="00D96DAA" w:rsidRDefault="00090C6B" w:rsidP="005E23F1">
      <w:pPr>
        <w:autoSpaceDE w:val="0"/>
        <w:autoSpaceDN w:val="0"/>
        <w:adjustRightInd w:val="0"/>
        <w:spacing w:after="120" w:line="276" w:lineRule="auto"/>
        <w:jc w:val="both"/>
      </w:pPr>
    </w:p>
    <w:p w:rsidR="00855212" w:rsidRDefault="00855212" w:rsidP="00855212">
      <w:pPr>
        <w:tabs>
          <w:tab w:val="left" w:pos="2582"/>
        </w:tabs>
        <w:autoSpaceDE w:val="0"/>
        <w:autoSpaceDN w:val="0"/>
        <w:adjustRightInd w:val="0"/>
        <w:spacing w:after="120" w:line="276" w:lineRule="auto"/>
        <w:jc w:val="center"/>
        <w:rPr>
          <w:highlight w:val="yellow"/>
        </w:rPr>
      </w:pPr>
      <w:r>
        <w:rPr>
          <w:noProof/>
        </w:rPr>
        <w:drawing>
          <wp:inline distT="0" distB="0" distL="0" distR="0">
            <wp:extent cx="3981450" cy="2989379"/>
            <wp:effectExtent l="19050" t="0" r="0" b="0"/>
            <wp:docPr id="22" name="Obrázek 21" descr="Obrázek 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01.png"/>
                    <pic:cNvPicPr/>
                  </pic:nvPicPr>
                  <pic:blipFill>
                    <a:blip r:embed="rId24" cstate="print"/>
                    <a:stretch>
                      <a:fillRect/>
                    </a:stretch>
                  </pic:blipFill>
                  <pic:spPr>
                    <a:xfrm>
                      <a:off x="0" y="0"/>
                      <a:ext cx="3991856" cy="2997192"/>
                    </a:xfrm>
                    <a:prstGeom prst="rect">
                      <a:avLst/>
                    </a:prstGeom>
                  </pic:spPr>
                </pic:pic>
              </a:graphicData>
            </a:graphic>
          </wp:inline>
        </w:drawing>
      </w:r>
    </w:p>
    <w:p w:rsidR="001C1FE3" w:rsidRPr="001C1FE3" w:rsidRDefault="001C1FE3" w:rsidP="001C1FE3">
      <w:pPr>
        <w:pStyle w:val="Titulek"/>
        <w:rPr>
          <w:b w:val="0"/>
          <w:sz w:val="24"/>
        </w:rPr>
      </w:pPr>
      <w:bookmarkStart w:id="58" w:name="_Toc399789151"/>
      <w:r w:rsidRPr="001C1FE3">
        <w:rPr>
          <w:b w:val="0"/>
          <w:i/>
          <w:sz w:val="24"/>
        </w:rPr>
        <w:t xml:space="preserve">Obrázek </w:t>
      </w:r>
      <w:r w:rsidR="003818A1" w:rsidRPr="001C1FE3">
        <w:rPr>
          <w:b w:val="0"/>
          <w:i/>
          <w:sz w:val="24"/>
        </w:rPr>
        <w:fldChar w:fldCharType="begin"/>
      </w:r>
      <w:r w:rsidRPr="001C1FE3">
        <w:rPr>
          <w:b w:val="0"/>
          <w:i/>
          <w:sz w:val="24"/>
        </w:rPr>
        <w:instrText xml:space="preserve"> SEQ Obrázek \* ARABIC </w:instrText>
      </w:r>
      <w:r w:rsidR="003818A1" w:rsidRPr="001C1FE3">
        <w:rPr>
          <w:b w:val="0"/>
          <w:i/>
          <w:sz w:val="24"/>
        </w:rPr>
        <w:fldChar w:fldCharType="separate"/>
      </w:r>
      <w:r w:rsidR="00FB20B9">
        <w:rPr>
          <w:b w:val="0"/>
          <w:i/>
          <w:noProof/>
          <w:sz w:val="24"/>
        </w:rPr>
        <w:t>13</w:t>
      </w:r>
      <w:r w:rsidR="003818A1" w:rsidRPr="001C1FE3">
        <w:rPr>
          <w:b w:val="0"/>
          <w:i/>
          <w:sz w:val="24"/>
        </w:rPr>
        <w:fldChar w:fldCharType="end"/>
      </w:r>
      <w:r w:rsidRPr="001C1FE3">
        <w:rPr>
          <w:b w:val="0"/>
          <w:i/>
          <w:sz w:val="24"/>
        </w:rPr>
        <w:t xml:space="preserve">. </w:t>
      </w:r>
      <w:r w:rsidR="00855212" w:rsidRPr="001C1FE3">
        <w:rPr>
          <w:b w:val="0"/>
          <w:sz w:val="24"/>
        </w:rPr>
        <w:t>Gagného klasifikace znalostí</w:t>
      </w:r>
      <w:r w:rsidRPr="001C1FE3">
        <w:rPr>
          <w:b w:val="0"/>
          <w:sz w:val="24"/>
        </w:rPr>
        <w:t>.</w:t>
      </w:r>
      <w:bookmarkEnd w:id="58"/>
      <w:r w:rsidR="00855212" w:rsidRPr="001C1FE3">
        <w:rPr>
          <w:b w:val="0"/>
          <w:sz w:val="24"/>
        </w:rPr>
        <w:t xml:space="preserve"> </w:t>
      </w:r>
    </w:p>
    <w:p w:rsidR="001C276F" w:rsidRPr="00D96DAA" w:rsidRDefault="001C1FE3" w:rsidP="001C1FE3">
      <w:pPr>
        <w:pStyle w:val="Titulek"/>
      </w:pPr>
      <w:r w:rsidRPr="001C1FE3">
        <w:rPr>
          <w:b w:val="0"/>
        </w:rPr>
        <w:t>Pozn. U</w:t>
      </w:r>
      <w:r w:rsidR="00855212" w:rsidRPr="001C1FE3">
        <w:rPr>
          <w:b w:val="0"/>
        </w:rPr>
        <w:t>praveno podle</w:t>
      </w:r>
      <w:r w:rsidR="00090C6B" w:rsidRPr="001C1FE3">
        <w:rPr>
          <w:b w:val="0"/>
        </w:rPr>
        <w:t xml:space="preserve"> Gagné</w:t>
      </w:r>
      <w:r w:rsidR="00075F16" w:rsidRPr="001C1FE3">
        <w:rPr>
          <w:b w:val="0"/>
        </w:rPr>
        <w:t xml:space="preserve"> </w:t>
      </w:r>
      <w:r w:rsidRPr="001C1FE3">
        <w:rPr>
          <w:b w:val="0"/>
        </w:rPr>
        <w:t>a kol. (</w:t>
      </w:r>
      <w:r w:rsidR="00075F16" w:rsidRPr="001C1FE3">
        <w:rPr>
          <w:b w:val="0"/>
        </w:rPr>
        <w:t>2005, s.</w:t>
      </w:r>
      <w:r w:rsidR="00855212" w:rsidRPr="001C1FE3">
        <w:rPr>
          <w:b w:val="0"/>
        </w:rPr>
        <w:t xml:space="preserve"> </w:t>
      </w:r>
      <w:r w:rsidR="00090C6B" w:rsidRPr="001C1FE3">
        <w:rPr>
          <w:b w:val="0"/>
        </w:rPr>
        <w:t>63</w:t>
      </w:r>
      <w:r w:rsidR="00855212" w:rsidRPr="001C1FE3">
        <w:rPr>
          <w:b w:val="0"/>
        </w:rPr>
        <w:t xml:space="preserve"> a 163).</w:t>
      </w:r>
    </w:p>
    <w:p w:rsidR="00855212" w:rsidRDefault="00855212" w:rsidP="005E23F1">
      <w:pPr>
        <w:tabs>
          <w:tab w:val="left" w:pos="2582"/>
        </w:tabs>
        <w:autoSpaceDE w:val="0"/>
        <w:autoSpaceDN w:val="0"/>
        <w:adjustRightInd w:val="0"/>
        <w:spacing w:after="120" w:line="276" w:lineRule="auto"/>
        <w:jc w:val="both"/>
      </w:pPr>
    </w:p>
    <w:p w:rsidR="00F14D63" w:rsidRDefault="00603E67" w:rsidP="005E23F1">
      <w:pPr>
        <w:tabs>
          <w:tab w:val="left" w:pos="2582"/>
        </w:tabs>
        <w:autoSpaceDE w:val="0"/>
        <w:autoSpaceDN w:val="0"/>
        <w:adjustRightInd w:val="0"/>
        <w:spacing w:after="120" w:line="276" w:lineRule="auto"/>
        <w:jc w:val="both"/>
      </w:pPr>
      <w:r>
        <w:t>Obrázek 13</w:t>
      </w:r>
      <w:r w:rsidR="00544A7E" w:rsidRPr="00D96DAA">
        <w:t xml:space="preserve"> </w:t>
      </w:r>
      <w:r>
        <w:t>u</w:t>
      </w:r>
      <w:r w:rsidR="004F0F04">
        <w:t>kazuje</w:t>
      </w:r>
      <w:r w:rsidR="00544A7E" w:rsidRPr="00D96DAA">
        <w:t xml:space="preserve">, že (kompetence k) řešení problémů může </w:t>
      </w:r>
      <w:r w:rsidR="004F0F04">
        <w:t>být právem považována za jeden z</w:t>
      </w:r>
      <w:r w:rsidR="00544A7E" w:rsidRPr="00D96DAA">
        <w:t xml:space="preserve"> hlavní</w:t>
      </w:r>
      <w:r w:rsidR="004F0F04">
        <w:t>ch</w:t>
      </w:r>
      <w:r w:rsidR="00544A7E" w:rsidRPr="00D96DAA">
        <w:t xml:space="preserve"> cíl</w:t>
      </w:r>
      <w:r w:rsidR="004F0F04">
        <w:t>ů</w:t>
      </w:r>
      <w:r w:rsidR="00544A7E" w:rsidRPr="00D96DAA">
        <w:t xml:space="preserve"> vzdělávání. Komplexnější pravidla, která se učíme, jsou kombinací jednodušších pravidel. Tato komplexní pravidla „vyššího řádu“ jsou tvořena za účelem řešení doposud neznámých problémů blízkých praxi nebo každodennímu životu, přičemž </w:t>
      </w:r>
      <w:r w:rsidR="004F0F04">
        <w:t xml:space="preserve">je </w:t>
      </w:r>
      <w:r w:rsidR="00544A7E" w:rsidRPr="00D96DAA">
        <w:t>třeba brát v potaz rozdíly mezi jednotlivými druhy problémů určených k</w:t>
      </w:r>
      <w:r w:rsidR="004F0F04">
        <w:t> </w:t>
      </w:r>
      <w:r w:rsidR="00544A7E" w:rsidRPr="00D96DAA">
        <w:t>řešení</w:t>
      </w:r>
      <w:r w:rsidR="004F0F04">
        <w:t>.</w:t>
      </w:r>
    </w:p>
    <w:p w:rsidR="005E23F1" w:rsidRPr="00D96DAA" w:rsidRDefault="005E23F1" w:rsidP="005E23F1">
      <w:pPr>
        <w:tabs>
          <w:tab w:val="left" w:pos="2582"/>
        </w:tabs>
        <w:autoSpaceDE w:val="0"/>
        <w:autoSpaceDN w:val="0"/>
        <w:adjustRightInd w:val="0"/>
        <w:spacing w:after="120" w:line="276" w:lineRule="auto"/>
        <w:jc w:val="both"/>
      </w:pPr>
    </w:p>
    <w:p w:rsidR="00311A12" w:rsidRPr="00D96DAA" w:rsidRDefault="00E30FAE" w:rsidP="00D053A8">
      <w:pPr>
        <w:pStyle w:val="Nadpis3"/>
      </w:pPr>
      <w:bookmarkStart w:id="59" w:name="_Toc399775415"/>
      <w:r w:rsidRPr="00D96DAA">
        <w:t>T</w:t>
      </w:r>
      <w:r w:rsidR="00233B09" w:rsidRPr="00D96DAA">
        <w:t xml:space="preserve">axonomie </w:t>
      </w:r>
      <w:r w:rsidR="0084072E" w:rsidRPr="00D96DAA">
        <w:t>znalostí</w:t>
      </w:r>
      <w:r w:rsidRPr="00D96DAA">
        <w:t xml:space="preserve"> dle Blooma</w:t>
      </w:r>
      <w:bookmarkEnd w:id="59"/>
    </w:p>
    <w:p w:rsidR="00657C83" w:rsidRDefault="00657C83" w:rsidP="005E23F1">
      <w:pPr>
        <w:autoSpaceDE w:val="0"/>
        <w:autoSpaceDN w:val="0"/>
        <w:adjustRightInd w:val="0"/>
        <w:spacing w:after="120" w:line="276" w:lineRule="auto"/>
        <w:jc w:val="both"/>
      </w:pPr>
      <w:r w:rsidRPr="00D96DAA">
        <w:t>Bloom (</w:t>
      </w:r>
      <w:r w:rsidR="007E2B2B">
        <w:t xml:space="preserve">podrobněji viz </w:t>
      </w:r>
      <w:r w:rsidRPr="00D96DAA">
        <w:t xml:space="preserve">Bloom et al., 1956) odlišil tři domény učení – kognitivní, afektivní a psychomotorickou. Kognitivní doménu následně rozčlenil do šesti kategorií: znalost, porozumění, aplikace, analýza, syntéza a hodnocení. </w:t>
      </w:r>
      <w:r w:rsidR="0084072E" w:rsidRPr="00D96DAA">
        <w:rPr>
          <w:lang w:eastAsia="en-US"/>
        </w:rPr>
        <w:t xml:space="preserve">V Bloomově taxonomii jsou kategorie řazeny od nejnižších (znalost faktů) po nejkomplexnější (hodnocení v nejširším kontextu) a předpokládá se, že ovládnutí vyšší kategorie je podmíněno zvládnutím kategorie nižší. </w:t>
      </w:r>
      <w:r w:rsidRPr="00D96DAA">
        <w:t>Kognitivní doména Bloomovy taxonomie byla později revidována (podrobněji viz Krathwohl, 2002; Byčkovský &amp; Kotásek, 2004), neboť byla kritizována za to, že nezahrnuje kritické myšlení a řešení problémů, které jsou proponovanou a zdůrazňovanou cílovou kategorií vzdělávání v současnosti. Kategorie „</w:t>
      </w:r>
      <w:r w:rsidR="00437810">
        <w:t>s</w:t>
      </w:r>
      <w:r w:rsidRPr="00D96DAA">
        <w:t xml:space="preserve">yntéza“ byla nahrazena </w:t>
      </w:r>
      <w:r w:rsidR="00437810">
        <w:t>kategorií</w:t>
      </w:r>
      <w:r w:rsidRPr="00D96DAA">
        <w:t xml:space="preserve"> „</w:t>
      </w:r>
      <w:r w:rsidR="00437810">
        <w:t>t</w:t>
      </w:r>
      <w:r w:rsidRPr="00D96DAA">
        <w:t xml:space="preserve">vořit“, která není chápána jen jako opětovné sestavování jednotlivých prvků, ale zahrnuje tvůrčí prvek a rovněž zhodnocení. </w:t>
      </w:r>
      <w:r w:rsidRPr="00D96DAA">
        <w:rPr>
          <w:lang w:eastAsia="en-US"/>
        </w:rPr>
        <w:t xml:space="preserve">Na první pohled je zřejmé, že kategorie znalostí je nejrozsáhlejší. </w:t>
      </w:r>
      <w:r w:rsidR="00437810">
        <w:rPr>
          <w:lang w:eastAsia="en-US"/>
        </w:rPr>
        <w:t xml:space="preserve">V </w:t>
      </w:r>
      <w:r w:rsidR="00437810">
        <w:t>r</w:t>
      </w:r>
      <w:r w:rsidRPr="00D96DAA">
        <w:t>evidovan</w:t>
      </w:r>
      <w:r w:rsidR="00437810">
        <w:t>é</w:t>
      </w:r>
      <w:r w:rsidRPr="00D96DAA">
        <w:t xml:space="preserve"> </w:t>
      </w:r>
      <w:r w:rsidR="00437810">
        <w:t xml:space="preserve">Bloomově </w:t>
      </w:r>
      <w:r w:rsidRPr="00D96DAA">
        <w:t>taxonomi</w:t>
      </w:r>
      <w:r w:rsidR="00437810">
        <w:t>i se ve znalostní (obsahové) dimenzi rozlišují mimo znalostí deklarativních (</w:t>
      </w:r>
      <w:r w:rsidRPr="00D96DAA">
        <w:rPr>
          <w:lang w:eastAsia="en-US"/>
        </w:rPr>
        <w:t>znalosti fakt</w:t>
      </w:r>
      <w:r w:rsidR="00437810">
        <w:rPr>
          <w:lang w:eastAsia="en-US"/>
        </w:rPr>
        <w:t>ografické a</w:t>
      </w:r>
      <w:r w:rsidRPr="00D96DAA">
        <w:rPr>
          <w:lang w:eastAsia="en-US"/>
        </w:rPr>
        <w:t xml:space="preserve"> konceptuální</w:t>
      </w:r>
      <w:r w:rsidR="00437810">
        <w:rPr>
          <w:lang w:eastAsia="en-US"/>
        </w:rPr>
        <w:t>) a</w:t>
      </w:r>
      <w:r w:rsidR="00491277">
        <w:rPr>
          <w:lang w:eastAsia="en-US"/>
        </w:rPr>
        <w:t xml:space="preserve"> procedurální</w:t>
      </w:r>
      <w:r w:rsidR="00437810">
        <w:rPr>
          <w:lang w:eastAsia="en-US"/>
        </w:rPr>
        <w:t>ch také znalosti</w:t>
      </w:r>
      <w:r w:rsidR="00491277">
        <w:rPr>
          <w:lang w:eastAsia="en-US"/>
        </w:rPr>
        <w:t xml:space="preserve"> metakognitivní</w:t>
      </w:r>
      <w:r w:rsidR="00437810">
        <w:t>. D</w:t>
      </w:r>
      <w:r w:rsidRPr="00D96DAA">
        <w:t>imenz</w:t>
      </w:r>
      <w:r w:rsidR="00437810">
        <w:t>e</w:t>
      </w:r>
      <w:r w:rsidRPr="00D96DAA">
        <w:t xml:space="preserve"> kognitivního procesu (procesní složka</w:t>
      </w:r>
      <w:r w:rsidR="00437810">
        <w:t>) je</w:t>
      </w:r>
      <w:r w:rsidRPr="00D96DAA">
        <w:rPr>
          <w:lang w:eastAsia="en-US"/>
        </w:rPr>
        <w:t xml:space="preserve"> rozčleněná do šesti kategorií </w:t>
      </w:r>
      <w:r w:rsidRPr="00D96DAA">
        <w:t xml:space="preserve">– </w:t>
      </w:r>
      <w:r w:rsidRPr="00D96DAA">
        <w:rPr>
          <w:lang w:eastAsia="en-US"/>
        </w:rPr>
        <w:t xml:space="preserve">zapamatovat, porozumět, aplikovat, analyzovat, </w:t>
      </w:r>
      <w:r w:rsidR="00491277">
        <w:rPr>
          <w:lang w:eastAsia="en-US"/>
        </w:rPr>
        <w:t xml:space="preserve">hodnotit </w:t>
      </w:r>
      <w:r w:rsidRPr="003F5B23">
        <w:rPr>
          <w:lang w:eastAsia="en-US"/>
        </w:rPr>
        <w:t>a tvořit</w:t>
      </w:r>
      <w:r w:rsidR="00603E67">
        <w:rPr>
          <w:lang w:eastAsia="en-US"/>
        </w:rPr>
        <w:t xml:space="preserve"> (srov. tab. 3)</w:t>
      </w:r>
      <w:r w:rsidRPr="003F5B23">
        <w:t>.</w:t>
      </w:r>
      <w:r w:rsidR="00687EAA" w:rsidRPr="00687EAA">
        <w:rPr>
          <w:rStyle w:val="Znakapoznpodarou"/>
        </w:rPr>
        <w:t xml:space="preserve"> </w:t>
      </w:r>
      <w:r w:rsidR="00687EAA" w:rsidRPr="00EC6EC8">
        <w:t>Vyčerpávajícím způsobem je Bloomova taxonomie kognitivních cílů vč. praktických příkladů jejího užití popsána v publikaci Pasche a kol. (1998, s. 72</w:t>
      </w:r>
      <w:r w:rsidR="00687EAA">
        <w:t>–</w:t>
      </w:r>
      <w:r w:rsidR="00687EAA" w:rsidRPr="00EC6EC8">
        <w:t>81).</w:t>
      </w:r>
      <w:r w:rsidR="00687EAA" w:rsidRPr="00D96DAA">
        <w:rPr>
          <w:rStyle w:val="Znakapoznpodarou"/>
        </w:rPr>
        <w:footnoteReference w:id="60"/>
      </w:r>
    </w:p>
    <w:p w:rsidR="003F5B23" w:rsidRPr="003F5B23" w:rsidRDefault="003F5B23" w:rsidP="005E23F1">
      <w:pPr>
        <w:autoSpaceDE w:val="0"/>
        <w:autoSpaceDN w:val="0"/>
        <w:adjustRightInd w:val="0"/>
        <w:spacing w:after="120" w:line="276" w:lineRule="auto"/>
        <w:jc w:val="both"/>
      </w:pPr>
    </w:p>
    <w:p w:rsidR="001C1FE3" w:rsidRPr="001C1FE3" w:rsidRDefault="001C1FE3" w:rsidP="001C1FE3">
      <w:pPr>
        <w:pStyle w:val="Titulek"/>
        <w:keepNext/>
        <w:jc w:val="both"/>
        <w:rPr>
          <w:b w:val="0"/>
          <w:sz w:val="24"/>
        </w:rPr>
      </w:pPr>
      <w:bookmarkStart w:id="60" w:name="_Toc399013067"/>
      <w:r w:rsidRPr="001C1FE3">
        <w:rPr>
          <w:b w:val="0"/>
          <w:sz w:val="24"/>
        </w:rPr>
        <w:t xml:space="preserve">Tabulka </w:t>
      </w:r>
      <w:r w:rsidR="003818A1" w:rsidRPr="001C1FE3">
        <w:rPr>
          <w:b w:val="0"/>
          <w:sz w:val="24"/>
        </w:rPr>
        <w:fldChar w:fldCharType="begin"/>
      </w:r>
      <w:r w:rsidRPr="001C1FE3">
        <w:rPr>
          <w:b w:val="0"/>
          <w:sz w:val="24"/>
        </w:rPr>
        <w:instrText xml:space="preserve"> SEQ Tabulka \* ARABIC </w:instrText>
      </w:r>
      <w:r w:rsidR="003818A1" w:rsidRPr="001C1FE3">
        <w:rPr>
          <w:b w:val="0"/>
          <w:sz w:val="24"/>
        </w:rPr>
        <w:fldChar w:fldCharType="separate"/>
      </w:r>
      <w:r w:rsidR="00FB20B9">
        <w:rPr>
          <w:b w:val="0"/>
          <w:noProof/>
          <w:sz w:val="24"/>
        </w:rPr>
        <w:t>3</w:t>
      </w:r>
      <w:bookmarkEnd w:id="60"/>
      <w:r w:rsidR="003818A1" w:rsidRPr="001C1FE3">
        <w:rPr>
          <w:b w:val="0"/>
          <w:sz w:val="24"/>
        </w:rPr>
        <w:fldChar w:fldCharType="end"/>
      </w:r>
    </w:p>
    <w:p w:rsidR="005E7AF7" w:rsidRPr="009804B3" w:rsidRDefault="00DC1EB5" w:rsidP="005E7AF7">
      <w:pPr>
        <w:autoSpaceDE w:val="0"/>
        <w:autoSpaceDN w:val="0"/>
        <w:adjustRightInd w:val="0"/>
        <w:spacing w:after="120" w:line="276" w:lineRule="auto"/>
        <w:jc w:val="both"/>
      </w:pPr>
      <w:r>
        <w:rPr>
          <w:i/>
          <w:lang w:eastAsia="en-US"/>
        </w:rPr>
        <w:t>Klasifikační</w:t>
      </w:r>
      <w:r w:rsidR="005E7AF7" w:rsidRPr="00603E67">
        <w:rPr>
          <w:i/>
          <w:lang w:eastAsia="en-US"/>
        </w:rPr>
        <w:t xml:space="preserve"> tabulka revidované Bloomovy taxonomie</w:t>
      </w:r>
    </w:p>
    <w:tbl>
      <w:tblPr>
        <w:tblW w:w="914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230"/>
        <w:gridCol w:w="1440"/>
        <w:gridCol w:w="1078"/>
        <w:gridCol w:w="1134"/>
        <w:gridCol w:w="1134"/>
        <w:gridCol w:w="992"/>
        <w:gridCol w:w="1134"/>
      </w:tblGrid>
      <w:tr w:rsidR="00352E12" w:rsidRPr="003F5B23" w:rsidTr="005E23F1">
        <w:trPr>
          <w:cantSplit/>
        </w:trPr>
        <w:tc>
          <w:tcPr>
            <w:tcW w:w="2230" w:type="dxa"/>
          </w:tcPr>
          <w:p w:rsidR="00352E12" w:rsidRPr="003F5B23" w:rsidRDefault="00352E12" w:rsidP="005E23F1">
            <w:pPr>
              <w:rPr>
                <w:sz w:val="20"/>
                <w:lang w:eastAsia="en-US"/>
              </w:rPr>
            </w:pPr>
          </w:p>
        </w:tc>
        <w:tc>
          <w:tcPr>
            <w:tcW w:w="6912" w:type="dxa"/>
            <w:gridSpan w:val="6"/>
          </w:tcPr>
          <w:p w:rsidR="00352E12" w:rsidRPr="003F5B23" w:rsidRDefault="00352E12" w:rsidP="005E23F1">
            <w:pPr>
              <w:rPr>
                <w:sz w:val="20"/>
                <w:lang w:eastAsia="en-US"/>
              </w:rPr>
            </w:pPr>
            <w:r w:rsidRPr="003F5B23">
              <w:rPr>
                <w:sz w:val="20"/>
                <w:lang w:eastAsia="en-US"/>
              </w:rPr>
              <w:t>DIMENZE KOGNITIVNÍHO PROCESU</w:t>
            </w:r>
          </w:p>
        </w:tc>
      </w:tr>
      <w:tr w:rsidR="00352E12" w:rsidRPr="003F5B23" w:rsidTr="005E23F1">
        <w:tc>
          <w:tcPr>
            <w:tcW w:w="2230" w:type="dxa"/>
          </w:tcPr>
          <w:p w:rsidR="00352E12" w:rsidRPr="003F5B23" w:rsidRDefault="00352E12" w:rsidP="005E23F1">
            <w:pPr>
              <w:rPr>
                <w:sz w:val="20"/>
                <w:lang w:eastAsia="en-US"/>
              </w:rPr>
            </w:pPr>
            <w:r w:rsidRPr="003F5B23">
              <w:rPr>
                <w:sz w:val="20"/>
                <w:lang w:eastAsia="en-US"/>
              </w:rPr>
              <w:t>ZNALOSTNÍ DIMENZE</w:t>
            </w:r>
          </w:p>
        </w:tc>
        <w:tc>
          <w:tcPr>
            <w:tcW w:w="1440" w:type="dxa"/>
          </w:tcPr>
          <w:p w:rsidR="00352E12" w:rsidRPr="003F5B23" w:rsidRDefault="00352E12" w:rsidP="005E23F1">
            <w:pPr>
              <w:rPr>
                <w:sz w:val="20"/>
                <w:lang w:eastAsia="en-US"/>
              </w:rPr>
            </w:pPr>
            <w:r w:rsidRPr="003F5B23">
              <w:rPr>
                <w:sz w:val="20"/>
                <w:lang w:eastAsia="en-US"/>
              </w:rPr>
              <w:t xml:space="preserve">1. </w:t>
            </w:r>
          </w:p>
          <w:p w:rsidR="00352E12" w:rsidRPr="003F5B23" w:rsidRDefault="00352E12" w:rsidP="005E23F1">
            <w:pPr>
              <w:rPr>
                <w:sz w:val="20"/>
                <w:lang w:eastAsia="en-US"/>
              </w:rPr>
            </w:pPr>
            <w:r w:rsidRPr="003F5B23">
              <w:rPr>
                <w:sz w:val="20"/>
                <w:lang w:eastAsia="en-US"/>
              </w:rPr>
              <w:t xml:space="preserve">Zapamatovat </w:t>
            </w:r>
          </w:p>
        </w:tc>
        <w:tc>
          <w:tcPr>
            <w:tcW w:w="1078" w:type="dxa"/>
          </w:tcPr>
          <w:p w:rsidR="00352E12" w:rsidRPr="003F5B23" w:rsidRDefault="00352E12" w:rsidP="005E23F1">
            <w:pPr>
              <w:rPr>
                <w:sz w:val="20"/>
                <w:lang w:eastAsia="en-US"/>
              </w:rPr>
            </w:pPr>
            <w:r w:rsidRPr="003F5B23">
              <w:rPr>
                <w:sz w:val="20"/>
                <w:lang w:eastAsia="en-US"/>
              </w:rPr>
              <w:t>2.</w:t>
            </w:r>
          </w:p>
          <w:p w:rsidR="00352E12" w:rsidRPr="003F5B23" w:rsidRDefault="00352E12" w:rsidP="005E23F1">
            <w:pPr>
              <w:rPr>
                <w:sz w:val="20"/>
                <w:lang w:eastAsia="en-US"/>
              </w:rPr>
            </w:pPr>
            <w:r w:rsidRPr="003F5B23">
              <w:rPr>
                <w:sz w:val="20"/>
                <w:lang w:eastAsia="en-US"/>
              </w:rPr>
              <w:t xml:space="preserve"> Rozumět</w:t>
            </w:r>
          </w:p>
        </w:tc>
        <w:tc>
          <w:tcPr>
            <w:tcW w:w="1134" w:type="dxa"/>
          </w:tcPr>
          <w:p w:rsidR="00352E12" w:rsidRPr="003F5B23" w:rsidRDefault="00352E12" w:rsidP="005E23F1">
            <w:pPr>
              <w:rPr>
                <w:sz w:val="20"/>
                <w:lang w:eastAsia="en-US"/>
              </w:rPr>
            </w:pPr>
            <w:r w:rsidRPr="003F5B23">
              <w:rPr>
                <w:sz w:val="20"/>
                <w:lang w:eastAsia="en-US"/>
              </w:rPr>
              <w:t xml:space="preserve">3. </w:t>
            </w:r>
          </w:p>
          <w:p w:rsidR="00352E12" w:rsidRPr="003F5B23" w:rsidRDefault="00352E12" w:rsidP="005E23F1">
            <w:pPr>
              <w:rPr>
                <w:sz w:val="20"/>
                <w:lang w:eastAsia="en-US"/>
              </w:rPr>
            </w:pPr>
            <w:r w:rsidRPr="003F5B23">
              <w:rPr>
                <w:sz w:val="20"/>
                <w:lang w:eastAsia="en-US"/>
              </w:rPr>
              <w:t>Aplikovat</w:t>
            </w:r>
          </w:p>
        </w:tc>
        <w:tc>
          <w:tcPr>
            <w:tcW w:w="1134" w:type="dxa"/>
          </w:tcPr>
          <w:p w:rsidR="00352E12" w:rsidRPr="003F5B23" w:rsidRDefault="00352E12" w:rsidP="005E23F1">
            <w:pPr>
              <w:rPr>
                <w:sz w:val="20"/>
                <w:lang w:eastAsia="en-US"/>
              </w:rPr>
            </w:pPr>
            <w:r w:rsidRPr="003F5B23">
              <w:rPr>
                <w:sz w:val="20"/>
                <w:lang w:eastAsia="en-US"/>
              </w:rPr>
              <w:t>4.</w:t>
            </w:r>
          </w:p>
          <w:p w:rsidR="00352E12" w:rsidRPr="003F5B23" w:rsidRDefault="00352E12" w:rsidP="005E23F1">
            <w:pPr>
              <w:rPr>
                <w:sz w:val="20"/>
                <w:lang w:eastAsia="en-US"/>
              </w:rPr>
            </w:pPr>
            <w:r w:rsidRPr="003F5B23">
              <w:rPr>
                <w:sz w:val="20"/>
                <w:lang w:eastAsia="en-US"/>
              </w:rPr>
              <w:t>Analyzovat</w:t>
            </w:r>
          </w:p>
        </w:tc>
        <w:tc>
          <w:tcPr>
            <w:tcW w:w="992" w:type="dxa"/>
          </w:tcPr>
          <w:p w:rsidR="00352E12" w:rsidRPr="003F5B23" w:rsidRDefault="00352E12" w:rsidP="005E23F1">
            <w:pPr>
              <w:rPr>
                <w:sz w:val="20"/>
                <w:lang w:eastAsia="en-US"/>
              </w:rPr>
            </w:pPr>
            <w:r w:rsidRPr="003F5B23">
              <w:rPr>
                <w:sz w:val="20"/>
                <w:lang w:eastAsia="en-US"/>
              </w:rPr>
              <w:t xml:space="preserve">5. </w:t>
            </w:r>
          </w:p>
          <w:p w:rsidR="00352E12" w:rsidRPr="003F5B23" w:rsidRDefault="00352E12" w:rsidP="005E23F1">
            <w:pPr>
              <w:rPr>
                <w:sz w:val="20"/>
                <w:lang w:eastAsia="en-US"/>
              </w:rPr>
            </w:pPr>
            <w:r w:rsidRPr="003F5B23">
              <w:rPr>
                <w:sz w:val="20"/>
                <w:lang w:eastAsia="en-US"/>
              </w:rPr>
              <w:t>Hodnotit</w:t>
            </w:r>
          </w:p>
        </w:tc>
        <w:tc>
          <w:tcPr>
            <w:tcW w:w="1134" w:type="dxa"/>
          </w:tcPr>
          <w:p w:rsidR="00352E12" w:rsidRPr="003F5B23" w:rsidRDefault="00352E12" w:rsidP="005E23F1">
            <w:pPr>
              <w:rPr>
                <w:sz w:val="20"/>
                <w:lang w:eastAsia="en-US"/>
              </w:rPr>
            </w:pPr>
            <w:r w:rsidRPr="003F5B23">
              <w:rPr>
                <w:sz w:val="20"/>
                <w:lang w:eastAsia="en-US"/>
              </w:rPr>
              <w:t>6.</w:t>
            </w:r>
          </w:p>
          <w:p w:rsidR="00352E12" w:rsidRPr="003F5B23" w:rsidRDefault="00352E12" w:rsidP="005E23F1">
            <w:pPr>
              <w:rPr>
                <w:sz w:val="20"/>
                <w:lang w:eastAsia="en-US"/>
              </w:rPr>
            </w:pPr>
            <w:r w:rsidRPr="003F5B23">
              <w:rPr>
                <w:sz w:val="20"/>
                <w:lang w:eastAsia="en-US"/>
              </w:rPr>
              <w:t>Tvořit</w:t>
            </w:r>
          </w:p>
        </w:tc>
      </w:tr>
      <w:tr w:rsidR="00352E12" w:rsidRPr="003F5B23" w:rsidTr="005E23F1">
        <w:tc>
          <w:tcPr>
            <w:tcW w:w="2230" w:type="dxa"/>
          </w:tcPr>
          <w:p w:rsidR="00352E12" w:rsidRPr="003F5B23" w:rsidRDefault="00352E12" w:rsidP="005E23F1">
            <w:pPr>
              <w:rPr>
                <w:sz w:val="20"/>
                <w:lang w:eastAsia="en-US"/>
              </w:rPr>
            </w:pPr>
            <w:r w:rsidRPr="003F5B23">
              <w:rPr>
                <w:sz w:val="20"/>
                <w:lang w:eastAsia="en-US"/>
              </w:rPr>
              <w:t xml:space="preserve">A. </w:t>
            </w:r>
          </w:p>
          <w:p w:rsidR="00352E12" w:rsidRPr="003F5B23" w:rsidRDefault="00437810" w:rsidP="005E23F1">
            <w:pPr>
              <w:rPr>
                <w:sz w:val="20"/>
                <w:lang w:eastAsia="en-US"/>
              </w:rPr>
            </w:pPr>
            <w:r>
              <w:rPr>
                <w:sz w:val="20"/>
                <w:lang w:eastAsia="en-US"/>
              </w:rPr>
              <w:t>Faktografická znalost</w:t>
            </w:r>
          </w:p>
        </w:tc>
        <w:tc>
          <w:tcPr>
            <w:tcW w:w="1440" w:type="dxa"/>
          </w:tcPr>
          <w:p w:rsidR="00352E12" w:rsidRPr="003F5B23" w:rsidRDefault="00352E12" w:rsidP="005E23F1">
            <w:pPr>
              <w:rPr>
                <w:sz w:val="20"/>
                <w:lang w:eastAsia="en-US"/>
              </w:rPr>
            </w:pPr>
          </w:p>
        </w:tc>
        <w:tc>
          <w:tcPr>
            <w:tcW w:w="1078" w:type="dxa"/>
          </w:tcPr>
          <w:p w:rsidR="00352E12" w:rsidRPr="003F5B23" w:rsidRDefault="00352E12" w:rsidP="005E23F1">
            <w:pPr>
              <w:rPr>
                <w:sz w:val="20"/>
                <w:lang w:eastAsia="en-US"/>
              </w:rPr>
            </w:pPr>
          </w:p>
        </w:tc>
        <w:tc>
          <w:tcPr>
            <w:tcW w:w="1134" w:type="dxa"/>
          </w:tcPr>
          <w:p w:rsidR="00352E12" w:rsidRPr="003F5B23" w:rsidRDefault="00352E12" w:rsidP="005E23F1">
            <w:pPr>
              <w:rPr>
                <w:sz w:val="20"/>
                <w:lang w:eastAsia="en-US"/>
              </w:rPr>
            </w:pPr>
          </w:p>
        </w:tc>
        <w:tc>
          <w:tcPr>
            <w:tcW w:w="1134" w:type="dxa"/>
          </w:tcPr>
          <w:p w:rsidR="00352E12" w:rsidRPr="003F5B23" w:rsidRDefault="00352E12" w:rsidP="005E23F1">
            <w:pPr>
              <w:rPr>
                <w:sz w:val="20"/>
                <w:lang w:eastAsia="en-US"/>
              </w:rPr>
            </w:pPr>
          </w:p>
        </w:tc>
        <w:tc>
          <w:tcPr>
            <w:tcW w:w="992" w:type="dxa"/>
          </w:tcPr>
          <w:p w:rsidR="00352E12" w:rsidRPr="003F5B23" w:rsidRDefault="00352E12" w:rsidP="005E23F1">
            <w:pPr>
              <w:rPr>
                <w:sz w:val="20"/>
                <w:lang w:eastAsia="en-US"/>
              </w:rPr>
            </w:pPr>
          </w:p>
        </w:tc>
        <w:tc>
          <w:tcPr>
            <w:tcW w:w="1134" w:type="dxa"/>
          </w:tcPr>
          <w:p w:rsidR="00352E12" w:rsidRPr="003F5B23" w:rsidRDefault="00352E12" w:rsidP="005E23F1">
            <w:pPr>
              <w:rPr>
                <w:sz w:val="20"/>
                <w:lang w:eastAsia="en-US"/>
              </w:rPr>
            </w:pPr>
          </w:p>
        </w:tc>
      </w:tr>
      <w:tr w:rsidR="00352E12" w:rsidRPr="003F5B23" w:rsidTr="005E23F1">
        <w:tc>
          <w:tcPr>
            <w:tcW w:w="2230" w:type="dxa"/>
          </w:tcPr>
          <w:p w:rsidR="00352E12" w:rsidRPr="003F5B23" w:rsidRDefault="00352E12" w:rsidP="005E23F1">
            <w:pPr>
              <w:rPr>
                <w:sz w:val="20"/>
                <w:lang w:eastAsia="en-US"/>
              </w:rPr>
            </w:pPr>
            <w:r w:rsidRPr="003F5B23">
              <w:rPr>
                <w:sz w:val="20"/>
                <w:lang w:eastAsia="en-US"/>
              </w:rPr>
              <w:t xml:space="preserve">B. </w:t>
            </w:r>
          </w:p>
          <w:p w:rsidR="00352E12" w:rsidRPr="003F5B23" w:rsidRDefault="00352E12" w:rsidP="005E23F1">
            <w:pPr>
              <w:rPr>
                <w:sz w:val="20"/>
                <w:lang w:eastAsia="en-US"/>
              </w:rPr>
            </w:pPr>
            <w:r w:rsidRPr="003F5B23">
              <w:rPr>
                <w:sz w:val="20"/>
                <w:lang w:eastAsia="en-US"/>
              </w:rPr>
              <w:t>Konceptuální znalost</w:t>
            </w:r>
          </w:p>
        </w:tc>
        <w:tc>
          <w:tcPr>
            <w:tcW w:w="1440" w:type="dxa"/>
          </w:tcPr>
          <w:p w:rsidR="00352E12" w:rsidRPr="003F5B23" w:rsidRDefault="00352E12" w:rsidP="005E23F1">
            <w:pPr>
              <w:rPr>
                <w:sz w:val="20"/>
                <w:lang w:eastAsia="en-US"/>
              </w:rPr>
            </w:pPr>
          </w:p>
        </w:tc>
        <w:tc>
          <w:tcPr>
            <w:tcW w:w="1078" w:type="dxa"/>
          </w:tcPr>
          <w:p w:rsidR="00352E12" w:rsidRPr="003F5B23" w:rsidRDefault="00352E12" w:rsidP="005E23F1">
            <w:pPr>
              <w:rPr>
                <w:sz w:val="20"/>
                <w:lang w:eastAsia="en-US"/>
              </w:rPr>
            </w:pPr>
          </w:p>
        </w:tc>
        <w:tc>
          <w:tcPr>
            <w:tcW w:w="1134" w:type="dxa"/>
          </w:tcPr>
          <w:p w:rsidR="00352E12" w:rsidRPr="003F5B23" w:rsidRDefault="00352E12" w:rsidP="005E23F1">
            <w:pPr>
              <w:rPr>
                <w:sz w:val="20"/>
                <w:lang w:eastAsia="en-US"/>
              </w:rPr>
            </w:pPr>
          </w:p>
        </w:tc>
        <w:tc>
          <w:tcPr>
            <w:tcW w:w="1134" w:type="dxa"/>
          </w:tcPr>
          <w:p w:rsidR="00352E12" w:rsidRPr="003F5B23" w:rsidRDefault="00352E12" w:rsidP="005E23F1">
            <w:pPr>
              <w:rPr>
                <w:sz w:val="20"/>
                <w:lang w:eastAsia="en-US"/>
              </w:rPr>
            </w:pPr>
          </w:p>
        </w:tc>
        <w:tc>
          <w:tcPr>
            <w:tcW w:w="992" w:type="dxa"/>
          </w:tcPr>
          <w:p w:rsidR="00352E12" w:rsidRPr="003F5B23" w:rsidRDefault="00352E12" w:rsidP="005E23F1">
            <w:pPr>
              <w:rPr>
                <w:sz w:val="20"/>
                <w:lang w:eastAsia="en-US"/>
              </w:rPr>
            </w:pPr>
          </w:p>
        </w:tc>
        <w:tc>
          <w:tcPr>
            <w:tcW w:w="1134" w:type="dxa"/>
          </w:tcPr>
          <w:p w:rsidR="00352E12" w:rsidRPr="003F5B23" w:rsidRDefault="00352E12" w:rsidP="005E23F1">
            <w:pPr>
              <w:rPr>
                <w:sz w:val="20"/>
                <w:lang w:eastAsia="en-US"/>
              </w:rPr>
            </w:pPr>
          </w:p>
        </w:tc>
      </w:tr>
      <w:tr w:rsidR="00352E12" w:rsidRPr="003F5B23" w:rsidTr="005E23F1">
        <w:tc>
          <w:tcPr>
            <w:tcW w:w="2230" w:type="dxa"/>
          </w:tcPr>
          <w:p w:rsidR="00352E12" w:rsidRPr="003F5B23" w:rsidRDefault="00352E12" w:rsidP="005E23F1">
            <w:pPr>
              <w:rPr>
                <w:sz w:val="20"/>
                <w:lang w:eastAsia="en-US"/>
              </w:rPr>
            </w:pPr>
            <w:r w:rsidRPr="003F5B23">
              <w:rPr>
                <w:sz w:val="20"/>
                <w:lang w:eastAsia="en-US"/>
              </w:rPr>
              <w:t xml:space="preserve">C. </w:t>
            </w:r>
          </w:p>
          <w:p w:rsidR="00352E12" w:rsidRPr="003F5B23" w:rsidRDefault="00352E12" w:rsidP="005E23F1">
            <w:pPr>
              <w:rPr>
                <w:sz w:val="20"/>
                <w:lang w:eastAsia="en-US"/>
              </w:rPr>
            </w:pPr>
            <w:r w:rsidRPr="003F5B23">
              <w:rPr>
                <w:sz w:val="20"/>
                <w:lang w:eastAsia="en-US"/>
              </w:rPr>
              <w:t>Procedurální znalost</w:t>
            </w:r>
          </w:p>
        </w:tc>
        <w:tc>
          <w:tcPr>
            <w:tcW w:w="1440" w:type="dxa"/>
          </w:tcPr>
          <w:p w:rsidR="00352E12" w:rsidRPr="003F5B23" w:rsidRDefault="00352E12" w:rsidP="005E23F1">
            <w:pPr>
              <w:rPr>
                <w:sz w:val="20"/>
                <w:lang w:eastAsia="en-US"/>
              </w:rPr>
            </w:pPr>
          </w:p>
        </w:tc>
        <w:tc>
          <w:tcPr>
            <w:tcW w:w="1078" w:type="dxa"/>
          </w:tcPr>
          <w:p w:rsidR="00352E12" w:rsidRPr="003F5B23" w:rsidRDefault="00352E12" w:rsidP="005E23F1">
            <w:pPr>
              <w:rPr>
                <w:sz w:val="20"/>
                <w:lang w:eastAsia="en-US"/>
              </w:rPr>
            </w:pPr>
          </w:p>
        </w:tc>
        <w:tc>
          <w:tcPr>
            <w:tcW w:w="1134" w:type="dxa"/>
          </w:tcPr>
          <w:p w:rsidR="00352E12" w:rsidRPr="003F5B23" w:rsidRDefault="00352E12" w:rsidP="005E23F1">
            <w:pPr>
              <w:rPr>
                <w:sz w:val="20"/>
                <w:lang w:eastAsia="en-US"/>
              </w:rPr>
            </w:pPr>
          </w:p>
        </w:tc>
        <w:tc>
          <w:tcPr>
            <w:tcW w:w="1134" w:type="dxa"/>
          </w:tcPr>
          <w:p w:rsidR="00352E12" w:rsidRPr="003F5B23" w:rsidRDefault="00352E12" w:rsidP="005E23F1">
            <w:pPr>
              <w:rPr>
                <w:sz w:val="20"/>
                <w:lang w:eastAsia="en-US"/>
              </w:rPr>
            </w:pPr>
          </w:p>
        </w:tc>
        <w:tc>
          <w:tcPr>
            <w:tcW w:w="992" w:type="dxa"/>
          </w:tcPr>
          <w:p w:rsidR="00352E12" w:rsidRPr="003F5B23" w:rsidRDefault="00352E12" w:rsidP="005E23F1">
            <w:pPr>
              <w:rPr>
                <w:sz w:val="20"/>
                <w:lang w:eastAsia="en-US"/>
              </w:rPr>
            </w:pPr>
          </w:p>
        </w:tc>
        <w:tc>
          <w:tcPr>
            <w:tcW w:w="1134" w:type="dxa"/>
          </w:tcPr>
          <w:p w:rsidR="00352E12" w:rsidRPr="003F5B23" w:rsidRDefault="00352E12" w:rsidP="005E23F1">
            <w:pPr>
              <w:rPr>
                <w:sz w:val="20"/>
                <w:lang w:eastAsia="en-US"/>
              </w:rPr>
            </w:pPr>
          </w:p>
        </w:tc>
      </w:tr>
      <w:tr w:rsidR="00352E12" w:rsidRPr="003F5B23" w:rsidTr="005E23F1">
        <w:tc>
          <w:tcPr>
            <w:tcW w:w="2230" w:type="dxa"/>
          </w:tcPr>
          <w:p w:rsidR="00352E12" w:rsidRPr="003F5B23" w:rsidRDefault="00352E12" w:rsidP="005E23F1">
            <w:pPr>
              <w:rPr>
                <w:sz w:val="20"/>
                <w:lang w:eastAsia="en-US"/>
              </w:rPr>
            </w:pPr>
            <w:r w:rsidRPr="003F5B23">
              <w:rPr>
                <w:sz w:val="20"/>
                <w:lang w:eastAsia="en-US"/>
              </w:rPr>
              <w:t>D.</w:t>
            </w:r>
          </w:p>
          <w:p w:rsidR="00352E12" w:rsidRPr="003F5B23" w:rsidRDefault="00352E12" w:rsidP="005E23F1">
            <w:pPr>
              <w:rPr>
                <w:sz w:val="20"/>
                <w:lang w:eastAsia="en-US"/>
              </w:rPr>
            </w:pPr>
            <w:r w:rsidRPr="003F5B23">
              <w:rPr>
                <w:sz w:val="20"/>
                <w:lang w:eastAsia="en-US"/>
              </w:rPr>
              <w:t xml:space="preserve">Metakognitivní znalosti </w:t>
            </w:r>
          </w:p>
        </w:tc>
        <w:tc>
          <w:tcPr>
            <w:tcW w:w="1440" w:type="dxa"/>
          </w:tcPr>
          <w:p w:rsidR="00352E12" w:rsidRPr="003F5B23" w:rsidRDefault="00352E12" w:rsidP="005E23F1">
            <w:pPr>
              <w:rPr>
                <w:sz w:val="20"/>
                <w:lang w:eastAsia="en-US"/>
              </w:rPr>
            </w:pPr>
          </w:p>
        </w:tc>
        <w:tc>
          <w:tcPr>
            <w:tcW w:w="1078" w:type="dxa"/>
          </w:tcPr>
          <w:p w:rsidR="00352E12" w:rsidRPr="003F5B23" w:rsidRDefault="00352E12" w:rsidP="005E23F1">
            <w:pPr>
              <w:rPr>
                <w:sz w:val="20"/>
                <w:lang w:eastAsia="en-US"/>
              </w:rPr>
            </w:pPr>
          </w:p>
        </w:tc>
        <w:tc>
          <w:tcPr>
            <w:tcW w:w="1134" w:type="dxa"/>
          </w:tcPr>
          <w:p w:rsidR="00352E12" w:rsidRPr="003F5B23" w:rsidRDefault="00352E12" w:rsidP="005E23F1">
            <w:pPr>
              <w:rPr>
                <w:sz w:val="20"/>
                <w:lang w:eastAsia="en-US"/>
              </w:rPr>
            </w:pPr>
          </w:p>
        </w:tc>
        <w:tc>
          <w:tcPr>
            <w:tcW w:w="1134" w:type="dxa"/>
          </w:tcPr>
          <w:p w:rsidR="00352E12" w:rsidRPr="003F5B23" w:rsidRDefault="00352E12" w:rsidP="005E23F1">
            <w:pPr>
              <w:rPr>
                <w:sz w:val="20"/>
                <w:lang w:eastAsia="en-US"/>
              </w:rPr>
            </w:pPr>
          </w:p>
        </w:tc>
        <w:tc>
          <w:tcPr>
            <w:tcW w:w="992" w:type="dxa"/>
          </w:tcPr>
          <w:p w:rsidR="00352E12" w:rsidRPr="003F5B23" w:rsidRDefault="00352E12" w:rsidP="005E23F1">
            <w:pPr>
              <w:rPr>
                <w:sz w:val="20"/>
                <w:lang w:eastAsia="en-US"/>
              </w:rPr>
            </w:pPr>
          </w:p>
        </w:tc>
        <w:tc>
          <w:tcPr>
            <w:tcW w:w="1134" w:type="dxa"/>
          </w:tcPr>
          <w:p w:rsidR="00352E12" w:rsidRPr="003F5B23" w:rsidRDefault="00352E12" w:rsidP="005E23F1">
            <w:pPr>
              <w:rPr>
                <w:sz w:val="20"/>
                <w:lang w:eastAsia="en-US"/>
              </w:rPr>
            </w:pPr>
          </w:p>
        </w:tc>
      </w:tr>
    </w:tbl>
    <w:p w:rsidR="00544A7E" w:rsidRPr="00AD3E45" w:rsidRDefault="00AD3E45" w:rsidP="008051DC">
      <w:pPr>
        <w:autoSpaceDE w:val="0"/>
        <w:autoSpaceDN w:val="0"/>
        <w:adjustRightInd w:val="0"/>
        <w:spacing w:before="120" w:after="120" w:line="276" w:lineRule="auto"/>
        <w:jc w:val="both"/>
        <w:rPr>
          <w:sz w:val="20"/>
        </w:rPr>
      </w:pPr>
      <w:r w:rsidRPr="00AD3E45">
        <w:rPr>
          <w:sz w:val="20"/>
        </w:rPr>
        <w:t xml:space="preserve">Pozn. </w:t>
      </w:r>
      <w:r w:rsidRPr="00AD3E45">
        <w:rPr>
          <w:sz w:val="20"/>
          <w:lang w:eastAsia="en-US"/>
        </w:rPr>
        <w:t xml:space="preserve">Upraveno podle </w:t>
      </w:r>
      <w:r w:rsidRPr="00AD3E45">
        <w:rPr>
          <w:sz w:val="20"/>
          <w:lang w:val="en-US"/>
        </w:rPr>
        <w:t>Anderson</w:t>
      </w:r>
      <w:r w:rsidRPr="00AD3E45">
        <w:rPr>
          <w:sz w:val="20"/>
        </w:rPr>
        <w:t xml:space="preserve"> a kol. (</w:t>
      </w:r>
      <w:r w:rsidRPr="00AD3E45">
        <w:rPr>
          <w:sz w:val="20"/>
          <w:lang w:val="en-US"/>
        </w:rPr>
        <w:t>2001</w:t>
      </w:r>
      <w:r w:rsidRPr="00AD3E45">
        <w:rPr>
          <w:sz w:val="20"/>
        </w:rPr>
        <w:t>, s. 28</w:t>
      </w:r>
      <w:r w:rsidRPr="00AD3E45">
        <w:rPr>
          <w:sz w:val="20"/>
          <w:lang w:val="en-US"/>
        </w:rPr>
        <w:t>).</w:t>
      </w:r>
    </w:p>
    <w:p w:rsidR="00E30FAE" w:rsidRPr="00D96DAA" w:rsidRDefault="00A31722" w:rsidP="00D053A8">
      <w:pPr>
        <w:pStyle w:val="Nadpis3"/>
      </w:pPr>
      <w:bookmarkStart w:id="61" w:name="_Toc399775416"/>
      <w:r w:rsidRPr="00D96DAA">
        <w:t>Problém inertních znalostí</w:t>
      </w:r>
      <w:bookmarkEnd w:id="61"/>
    </w:p>
    <w:p w:rsidR="00AE7790" w:rsidRPr="00D96DAA" w:rsidRDefault="00AE7790" w:rsidP="005E23F1">
      <w:pPr>
        <w:spacing w:after="120" w:line="276" w:lineRule="auto"/>
        <w:jc w:val="both"/>
        <w:rPr>
          <w:highlight w:val="yellow"/>
        </w:rPr>
      </w:pPr>
      <w:r w:rsidRPr="00D96DAA">
        <w:t xml:space="preserve">Předpokladem </w:t>
      </w:r>
      <w:r w:rsidR="00687EAA">
        <w:t>úspěšné</w:t>
      </w:r>
      <w:r w:rsidRPr="00D96DAA">
        <w:t>ho řešení problém</w:t>
      </w:r>
      <w:r w:rsidR="00687EAA">
        <w:t>ů je kromě samotných znalostí také</w:t>
      </w:r>
      <w:r w:rsidRPr="00D96DAA">
        <w:t xml:space="preserve"> schopnost transferu naučeného z učebních situací do aplikačních situací, resp. schopnost transferu ze školních situací do mimoškolních situací. </w:t>
      </w:r>
      <w:r w:rsidR="00687EAA" w:rsidRPr="00D96DAA">
        <w:t>Příčina neúspěchu při řešení problémů bývá shledávána v povrchním porozumění, které neumožňuje transfer naučeného do problémové situace.</w:t>
      </w:r>
      <w:r w:rsidR="00687EAA">
        <w:rPr>
          <w:rStyle w:val="Znakapoznpodarou"/>
        </w:rPr>
        <w:footnoteReference w:id="61"/>
      </w:r>
      <w:r w:rsidR="00687EAA" w:rsidRPr="00687EAA">
        <w:t xml:space="preserve"> </w:t>
      </w:r>
      <w:r w:rsidRPr="00D96DAA">
        <w:t xml:space="preserve">Jestliže jedinec při tomto transferu selhává, bývá to zpravidla připisováno na vrub tzv. </w:t>
      </w:r>
      <w:r w:rsidRPr="00D96DAA">
        <w:rPr>
          <w:i/>
        </w:rPr>
        <w:t>inertním</w:t>
      </w:r>
      <w:r w:rsidRPr="00D96DAA">
        <w:t xml:space="preserve"> </w:t>
      </w:r>
      <w:r w:rsidRPr="00D96DAA">
        <w:rPr>
          <w:i/>
        </w:rPr>
        <w:t>znalostem</w:t>
      </w:r>
      <w:r w:rsidRPr="00D96DAA">
        <w:t xml:space="preserve">. </w:t>
      </w:r>
      <w:r w:rsidRPr="00687EAA">
        <w:t>Inertní znalosti</w:t>
      </w:r>
      <w:r w:rsidRPr="00D96DAA">
        <w:t xml:space="preserve"> (angl. </w:t>
      </w:r>
      <w:r w:rsidRPr="00774486">
        <w:rPr>
          <w:i/>
        </w:rPr>
        <w:t>inert knowledge</w:t>
      </w:r>
      <w:r w:rsidRPr="00D96DAA">
        <w:t xml:space="preserve">, něm. </w:t>
      </w:r>
      <w:r w:rsidRPr="00774486">
        <w:rPr>
          <w:i/>
        </w:rPr>
        <w:t>träges Wissen</w:t>
      </w:r>
      <w:r w:rsidRPr="00D96DAA">
        <w:t xml:space="preserve">) jsou </w:t>
      </w:r>
      <w:r w:rsidRPr="00D96DAA">
        <w:rPr>
          <w:i/>
        </w:rPr>
        <w:t>znalosti</w:t>
      </w:r>
      <w:r w:rsidRPr="00D96DAA">
        <w:t xml:space="preserve">, jimiž jedinec disponuje, avšak není schopen uplatnit je v jiném kontextu, než ve kterém je získal (podrobněji vč. příkladů viz Janík, Maňák, &amp; Knecht, 2009, s. 145–146). Výzkumy, v nichž se </w:t>
      </w:r>
      <w:r w:rsidRPr="00687EAA">
        <w:t xml:space="preserve">hledala odpověď na otázku, jak </w:t>
      </w:r>
      <w:r w:rsidRPr="00687EAA">
        <w:rPr>
          <w:iCs/>
        </w:rPr>
        <w:t xml:space="preserve">inertní znalosti </w:t>
      </w:r>
      <w:r w:rsidRPr="00687EAA">
        <w:t xml:space="preserve">vznikají, dospěly k následujícím závěrům. Vznik </w:t>
      </w:r>
      <w:r w:rsidRPr="00687EAA">
        <w:rPr>
          <w:iCs/>
        </w:rPr>
        <w:t xml:space="preserve">inertních znalostí </w:t>
      </w:r>
      <w:r w:rsidRPr="00687EAA">
        <w:t>je ovlivněn způsobem prezentování a aplikování informací, který je vhodný pro situace školního učení, avšak není propojen se situacemi běž</w:t>
      </w:r>
      <w:r w:rsidRPr="00687EAA">
        <w:softHyphen/>
        <w:t xml:space="preserve">ného života, vzhledem k nimž se jeví jako relevantní. Z pohledu situačních teorií je poukazováno na to, že problém </w:t>
      </w:r>
      <w:r w:rsidRPr="00687EAA">
        <w:rPr>
          <w:iCs/>
        </w:rPr>
        <w:t>inertních znalostí</w:t>
      </w:r>
      <w:r w:rsidRPr="00687EAA">
        <w:t xml:space="preserve"> úzce souvisí</w:t>
      </w:r>
      <w:r w:rsidRPr="00D96DAA">
        <w:t xml:space="preserve"> s problémem </w:t>
      </w:r>
      <w:r w:rsidRPr="00D96DAA">
        <w:rPr>
          <w:i/>
        </w:rPr>
        <w:t>dekontextualizace</w:t>
      </w:r>
      <w:r w:rsidRPr="00D96DAA">
        <w:t xml:space="preserve">, který poukazuje na odlišnost a obtížnou slučitelnost znalostí získaných ve „školním“ a „životním“ kontextu (podrobněji vč. příkladů viz Janík, Maňák, &amp; Knecht, 2009, s. 147). Významným způsobem přispívají k objasnění problému </w:t>
      </w:r>
      <w:r w:rsidRPr="00687EAA">
        <w:t>inertních znalostí</w:t>
      </w:r>
      <w:r w:rsidRPr="00D96DAA">
        <w:t xml:space="preserve"> také výzkumy zaměřené na </w:t>
      </w:r>
      <w:r w:rsidRPr="00D96DAA">
        <w:rPr>
          <w:iCs/>
        </w:rPr>
        <w:t>řešení problémů</w:t>
      </w:r>
      <w:r w:rsidRPr="00D96DAA">
        <w:t xml:space="preserve"> (např. Friege, 2001; Lind</w:t>
      </w:r>
      <w:r w:rsidR="005D559A">
        <w:t xml:space="preserve"> &amp;</w:t>
      </w:r>
      <w:r w:rsidRPr="00D96DAA">
        <w:t xml:space="preserve"> Friege, 2003). </w:t>
      </w:r>
    </w:p>
    <w:p w:rsidR="00A31722" w:rsidRPr="00D96DAA" w:rsidRDefault="00A31722" w:rsidP="005E23F1">
      <w:pPr>
        <w:spacing w:after="120" w:line="276" w:lineRule="auto"/>
        <w:jc w:val="both"/>
        <w:rPr>
          <w:highlight w:val="yellow"/>
        </w:rPr>
      </w:pPr>
    </w:p>
    <w:p w:rsidR="00A31722" w:rsidRPr="00D96DAA" w:rsidRDefault="00A31722" w:rsidP="00D053A8">
      <w:pPr>
        <w:pStyle w:val="Nadpis3"/>
      </w:pPr>
      <w:bookmarkStart w:id="62" w:name="_Toc399775417"/>
      <w:r w:rsidRPr="00D96DAA">
        <w:t>Shrnutí</w:t>
      </w:r>
      <w:bookmarkEnd w:id="62"/>
    </w:p>
    <w:p w:rsidR="00C060BF" w:rsidRPr="00950B2E" w:rsidRDefault="00950B2E" w:rsidP="005E23F1">
      <w:pPr>
        <w:spacing w:after="120" w:line="276" w:lineRule="auto"/>
        <w:jc w:val="both"/>
      </w:pPr>
      <w:r>
        <w:t>V předchozích kapitolách jsme dospěli k </w:t>
      </w:r>
      <w:r w:rsidR="004F0F04" w:rsidRPr="00950B2E">
        <w:t>cháp</w:t>
      </w:r>
      <w:r>
        <w:t>ání kompetencí jako dispozic</w:t>
      </w:r>
      <w:r w:rsidR="004F0F04" w:rsidRPr="00950B2E">
        <w:t xml:space="preserve"> k informovanému jednání založenému na znalostech. </w:t>
      </w:r>
      <w:r w:rsidR="00897FE5" w:rsidRPr="00950B2E">
        <w:rPr>
          <w:rFonts w:eastAsia="Calibri"/>
          <w:lang w:eastAsia="en-US"/>
        </w:rPr>
        <w:t xml:space="preserve">V této kapitole jsme popsali různé druhy znalostí a objasnili procesy jejich utváření v kontextu školního učení. Ve výzkumu, jehož metodiku a výsledky prezentujeme ve druhé části </w:t>
      </w:r>
      <w:r>
        <w:rPr>
          <w:rFonts w:eastAsia="Calibri"/>
          <w:lang w:eastAsia="en-US"/>
        </w:rPr>
        <w:t>knihy,</w:t>
      </w:r>
      <w:r w:rsidR="00897FE5" w:rsidRPr="00950B2E">
        <w:rPr>
          <w:rFonts w:eastAsia="Calibri"/>
          <w:lang w:eastAsia="en-US"/>
        </w:rPr>
        <w:t xml:space="preserve"> rozlišujeme na úrovni učiva deklarativní</w:t>
      </w:r>
      <w:r w:rsidR="004F0F04" w:rsidRPr="00950B2E">
        <w:rPr>
          <w:rFonts w:eastAsia="Calibri"/>
          <w:lang w:eastAsia="en-US"/>
        </w:rPr>
        <w:t xml:space="preserve"> znalosti („co“)</w:t>
      </w:r>
      <w:r w:rsidR="00897FE5" w:rsidRPr="00950B2E">
        <w:rPr>
          <w:rFonts w:eastAsia="Calibri"/>
          <w:lang w:eastAsia="en-US"/>
        </w:rPr>
        <w:t>, procedurální</w:t>
      </w:r>
      <w:r w:rsidR="004F0F04" w:rsidRPr="00950B2E">
        <w:rPr>
          <w:rFonts w:eastAsia="Calibri"/>
          <w:lang w:eastAsia="en-US"/>
        </w:rPr>
        <w:t xml:space="preserve"> znalosti („jak“)</w:t>
      </w:r>
      <w:r w:rsidR="00897FE5" w:rsidRPr="00950B2E">
        <w:rPr>
          <w:rFonts w:eastAsia="Calibri"/>
          <w:lang w:eastAsia="en-US"/>
        </w:rPr>
        <w:t xml:space="preserve"> a kontextové </w:t>
      </w:r>
      <w:r w:rsidR="004F0F04" w:rsidRPr="00950B2E">
        <w:rPr>
          <w:rFonts w:eastAsia="Calibri"/>
          <w:lang w:eastAsia="en-US"/>
        </w:rPr>
        <w:t>znalosti („proč“)</w:t>
      </w:r>
      <w:r w:rsidR="00897FE5" w:rsidRPr="00950B2E">
        <w:rPr>
          <w:rFonts w:eastAsia="Calibri"/>
          <w:lang w:eastAsia="en-US"/>
        </w:rPr>
        <w:t xml:space="preserve">. </w:t>
      </w:r>
      <w:r w:rsidR="00437810" w:rsidRPr="00950B2E">
        <w:t xml:space="preserve">Osvojování určitého typu znalostí závisí především na druhu učení, které je po subjektu vyžadováno. Jednotlivé druhy učení jsou hierarchicky uspořádány tak, že nižší druhy učení/znalostí (např. klasifikace pojmů) vytvářejí předpoklady pro vyšší druhy učení/znalostí (např. identifikace pravidel a principů). Nejvyšším druhem učení je dle Gagného řešení problémů, neboť </w:t>
      </w:r>
      <w:r w:rsidRPr="00950B2E">
        <w:t>směřuje</w:t>
      </w:r>
      <w:r>
        <w:t xml:space="preserve"> </w:t>
      </w:r>
      <w:r w:rsidRPr="00950B2E">
        <w:t>k s</w:t>
      </w:r>
      <w:r w:rsidR="00437810" w:rsidRPr="00950B2E">
        <w:t>amostatné</w:t>
      </w:r>
      <w:r w:rsidRPr="00950B2E">
        <w:t xml:space="preserve">mu </w:t>
      </w:r>
      <w:r w:rsidR="00437810" w:rsidRPr="00950B2E">
        <w:t>vytv</w:t>
      </w:r>
      <w:r w:rsidRPr="00950B2E">
        <w:t>áření</w:t>
      </w:r>
      <w:r w:rsidR="00437810" w:rsidRPr="00950B2E">
        <w:t xml:space="preserve"> a aplikování nového komplexního pravidla za účelem vyřešení subjektivně nového nebo neznámého problému a případn</w:t>
      </w:r>
      <w:r w:rsidRPr="00950B2E">
        <w:t>é</w:t>
      </w:r>
      <w:r w:rsidR="00437810" w:rsidRPr="00950B2E">
        <w:t xml:space="preserve"> demonstrac</w:t>
      </w:r>
      <w:r w:rsidRPr="00950B2E">
        <w:t>i</w:t>
      </w:r>
      <w:r w:rsidR="00437810" w:rsidRPr="00950B2E">
        <w:t xml:space="preserve"> jeho fungování v obdobné nebo odlišné situaci.</w:t>
      </w:r>
      <w:r>
        <w:t xml:space="preserve"> Pokud se na řešení problémů podíváme mřížkou dimenze kognitivního procesu revidované Bloomovy taxonomie, nezbytným atributem problémových učebních úloh je</w:t>
      </w:r>
      <w:r w:rsidR="0009154C">
        <w:t xml:space="preserve">, že jsou zacíleny na rozvíjení nejvyšších úrovní kognitivního procesu (kategorie hodnotit a tvořit). </w:t>
      </w:r>
      <w:r w:rsidR="00BD0556">
        <w:t xml:space="preserve">Závěrem nutno podotknout, že v našem výzkumu jsme neoperacionalizovali metakognitivní znalosti. Ačkoliv metakognitivní znalosti reprezentují proměnnou, která výrazným způsobem ovlivňuje úspěšnost problémového učení a vyučování, jsme přesvědčeni o nutnosti jejich samostatného výzkumného uchopování. </w:t>
      </w:r>
      <w:r w:rsidR="00FD5CB1">
        <w:t xml:space="preserve">Je třeba brát v potaz, </w:t>
      </w:r>
      <w:r w:rsidR="0009154C">
        <w:t>že metakognitivní znalosti reprezentují svébytnou oblast výzkumu i svébytnou kompetenční doménu (srov. např. kompetence k</w:t>
      </w:r>
      <w:r w:rsidR="00FD5CB1">
        <w:t> </w:t>
      </w:r>
      <w:r w:rsidR="0009154C">
        <w:t>učení</w:t>
      </w:r>
      <w:r w:rsidR="00FD5CB1">
        <w:t>) a</w:t>
      </w:r>
      <w:r w:rsidR="0009154C">
        <w:t xml:space="preserve"> </w:t>
      </w:r>
      <w:r w:rsidR="00FD5CB1">
        <w:t>svým cílovým zaměřením výrazně přesahují oblast problémového učení a vyučování.</w:t>
      </w:r>
    </w:p>
    <w:p w:rsidR="00E648B2" w:rsidRPr="00D96DAA" w:rsidRDefault="00E648B2" w:rsidP="005E23F1">
      <w:pPr>
        <w:spacing w:after="120" w:line="276" w:lineRule="auto"/>
        <w:jc w:val="both"/>
        <w:rPr>
          <w:color w:val="FF0000"/>
        </w:rPr>
      </w:pPr>
    </w:p>
    <w:p w:rsidR="004932AD" w:rsidRDefault="00CD25AB" w:rsidP="007512AF">
      <w:pPr>
        <w:pStyle w:val="Nadpis2"/>
      </w:pPr>
      <w:bookmarkStart w:id="63" w:name="_Toc399775418"/>
      <w:r w:rsidRPr="007512AF">
        <w:t>Příležitosti k</w:t>
      </w:r>
      <w:r w:rsidR="00F27F52" w:rsidRPr="007512AF">
        <w:t xml:space="preserve"> utváření a </w:t>
      </w:r>
      <w:r w:rsidRPr="007512AF">
        <w:t>rozvíjení kompetence k řešení prob</w:t>
      </w:r>
      <w:r w:rsidR="00371284" w:rsidRPr="007512AF">
        <w:t>lém</w:t>
      </w:r>
      <w:r w:rsidR="00687EAA" w:rsidRPr="007512AF">
        <w:t>ů</w:t>
      </w:r>
      <w:r w:rsidR="00371284" w:rsidRPr="007512AF">
        <w:t xml:space="preserve"> </w:t>
      </w:r>
      <w:r w:rsidRPr="007512AF">
        <w:t>v učebnicích a ve výuce</w:t>
      </w:r>
      <w:bookmarkEnd w:id="63"/>
    </w:p>
    <w:p w:rsidR="00FD5CB1" w:rsidRPr="00B86991" w:rsidRDefault="00C91A1F" w:rsidP="00FD5CB1">
      <w:pPr>
        <w:spacing w:after="120" w:line="276" w:lineRule="auto"/>
        <w:jc w:val="both"/>
      </w:pPr>
      <w:r w:rsidRPr="00B86991">
        <w:t>K</w:t>
      </w:r>
      <w:r w:rsidR="00FD5CB1" w:rsidRPr="00B86991">
        <w:t>apitol</w:t>
      </w:r>
      <w:r w:rsidRPr="00B86991">
        <w:t>a</w:t>
      </w:r>
      <w:r w:rsidR="00FD5CB1" w:rsidRPr="00B86991">
        <w:t xml:space="preserve"> je syntézou první části knihy, v níž byly diskutovány a vyjasněny základní pojmy. Jádro kapitoly tvoří operační definice kompetence k řešení problémů, která je východiskem k empirickému </w:t>
      </w:r>
      <w:r w:rsidR="004A63C0" w:rsidRPr="00B86991">
        <w:t>šetření</w:t>
      </w:r>
      <w:r w:rsidR="00A952EA">
        <w:t xml:space="preserve"> popisovanému v</w:t>
      </w:r>
      <w:r w:rsidR="00FD5CB1" w:rsidRPr="00B86991">
        <w:t> </w:t>
      </w:r>
      <w:r w:rsidR="00A952EA">
        <w:t>následujících</w:t>
      </w:r>
      <w:r w:rsidR="00FD5CB1" w:rsidRPr="00B86991">
        <w:t xml:space="preserve"> kapitolách.</w:t>
      </w:r>
    </w:p>
    <w:p w:rsidR="00F27F52" w:rsidRPr="00774486" w:rsidRDefault="00F27F52" w:rsidP="00A952EA">
      <w:pPr>
        <w:spacing w:after="120" w:line="276" w:lineRule="auto"/>
        <w:jc w:val="both"/>
      </w:pPr>
      <w:r w:rsidRPr="00774486">
        <w:t xml:space="preserve">Pojednání na téma </w:t>
      </w:r>
      <w:r w:rsidRPr="00774486">
        <w:rPr>
          <w:i/>
        </w:rPr>
        <w:t>příležitost</w:t>
      </w:r>
      <w:r w:rsidR="008026B1" w:rsidRPr="00774486">
        <w:rPr>
          <w:i/>
        </w:rPr>
        <w:t>í</w:t>
      </w:r>
      <w:r w:rsidRPr="00774486">
        <w:rPr>
          <w:i/>
        </w:rPr>
        <w:t xml:space="preserve"> k</w:t>
      </w:r>
      <w:r w:rsidR="008026B1" w:rsidRPr="00774486">
        <w:rPr>
          <w:i/>
        </w:rPr>
        <w:t xml:space="preserve"> utváření a </w:t>
      </w:r>
      <w:r w:rsidRPr="00774486">
        <w:rPr>
          <w:i/>
        </w:rPr>
        <w:t>rozvíjení kompetenc</w:t>
      </w:r>
      <w:r w:rsidR="00774486" w:rsidRPr="00774486">
        <w:rPr>
          <w:i/>
        </w:rPr>
        <w:t>e k řešení problémů</w:t>
      </w:r>
      <w:r w:rsidRPr="00774486">
        <w:rPr>
          <w:i/>
        </w:rPr>
        <w:t xml:space="preserve"> </w:t>
      </w:r>
      <w:r w:rsidRPr="00774486">
        <w:t xml:space="preserve">otevřeme poněkud zeširoka. Otázkou z prvních je, kdy a jak lze </w:t>
      </w:r>
      <w:r w:rsidR="00774486" w:rsidRPr="00774486">
        <w:t>(</w:t>
      </w:r>
      <w:r w:rsidRPr="00774486">
        <w:t>klíčové</w:t>
      </w:r>
      <w:r w:rsidR="00774486" w:rsidRPr="00774486">
        <w:t>)</w:t>
      </w:r>
      <w:r w:rsidRPr="00774486">
        <w:t xml:space="preserve"> kompetence rozvíjet. Tento problém doposud nebyl spolehlivě vyřešen, kromě shody na tom, že klíčové kompetence by měly být u každého jednotlivce rozvíjeny zejména v průběhu povinného formálního vzdělávání. Klíčové kompetence nicméně nejsou rozvíjeny výhradně v průběhu školního vzdělávání; vlivné jsou i další okolnosti a sociální instituce jako rodina, přátelé, blízké okolí, četba, politický a kulturní život apod. Je otázkou, do jaké míry škola může žáky připravit na rodinný a pracovní život, který je vždy situován do reálných rodin a zaměstnání.</w:t>
      </w:r>
      <w:r w:rsidRPr="00774486">
        <w:rPr>
          <w:rStyle w:val="Znakapoznpodarou"/>
        </w:rPr>
        <w:footnoteReference w:id="62"/>
      </w:r>
      <w:r w:rsidRPr="00774486">
        <w:t xml:space="preserve"> Není možné zaručit, že na základě výkonových indikátorů, používaných např. v problémových úlohách při testování kompetencí, skutečně dokážeme posoudit, zda žák bude schopen vyřešit obdobnou problémovou situaci v kontextu každodenního života, kde vstupuje do hry mnohem více proměnných než ve školním prostředí. V případě rozvíjení některých klíčových kompetencí mají ve srovnání se školou mnohem vyšší potenciál např. rodina nebo místní komunity (srov. Goody</w:t>
      </w:r>
      <w:r w:rsidR="0077525A" w:rsidRPr="00774486">
        <w:t>,</w:t>
      </w:r>
      <w:r w:rsidRPr="00774486">
        <w:t xml:space="preserve"> 2001, s. 184). Nezanedbatelnou roli zde sehrává také socioekonomický status žáků a další proměnné tohoto druhu (srov. Straková</w:t>
      </w:r>
      <w:r w:rsidR="0077525A" w:rsidRPr="00774486">
        <w:t>,</w:t>
      </w:r>
      <w:r w:rsidRPr="00774486">
        <w:t xml:space="preserve"> 2010</w:t>
      </w:r>
      <w:r w:rsidR="00950897" w:rsidRPr="00774486">
        <w:t>b</w:t>
      </w:r>
      <w:r w:rsidRPr="00774486">
        <w:t xml:space="preserve">). </w:t>
      </w:r>
    </w:p>
    <w:p w:rsidR="008E0774" w:rsidRDefault="00A952EA" w:rsidP="00CB40BD">
      <w:pPr>
        <w:spacing w:after="120" w:line="276" w:lineRule="auto"/>
        <w:jc w:val="both"/>
      </w:pPr>
      <w:r>
        <w:t>P</w:t>
      </w:r>
      <w:r w:rsidR="00CB40BD" w:rsidRPr="006D3E42">
        <w:t>roces řešení problému spočívá v porozumění problémové situaci a v její transformaci do dílčích kroků – je založen na systematickém plánování a zdůvodňování.</w:t>
      </w:r>
      <w:r w:rsidR="00CB40BD" w:rsidRPr="006D3E42">
        <w:rPr>
          <w:i/>
          <w:iCs/>
        </w:rPr>
        <w:t xml:space="preserve"> </w:t>
      </w:r>
      <w:r w:rsidR="00CB40BD" w:rsidRPr="006D3E42">
        <w:t xml:space="preserve">Kompetence k řešení problémů je schopnost jedince uvedené procesy koordinovat a využívat v úlohách a </w:t>
      </w:r>
      <w:r w:rsidR="00CB40BD">
        <w:t>situacích různého typu (</w:t>
      </w:r>
      <w:r w:rsidR="0053411B">
        <w:t xml:space="preserve">srov. </w:t>
      </w:r>
      <w:r w:rsidR="00CB40BD">
        <w:t xml:space="preserve">Dossey et al., </w:t>
      </w:r>
      <w:r w:rsidR="00CB40BD" w:rsidRPr="006D3E42">
        <w:t>2000, s. 20; Reeff</w:t>
      </w:r>
      <w:r w:rsidR="00600D20">
        <w:t>,</w:t>
      </w:r>
      <w:r w:rsidR="00CB40BD" w:rsidRPr="006D3E42">
        <w:t xml:space="preserve"> 1999, s. 48 aj.). </w:t>
      </w:r>
      <w:r w:rsidR="007471B5">
        <w:t>Kompetenc</w:t>
      </w:r>
      <w:r w:rsidR="00645293">
        <w:t>i</w:t>
      </w:r>
      <w:r w:rsidR="007471B5">
        <w:t xml:space="preserve"> k řešení problémů </w:t>
      </w:r>
      <w:r w:rsidR="00645293">
        <w:t xml:space="preserve">v této práci </w:t>
      </w:r>
      <w:r w:rsidR="00CB40BD">
        <w:t>definujeme</w:t>
      </w:r>
      <w:r w:rsidR="00645293">
        <w:t xml:space="preserve"> jako </w:t>
      </w:r>
      <w:r w:rsidR="00534B78">
        <w:t xml:space="preserve">kognitivní </w:t>
      </w:r>
      <w:r w:rsidR="00441428">
        <w:t>d</w:t>
      </w:r>
      <w:r w:rsidR="007471B5">
        <w:t>ispozic</w:t>
      </w:r>
      <w:r w:rsidR="00645293">
        <w:t>i</w:t>
      </w:r>
      <w:r w:rsidR="007471B5">
        <w:t>/potencialit</w:t>
      </w:r>
      <w:r w:rsidR="00645293">
        <w:t>u</w:t>
      </w:r>
      <w:r w:rsidR="007471B5">
        <w:t xml:space="preserve"> </w:t>
      </w:r>
      <w:r w:rsidR="00534B78">
        <w:t>k</w:t>
      </w:r>
      <w:r w:rsidR="00CC58FA">
        <w:t xml:space="preserve"> úspěšnému </w:t>
      </w:r>
      <w:r w:rsidR="00645293">
        <w:t>jednání v </w:t>
      </w:r>
      <w:r w:rsidR="006D3E42">
        <w:t>problémových</w:t>
      </w:r>
      <w:r w:rsidR="00534B78">
        <w:t xml:space="preserve"> situacích</w:t>
      </w:r>
      <w:r w:rsidR="006D3E42">
        <w:t xml:space="preserve"> blízkých každodennímu životu</w:t>
      </w:r>
      <w:r w:rsidR="00534B78">
        <w:t>, které není možné zvládat pomocí rutinních p</w:t>
      </w:r>
      <w:r w:rsidR="003A3F24">
        <w:t>ostupů</w:t>
      </w:r>
      <w:r w:rsidR="00645293">
        <w:t xml:space="preserve">. </w:t>
      </w:r>
    </w:p>
    <w:p w:rsidR="00AB10AC" w:rsidRDefault="005D13E4" w:rsidP="00CB40BD">
      <w:pPr>
        <w:spacing w:after="120" w:line="276" w:lineRule="auto"/>
        <w:jc w:val="both"/>
      </w:pPr>
      <w:r>
        <w:t>Přepokládáme, že všechny nad</w:t>
      </w:r>
      <w:r w:rsidR="004A63C0">
        <w:t>o</w:t>
      </w:r>
      <w:r>
        <w:t xml:space="preserve">borové kompetence, tedy i kompetenci k řešení problémů, je možné utvářet a rozvíjet </w:t>
      </w:r>
      <w:r w:rsidR="003A3F24">
        <w:t xml:space="preserve">prostřednictvím řešení </w:t>
      </w:r>
      <w:r>
        <w:t>oborově specifických (v našem případě geografických)</w:t>
      </w:r>
      <w:r w:rsidR="003A3F24">
        <w:t xml:space="preserve"> problémových </w:t>
      </w:r>
      <w:r>
        <w:t xml:space="preserve">učebních úloh. </w:t>
      </w:r>
      <w:r w:rsidR="00BE5DEF">
        <w:t>Naše</w:t>
      </w:r>
      <w:r w:rsidR="00CC58FA" w:rsidRPr="00441428">
        <w:t xml:space="preserve"> pojetí se odlišuje od přístupu Kliemeho, Arteltové and Stanatové (2001, s. 205), kteří v případě úloh indikujících kompetenci k řešení problémů požadují jejich situovanost do nadoborového kontextu</w:t>
      </w:r>
      <w:r w:rsidR="00AB10AC">
        <w:t xml:space="preserve">. </w:t>
      </w:r>
      <w:r w:rsidRPr="00441428">
        <w:t xml:space="preserve">Z </w:t>
      </w:r>
      <w:r w:rsidR="00BE5DEF">
        <w:t>nadoborového</w:t>
      </w:r>
      <w:r w:rsidRPr="00441428">
        <w:t xml:space="preserve"> pojetí vychází také koncepce mezinárodního srovnávacího šetření PISA</w:t>
      </w:r>
      <w:r>
        <w:t xml:space="preserve"> (OECD</w:t>
      </w:r>
      <w:r w:rsidR="00C570B3">
        <w:t>,</w:t>
      </w:r>
      <w:r>
        <w:t xml:space="preserve"> 2004, s</w:t>
      </w:r>
      <w:r w:rsidRPr="00441428">
        <w:t>. 26–27).</w:t>
      </w:r>
      <w:r w:rsidR="00AB10AC" w:rsidRPr="00AB10AC">
        <w:t xml:space="preserve"> </w:t>
      </w:r>
    </w:p>
    <w:p w:rsidR="005D13E4" w:rsidRPr="00441428" w:rsidRDefault="008E0774" w:rsidP="00CB40BD">
      <w:pPr>
        <w:spacing w:after="120" w:line="276" w:lineRule="auto"/>
        <w:jc w:val="both"/>
      </w:pPr>
      <w:r w:rsidRPr="00D96DAA">
        <w:rPr>
          <w:rStyle w:val="object"/>
          <w:bCs/>
        </w:rPr>
        <w:t>Uvedli jsme, že při rozvíjení kompetencí hraje důležitou roli situační kontext</w:t>
      </w:r>
      <w:r w:rsidRPr="00D96DAA">
        <w:rPr>
          <w:bCs/>
        </w:rPr>
        <w:t xml:space="preserve">. </w:t>
      </w:r>
      <w:r w:rsidR="00AB10AC">
        <w:rPr>
          <w:bCs/>
        </w:rPr>
        <w:t>U</w:t>
      </w:r>
      <w:r w:rsidR="00AB10AC" w:rsidRPr="00D96DAA">
        <w:rPr>
          <w:bCs/>
        </w:rPr>
        <w:t xml:space="preserve">čební situace není </w:t>
      </w:r>
      <w:r w:rsidR="00AB10AC">
        <w:rPr>
          <w:bCs/>
        </w:rPr>
        <w:t xml:space="preserve">dle našeho názoru </w:t>
      </w:r>
      <w:r w:rsidR="00AB10AC" w:rsidRPr="00D96DAA">
        <w:rPr>
          <w:bCs/>
        </w:rPr>
        <w:t>možné redukovat pouze na konceptualizaci obecných problémů každodenního života, neboť většina problémů každodenního života, zejména pracovních, je vázána na oborově specifické obsahy</w:t>
      </w:r>
      <w:r w:rsidR="00DD22AD">
        <w:rPr>
          <w:bCs/>
        </w:rPr>
        <w:t>,</w:t>
      </w:r>
      <w:r w:rsidR="00DD22AD" w:rsidRPr="00DD22AD">
        <w:t xml:space="preserve"> </w:t>
      </w:r>
      <w:r w:rsidR="00DD22AD">
        <w:t>znalosti a dovednosti</w:t>
      </w:r>
      <w:r w:rsidR="00AB10AC" w:rsidRPr="00D96DAA">
        <w:rPr>
          <w:bCs/>
        </w:rPr>
        <w:t>.</w:t>
      </w:r>
      <w:r w:rsidR="00AB10AC" w:rsidRPr="00D96DAA">
        <w:t xml:space="preserve"> </w:t>
      </w:r>
      <w:r w:rsidR="006A5E3A" w:rsidRPr="009C6125">
        <w:rPr>
          <w:bCs/>
        </w:rPr>
        <w:t>Provazování odpovídajících typů situ</w:t>
      </w:r>
      <w:r w:rsidR="006A5E3A">
        <w:rPr>
          <w:bCs/>
        </w:rPr>
        <w:t xml:space="preserve">ací se „skutečným životem“, </w:t>
      </w:r>
      <w:r w:rsidR="006A5E3A" w:rsidRPr="009C6125">
        <w:rPr>
          <w:bCs/>
        </w:rPr>
        <w:t xml:space="preserve">může být vyjádřeno např. souhrnem různě obtížných (stupňujících se) požadavků profesních </w:t>
      </w:r>
      <w:r w:rsidR="00A14816">
        <w:rPr>
          <w:bCs/>
        </w:rPr>
        <w:t>kontextů a situací (Janík et al</w:t>
      </w:r>
      <w:r w:rsidR="002C7D68">
        <w:rPr>
          <w:bCs/>
        </w:rPr>
        <w:t>.</w:t>
      </w:r>
      <w:r w:rsidR="00A14816">
        <w:rPr>
          <w:bCs/>
        </w:rPr>
        <w:t xml:space="preserve">, </w:t>
      </w:r>
      <w:r w:rsidR="006A5E3A" w:rsidRPr="009C6125">
        <w:rPr>
          <w:bCs/>
        </w:rPr>
        <w:t>2010, s. 19).</w:t>
      </w:r>
      <w:r w:rsidR="006A5E3A">
        <w:rPr>
          <w:bCs/>
        </w:rPr>
        <w:t xml:space="preserve"> </w:t>
      </w:r>
      <w:r w:rsidR="00AB10AC" w:rsidRPr="00E81730">
        <w:t>Oborová specifičnost některých vzdělávacích obsahů umožňuje pouze v omezené míře jejich mezioborovou komparaci. Předpokládáme, že mezioborový transfer poznatků (dekontextualizace) bude obdobně limitován (srov. Najvar et al., 2009).</w:t>
      </w:r>
    </w:p>
    <w:p w:rsidR="005B3421" w:rsidRPr="00F43E4F" w:rsidRDefault="00AD718E" w:rsidP="00CB40BD">
      <w:pPr>
        <w:spacing w:after="120" w:line="276" w:lineRule="auto"/>
        <w:jc w:val="both"/>
      </w:pPr>
      <w:r w:rsidRPr="00F43E4F">
        <w:t>V</w:t>
      </w:r>
      <w:r w:rsidR="00B17288" w:rsidRPr="00F43E4F">
        <w:t> této práci zabýváme příležitostmi k utváření a rozvíjení kompetence k řešení problémů ve výuce zeměpisu</w:t>
      </w:r>
      <w:r w:rsidR="009F0015" w:rsidRPr="00F43E4F">
        <w:t>. J</w:t>
      </w:r>
      <w:r w:rsidR="00B17288" w:rsidRPr="00F43E4F">
        <w:t xml:space="preserve">sme přesvědčeni, že </w:t>
      </w:r>
      <w:r w:rsidR="005B3421" w:rsidRPr="00F43E4F">
        <w:t>úspěšné řešení</w:t>
      </w:r>
      <w:r w:rsidR="009F0015" w:rsidRPr="00F43E4F">
        <w:t xml:space="preserve"> geografických</w:t>
      </w:r>
      <w:r w:rsidR="005B3421" w:rsidRPr="00F43E4F">
        <w:t xml:space="preserve"> </w:t>
      </w:r>
      <w:r w:rsidR="00B17288" w:rsidRPr="00F43E4F">
        <w:t>probl</w:t>
      </w:r>
      <w:r w:rsidR="005B3421" w:rsidRPr="00F43E4F">
        <w:t xml:space="preserve">émových </w:t>
      </w:r>
      <w:r w:rsidR="00B17288" w:rsidRPr="00F43E4F">
        <w:t>učební</w:t>
      </w:r>
      <w:r w:rsidR="005B3421" w:rsidRPr="00F43E4F">
        <w:t>ch úloh</w:t>
      </w:r>
      <w:r w:rsidR="00B17288" w:rsidRPr="00F43E4F">
        <w:t xml:space="preserve"> </w:t>
      </w:r>
      <w:r w:rsidR="009F0015" w:rsidRPr="00F43E4F">
        <w:t xml:space="preserve">může napomáhat osvojování heuristických znalostí </w:t>
      </w:r>
      <w:r w:rsidR="005F55CE" w:rsidRPr="00F43E4F">
        <w:t xml:space="preserve">potenciálně </w:t>
      </w:r>
      <w:r w:rsidR="009F0015" w:rsidRPr="00F43E4F">
        <w:t>využitelných v odlišných kontextech</w:t>
      </w:r>
      <w:r w:rsidRPr="00F43E4F">
        <w:t xml:space="preserve"> </w:t>
      </w:r>
      <w:r w:rsidRPr="00F43E4F">
        <w:rPr>
          <w:bCs/>
        </w:rPr>
        <w:t>(např. kontext školního předmětu, kontext osobní/společenský, kontext profesní/expertní).</w:t>
      </w:r>
      <w:r w:rsidRPr="00F43E4F">
        <w:t xml:space="preserve"> </w:t>
      </w:r>
      <w:r w:rsidRPr="00F43E4F">
        <w:rPr>
          <w:bCs/>
        </w:rPr>
        <w:t xml:space="preserve">Odlišné roviny situačních kontextů vyžadují odlišnou úroveň rozvinutí kompetencí, počínaje řešením oborově vázaných učebních úloh řešitelných na základě algoritmu, konče řešením komplexních profesně situovaných problémů vyžadujících zapojení složitějších kognitivních procesů a expertních znalostí z více (příbuzných) oborů. </w:t>
      </w:r>
      <w:r w:rsidR="001F6BA3" w:rsidRPr="00F43E4F">
        <w:t>Myšlenku podrobněji rozvádíme v následující kapitole.</w:t>
      </w:r>
    </w:p>
    <w:p w:rsidR="00534B78" w:rsidRDefault="00534B78" w:rsidP="00CB40BD">
      <w:pPr>
        <w:spacing w:after="120" w:line="276" w:lineRule="auto"/>
        <w:jc w:val="both"/>
      </w:pPr>
    </w:p>
    <w:p w:rsidR="008D59BB" w:rsidRDefault="00C9242B" w:rsidP="00CB40BD">
      <w:pPr>
        <w:pStyle w:val="Nadpis3"/>
        <w:spacing w:before="0" w:after="120"/>
        <w:jc w:val="both"/>
      </w:pPr>
      <w:bookmarkStart w:id="64" w:name="_Toc399775419"/>
      <w:bookmarkStart w:id="65" w:name="_Toc322983684"/>
      <w:r w:rsidRPr="008E0712">
        <w:t>Kompetence k řešení problémů a její význam pro geografické vzdělávání</w:t>
      </w:r>
      <w:bookmarkEnd w:id="64"/>
      <w:r w:rsidRPr="008E0712">
        <w:t xml:space="preserve"> </w:t>
      </w:r>
    </w:p>
    <w:p w:rsidR="001D12B4" w:rsidRPr="007A49C9" w:rsidRDefault="00EE7B49" w:rsidP="00CB40BD">
      <w:pPr>
        <w:autoSpaceDE w:val="0"/>
        <w:autoSpaceDN w:val="0"/>
        <w:adjustRightInd w:val="0"/>
        <w:spacing w:after="120" w:line="276" w:lineRule="auto"/>
        <w:jc w:val="both"/>
      </w:pPr>
      <w:r w:rsidRPr="007A49C9">
        <w:t>Geografie je věda, která se zabývá studiem přírodních a společenských systémů a procesů, a jejich vzájemnými vztahy a souvislostmi</w:t>
      </w:r>
      <w:r w:rsidR="00263C67" w:rsidRPr="007A49C9">
        <w:t>, vlastnost</w:t>
      </w:r>
      <w:r w:rsidR="004944EE" w:rsidRPr="007A49C9">
        <w:t>mi</w:t>
      </w:r>
      <w:r w:rsidR="00263C67" w:rsidRPr="007A49C9">
        <w:t xml:space="preserve"> míst a krajin, polohou a </w:t>
      </w:r>
      <w:r w:rsidR="00380F7E" w:rsidRPr="007A49C9">
        <w:t>prostorovými zákonitostmi</w:t>
      </w:r>
      <w:r w:rsidR="00263C67" w:rsidRPr="007A49C9">
        <w:t xml:space="preserve">, interakcemi a vztahy odehrávajícími se na zemském povrchu a relevancí místa, prostoru a prostředí pro </w:t>
      </w:r>
      <w:r w:rsidR="004944EE" w:rsidRPr="007A49C9">
        <w:t>lidský blahobyt</w:t>
      </w:r>
      <w:r w:rsidR="008C000B" w:rsidRPr="007A49C9">
        <w:t xml:space="preserve"> (srov. Bennets, 2005, s. 117)</w:t>
      </w:r>
      <w:r w:rsidR="004944EE" w:rsidRPr="007A49C9">
        <w:t xml:space="preserve">. </w:t>
      </w:r>
    </w:p>
    <w:p w:rsidR="008D59BB" w:rsidRPr="007A49C9" w:rsidRDefault="0028102B" w:rsidP="00CB40BD">
      <w:pPr>
        <w:autoSpaceDE w:val="0"/>
        <w:autoSpaceDN w:val="0"/>
        <w:adjustRightInd w:val="0"/>
        <w:spacing w:after="120" w:line="276" w:lineRule="auto"/>
        <w:jc w:val="both"/>
        <w:rPr>
          <w:rFonts w:cs="Calibri"/>
        </w:rPr>
      </w:pPr>
      <w:r w:rsidRPr="007A49C9">
        <w:t>Hlásíme se k pojetí g</w:t>
      </w:r>
      <w:r w:rsidR="00C20510" w:rsidRPr="007A49C9">
        <w:t>eografické</w:t>
      </w:r>
      <w:r w:rsidR="001F6BA3">
        <w:t>ho</w:t>
      </w:r>
      <w:r w:rsidR="00C20510" w:rsidRPr="007A49C9">
        <w:t xml:space="preserve"> vzdělávání</w:t>
      </w:r>
      <w:r w:rsidRPr="007A49C9">
        <w:t xml:space="preserve">, které </w:t>
      </w:r>
      <w:r w:rsidR="008D59BB" w:rsidRPr="007A49C9">
        <w:t xml:space="preserve">by mělo především </w:t>
      </w:r>
      <w:r w:rsidR="00C20510" w:rsidRPr="007A49C9">
        <w:t>směřovat ke zprostředkování klíčových témat a konceptů vycházejících z mateřského oboru.</w:t>
      </w:r>
      <w:r w:rsidR="008D59BB" w:rsidRPr="007A49C9">
        <w:rPr>
          <w:rStyle w:val="Znakapoznpodarou"/>
        </w:rPr>
        <w:footnoteReference w:id="63"/>
      </w:r>
      <w:r w:rsidR="00867984" w:rsidRPr="007A49C9">
        <w:t xml:space="preserve"> </w:t>
      </w:r>
      <w:r w:rsidR="00612E3C" w:rsidRPr="007A49C9">
        <w:t xml:space="preserve">Za klíčová témata a koncepty geografického vzdělávání je možné mimo jiné považovat: </w:t>
      </w:r>
      <w:r w:rsidR="002F1C39" w:rsidRPr="007A49C9">
        <w:t>považuje za klíčové následující kon</w:t>
      </w:r>
      <w:r w:rsidR="00612E3C" w:rsidRPr="007A49C9">
        <w:t xml:space="preserve">cepty geografického vzdělávání: prostor, místo, měřítko, </w:t>
      </w:r>
      <w:r w:rsidR="002F1C39" w:rsidRPr="007A49C9">
        <w:t>příčina a následek, systémy, klasifikace, poloha, plánování, rozhodování, nerovnost a rozvoj</w:t>
      </w:r>
      <w:r w:rsidR="00AE5085" w:rsidRPr="007A49C9">
        <w:t>.</w:t>
      </w:r>
      <w:r w:rsidR="00AE5085" w:rsidRPr="007A49C9">
        <w:rPr>
          <w:rStyle w:val="Znakapoznpodarou"/>
        </w:rPr>
        <w:footnoteReference w:id="64"/>
      </w:r>
      <w:r w:rsidR="00AE5085" w:rsidRPr="007A49C9">
        <w:t xml:space="preserve"> </w:t>
      </w:r>
      <w:r w:rsidR="00211A0B" w:rsidRPr="007A49C9">
        <w:t xml:space="preserve">Vycházíme </w:t>
      </w:r>
      <w:r w:rsidR="00A55748" w:rsidRPr="007A49C9">
        <w:t xml:space="preserve">z přesvědčení, že pokud žáci budou vedeni k porozumění uvedeným konceptům, vytvoří si zároveň kognitivní dovednosti </w:t>
      </w:r>
      <w:r w:rsidR="00E44533">
        <w:t>snadněji</w:t>
      </w:r>
      <w:r w:rsidR="00A55748" w:rsidRPr="007A49C9">
        <w:t xml:space="preserve"> přenositelné do jiných/nových kontextů.</w:t>
      </w:r>
    </w:p>
    <w:p w:rsidR="00EF0F62" w:rsidRDefault="00847A96" w:rsidP="00CB40BD">
      <w:pPr>
        <w:autoSpaceDE w:val="0"/>
        <w:autoSpaceDN w:val="0"/>
        <w:adjustRightInd w:val="0"/>
        <w:spacing w:after="120" w:line="276" w:lineRule="auto"/>
        <w:jc w:val="both"/>
      </w:pPr>
      <w:r w:rsidRPr="007A49C9">
        <w:t>Problémový přístup k vyučování zeměpisu obrací pozornost především k otázce vytváření geografických pojmů a geografického myšlení na základě studia vhodných úloh a situ</w:t>
      </w:r>
      <w:r w:rsidR="00AE5085" w:rsidRPr="007A49C9">
        <w:t>a</w:t>
      </w:r>
      <w:r w:rsidRPr="007A49C9">
        <w:t>cí, jež jsou navozovány v </w:t>
      </w:r>
      <w:r w:rsidR="00AE5085" w:rsidRPr="007A49C9">
        <w:t>učebnicích a</w:t>
      </w:r>
      <w:r w:rsidRPr="007A49C9">
        <w:t xml:space="preserve"> ve </w:t>
      </w:r>
      <w:r w:rsidR="00AE5085" w:rsidRPr="007A49C9">
        <w:t xml:space="preserve">výuce. </w:t>
      </w:r>
      <w:r w:rsidR="00EF0F62">
        <w:t xml:space="preserve">Problémová výuka je specifická především tím, že odpovídá specifickému charakteru zeměpisného učiva. </w:t>
      </w:r>
      <w:r w:rsidR="00AE5085" w:rsidRPr="007A49C9">
        <w:t>Při problémové geografické výuce</w:t>
      </w:r>
      <w:r w:rsidRPr="007A49C9">
        <w:t xml:space="preserve"> by mělo jít především o to, aby žák </w:t>
      </w:r>
      <w:r w:rsidR="00EF0F62">
        <w:t>dostával příležitosti k samostatnému a kreativnímu učení, aplikoval geografické znalosti</w:t>
      </w:r>
      <w:r w:rsidRPr="007A49C9">
        <w:t xml:space="preserve"> a geografi</w:t>
      </w:r>
      <w:r w:rsidR="00E44533">
        <w:t xml:space="preserve">cké myšlení při řešení </w:t>
      </w:r>
      <w:r w:rsidR="00361E1C">
        <w:t xml:space="preserve">geografických </w:t>
      </w:r>
      <w:r w:rsidR="00E44533">
        <w:t xml:space="preserve">problémů, </w:t>
      </w:r>
      <w:r w:rsidR="00361E1C">
        <w:t xml:space="preserve">a tím rozvíjel své argumentační schopnosti, motivaci k učení a utvářel si </w:t>
      </w:r>
      <w:r w:rsidR="00EF0F62">
        <w:t>pozitivní postoje k</w:t>
      </w:r>
      <w:r w:rsidR="00361E1C">
        <w:t> zeměpisu/geografii</w:t>
      </w:r>
      <w:r w:rsidR="00EF0F62">
        <w:t>.</w:t>
      </w:r>
    </w:p>
    <w:p w:rsidR="00313D54" w:rsidRDefault="00C9242B" w:rsidP="00CB40BD">
      <w:pPr>
        <w:autoSpaceDE w:val="0"/>
        <w:autoSpaceDN w:val="0"/>
        <w:adjustRightInd w:val="0"/>
        <w:spacing w:after="120" w:line="276" w:lineRule="auto"/>
        <w:jc w:val="both"/>
      </w:pPr>
      <w:r>
        <w:t>Existují nejméně</w:t>
      </w:r>
      <w:r w:rsidR="00F7691B">
        <w:t xml:space="preserve"> dva</w:t>
      </w:r>
      <w:r>
        <w:t xml:space="preserve"> </w:t>
      </w:r>
      <w:r w:rsidR="00F7691B">
        <w:t xml:space="preserve">závažné </w:t>
      </w:r>
      <w:r>
        <w:t xml:space="preserve">důvody, proč je možné kompetenci k řešení problémů pokládat za relevantní pro geografické vzdělávání: </w:t>
      </w:r>
    </w:p>
    <w:p w:rsidR="00C9242B" w:rsidRDefault="00AC7109" w:rsidP="00FE68D6">
      <w:pPr>
        <w:numPr>
          <w:ilvl w:val="0"/>
          <w:numId w:val="23"/>
        </w:numPr>
        <w:autoSpaceDE w:val="0"/>
        <w:autoSpaceDN w:val="0"/>
        <w:adjustRightInd w:val="0"/>
        <w:spacing w:after="120" w:line="276" w:lineRule="auto"/>
        <w:jc w:val="both"/>
      </w:pPr>
      <w:r>
        <w:t>Problémov</w:t>
      </w:r>
      <w:r w:rsidR="00313D54">
        <w:t xml:space="preserve">ě </w:t>
      </w:r>
      <w:r w:rsidR="00313D54" w:rsidRPr="00F7691B">
        <w:t>orientované</w:t>
      </w:r>
      <w:r w:rsidRPr="00F7691B">
        <w:t xml:space="preserve"> přístupy ve výuce geografie</w:t>
      </w:r>
      <w:r w:rsidR="00C9242B" w:rsidRPr="00F7691B">
        <w:t xml:space="preserve"> jsou dlouhodobě </w:t>
      </w:r>
      <w:r w:rsidRPr="00F7691B">
        <w:t xml:space="preserve">považovány za pilíře </w:t>
      </w:r>
      <w:r w:rsidR="00C9242B" w:rsidRPr="00F7691B">
        <w:t xml:space="preserve">geografického vzdělávání </w:t>
      </w:r>
      <w:r w:rsidRPr="00F7691B">
        <w:t>(</w:t>
      </w:r>
      <w:r w:rsidR="001B6D7E">
        <w:t xml:space="preserve">podrobněji viz </w:t>
      </w:r>
      <w:r w:rsidRPr="00F7691B">
        <w:t>Roberts, 2003</w:t>
      </w:r>
      <w:r w:rsidR="00991F44">
        <w:t>, 2013</w:t>
      </w:r>
      <w:r w:rsidR="00C9242B" w:rsidRPr="00F7691B">
        <w:t>). Dovednosti týkající se generování informací, formulování a ověřování hypotéz a navrhování možností řešení geografických problémů by měly představovat klíčovou obsahovou náplň geografického vzdělávání.</w:t>
      </w:r>
      <w:r w:rsidR="009064C6" w:rsidRPr="00F7691B">
        <w:t xml:space="preserve"> V geografickém vzdělávání dochází k získávání </w:t>
      </w:r>
      <w:r w:rsidR="00951234" w:rsidRPr="00F7691B">
        <w:t>a a</w:t>
      </w:r>
      <w:r w:rsidR="009064C6" w:rsidRPr="00F7691B">
        <w:t xml:space="preserve">plikaci znalostí </w:t>
      </w:r>
      <w:r w:rsidR="00951234" w:rsidRPr="00F7691B">
        <w:t>potřebných pro řešení oborově specifických problémů.</w:t>
      </w:r>
      <w:r w:rsidR="00E23A07" w:rsidRPr="00F7691B">
        <w:t xml:space="preserve"> Řešení problémů tak </w:t>
      </w:r>
      <w:r w:rsidR="00C87A4D" w:rsidRPr="00F7691B">
        <w:t>vychází vstříc pož</w:t>
      </w:r>
      <w:r w:rsidR="001B6D7E">
        <w:t>a</w:t>
      </w:r>
      <w:r w:rsidR="00C87A4D" w:rsidRPr="00F7691B">
        <w:t>davku</w:t>
      </w:r>
      <w:r w:rsidR="00496763" w:rsidRPr="00F7691B">
        <w:t xml:space="preserve"> </w:t>
      </w:r>
      <w:r w:rsidR="00D85169" w:rsidRPr="00F7691B">
        <w:t>n</w:t>
      </w:r>
      <w:r w:rsidR="00A94CBE" w:rsidRPr="00F7691B">
        <w:t xml:space="preserve">aučit </w:t>
      </w:r>
      <w:r w:rsidR="00D85169" w:rsidRPr="00F7691B">
        <w:t xml:space="preserve">žáky </w:t>
      </w:r>
      <w:r w:rsidR="00A94CBE" w:rsidRPr="00F7691B">
        <w:t>geograficky myslet a argumentovat</w:t>
      </w:r>
      <w:r w:rsidR="007A49C9" w:rsidRPr="00F7691B">
        <w:t>, což je jednak</w:t>
      </w:r>
      <w:r w:rsidR="00C87A4D" w:rsidRPr="00F7691B">
        <w:t xml:space="preserve"> cestou ke</w:t>
      </w:r>
      <w:r w:rsidR="00E23A07" w:rsidRPr="00F7691B">
        <w:t xml:space="preserve"> zvýšení kognitivní náročnosti výuky geografie</w:t>
      </w:r>
      <w:r w:rsidRPr="00F7691B">
        <w:t xml:space="preserve"> (</w:t>
      </w:r>
      <w:r w:rsidR="00BD441F" w:rsidRPr="00F7691B">
        <w:t>podrobněji viz V</w:t>
      </w:r>
      <w:r w:rsidRPr="00F7691B">
        <w:t xml:space="preserve">an der Schee, Leat, </w:t>
      </w:r>
      <w:r w:rsidR="00F7691B">
        <w:t xml:space="preserve">&amp; </w:t>
      </w:r>
      <w:r w:rsidRPr="00F7691B">
        <w:t>Vankan, 2006</w:t>
      </w:r>
      <w:r w:rsidR="001A6CC5" w:rsidRPr="00F7691B">
        <w:t>)</w:t>
      </w:r>
      <w:r w:rsidR="00C87A4D" w:rsidRPr="00F7691B">
        <w:t xml:space="preserve">, a </w:t>
      </w:r>
      <w:r w:rsidR="00991F44">
        <w:t>jednak</w:t>
      </w:r>
      <w:r w:rsidR="00C87A4D" w:rsidRPr="00F7691B">
        <w:t xml:space="preserve"> podmínkou k etablování nové kultury vyučování a učení</w:t>
      </w:r>
      <w:r w:rsidR="007A49C9" w:rsidRPr="00F7691B">
        <w:t>.</w:t>
      </w:r>
    </w:p>
    <w:p w:rsidR="00DA59D6" w:rsidRPr="00A8234B" w:rsidRDefault="00C9242B" w:rsidP="00FE68D6">
      <w:pPr>
        <w:numPr>
          <w:ilvl w:val="0"/>
          <w:numId w:val="23"/>
        </w:numPr>
        <w:autoSpaceDE w:val="0"/>
        <w:autoSpaceDN w:val="0"/>
        <w:adjustRightInd w:val="0"/>
        <w:spacing w:after="120" w:line="276" w:lineRule="auto"/>
        <w:jc w:val="both"/>
        <w:rPr>
          <w:color w:val="FF0000"/>
        </w:rPr>
      </w:pPr>
      <w:r>
        <w:t xml:space="preserve">Řešení geografických problémů se ukazuje jako jedna z možných cest jak dosáhnout toho, aby žáci jednali zodpovědně v autentických životních situacích, tedy v mimoškolním kontextu. </w:t>
      </w:r>
      <w:r w:rsidR="00C1409A">
        <w:t>Princip fungování t</w:t>
      </w:r>
      <w:r>
        <w:t>ransfer</w:t>
      </w:r>
      <w:r w:rsidR="00C1409A">
        <w:t>u</w:t>
      </w:r>
      <w:r>
        <w:t xml:space="preserve"> školního vědění do každodenní životní praxe a rozdíl mezi jednáním žáků ve škole a reálným jednáním žáků v běžném životě představuje předmět mnoha odborných diskusí, který zatím není možné po</w:t>
      </w:r>
      <w:r w:rsidR="007A49C9">
        <w:t>k</w:t>
      </w:r>
      <w:r>
        <w:t>ládat za vyře</w:t>
      </w:r>
      <w:r w:rsidR="000E662C">
        <w:t>šený (k problému viz Renkl, 1994</w:t>
      </w:r>
      <w:r w:rsidRPr="00DE2C87">
        <w:t>).</w:t>
      </w:r>
      <w:r w:rsidR="00313D54" w:rsidRPr="00DE2C87">
        <w:t xml:space="preserve"> </w:t>
      </w:r>
      <w:r w:rsidR="009E22E3">
        <w:t>Některé aktuálně rozpracovávané</w:t>
      </w:r>
      <w:r w:rsidR="00A8234B" w:rsidRPr="00DE2C87">
        <w:t xml:space="preserve"> </w:t>
      </w:r>
      <w:r w:rsidRPr="00DE2C87">
        <w:t xml:space="preserve">kognitivně psychologické teorie </w:t>
      </w:r>
      <w:r w:rsidR="00A8234B" w:rsidRPr="00DE2C87">
        <w:t xml:space="preserve">vycházející z poznatků kognitivní neurovědy (např. </w:t>
      </w:r>
      <w:r w:rsidR="009E22E3">
        <w:t xml:space="preserve">ACT-R, </w:t>
      </w:r>
      <w:r w:rsidR="00A8234B" w:rsidRPr="00DE2C87">
        <w:t>vyslov. act-</w:t>
      </w:r>
      <w:r w:rsidR="00DE2C87" w:rsidRPr="00DE2C87">
        <w:t>ARE</w:t>
      </w:r>
      <w:r w:rsidR="00A8234B" w:rsidRPr="00DE2C87">
        <w:t xml:space="preserve">; zkratka </w:t>
      </w:r>
      <w:r w:rsidRPr="00DE2C87">
        <w:t>Adapt</w:t>
      </w:r>
      <w:r w:rsidR="00A8234B" w:rsidRPr="00DE2C87">
        <w:t>ive Control of Thought-Rational)</w:t>
      </w:r>
      <w:r w:rsidR="00C93BEA">
        <w:t xml:space="preserve"> </w:t>
      </w:r>
      <w:r w:rsidR="00A8234B" w:rsidRPr="00DE2C87">
        <w:t>potvrzuj</w:t>
      </w:r>
      <w:r w:rsidR="00C93BEA">
        <w:t>í</w:t>
      </w:r>
      <w:r w:rsidRPr="00DE2C87">
        <w:t>, že proces řešení problémů podporuje utváření dovedností, které podporují transfer znalostí a kognitivních procesů užitých při řešení problémových úloh. Ačkoliv v problémových ú</w:t>
      </w:r>
      <w:r w:rsidR="00037496">
        <w:t xml:space="preserve">lohách jde především o aplikaci </w:t>
      </w:r>
      <w:r w:rsidRPr="00DE2C87">
        <w:t>znalostí v modelových problémových situacích, dle teorie ACT-R se ukazuje, že mentální modely vybudované při řešení problémových úloh slouží jako specifický příklad využitelný při řešení jiných problémů.</w:t>
      </w:r>
      <w:r w:rsidR="009E22E3">
        <w:rPr>
          <w:rStyle w:val="Znakapoznpodarou"/>
        </w:rPr>
        <w:footnoteReference w:id="65"/>
      </w:r>
      <w:r w:rsidR="00155DB5" w:rsidRPr="00155DB5">
        <w:t xml:space="preserve"> </w:t>
      </w:r>
    </w:p>
    <w:p w:rsidR="00F7691B" w:rsidRDefault="005D559A" w:rsidP="00CB40BD">
      <w:pPr>
        <w:spacing w:after="120" w:line="276" w:lineRule="auto"/>
        <w:jc w:val="both"/>
      </w:pPr>
      <w:r>
        <w:rPr>
          <w:rStyle w:val="object"/>
          <w:bCs/>
        </w:rPr>
        <w:t>Dříve</w:t>
      </w:r>
      <w:r w:rsidR="000F1004" w:rsidRPr="003777B2">
        <w:rPr>
          <w:rStyle w:val="object"/>
          <w:bCs/>
        </w:rPr>
        <w:t xml:space="preserve"> než přistoupíme k modelování příležitostí pro utváření a rozvíjení kompetence k řešení problémů je třeba upozornit, že možnosti školy jsou v tomto ohledu principiálně limitovány. Např. požadavek na úspěšné řešení situací nejen ve školním, ale i v mimoškolním prostředí, což je jeden z výše rozebíraných charakteristických rysů (příznaků) kompetence, se jeví jako značně ambiciózní.</w:t>
      </w:r>
      <w:r w:rsidR="000F1004" w:rsidRPr="003777B2">
        <w:t xml:space="preserve"> Je třeba zvažovat, do jaké míry je toto </w:t>
      </w:r>
      <w:r w:rsidR="000F1004" w:rsidRPr="003777B2">
        <w:rPr>
          <w:i/>
        </w:rPr>
        <w:t>silné</w:t>
      </w:r>
      <w:r w:rsidR="000F1004" w:rsidRPr="003777B2">
        <w:t xml:space="preserve"> pojetí kompetence pro školu vhodné, a přihlížet k tomu, že některé kompetence je možné a nutné dále rozvíjet i po dokončení školní docházky.</w:t>
      </w:r>
      <w:r w:rsidR="003777B2" w:rsidRPr="003777B2">
        <w:t xml:space="preserve"> </w:t>
      </w:r>
      <w:r w:rsidR="00F7691B" w:rsidRPr="003777B2">
        <w:t>Ve výuce zeměpisu na základní škole většinou nejde o nalézání řešení autentických geografických</w:t>
      </w:r>
      <w:r w:rsidR="00F7691B">
        <w:t xml:space="preserve"> problémů</w:t>
      </w:r>
      <w:r w:rsidR="00D616A9">
        <w:rPr>
          <w:rStyle w:val="Znakapoznpodarou"/>
        </w:rPr>
        <w:footnoteReference w:id="66"/>
      </w:r>
      <w:r w:rsidR="00F7691B">
        <w:t>, jelikož tyto problémy jsou natolik komplexní, že jejich řešení je obtížné také v reálném kontextu (řešení globálních problémů, zmírnění následků přírodních katastrof apod.). Často je také nutné počítat s tím, že žádné správné řešení neexistuje (</w:t>
      </w:r>
      <w:r w:rsidR="00991F44">
        <w:t xml:space="preserve">např. </w:t>
      </w:r>
      <w:r w:rsidR="00F7691B">
        <w:t>konflikty zájmových skupin v územním plánování</w:t>
      </w:r>
      <w:r w:rsidR="00991F44">
        <w:t xml:space="preserve"> apod.</w:t>
      </w:r>
      <w:r w:rsidR="00F7691B">
        <w:t xml:space="preserve">). </w:t>
      </w:r>
      <w:r w:rsidR="00D616A9" w:rsidRPr="00D616A9">
        <w:t xml:space="preserve">Cílem výuky orientované na </w:t>
      </w:r>
      <w:r w:rsidR="001B6D7E" w:rsidRPr="00D616A9">
        <w:t>utváření</w:t>
      </w:r>
      <w:r w:rsidR="001B6D7E">
        <w:t xml:space="preserve"> a</w:t>
      </w:r>
      <w:r w:rsidR="00D616A9" w:rsidRPr="00D616A9">
        <w:t xml:space="preserve"> rozvíjení kompetence k řešení problémů v zeměpisu je konfrontovat žáky s co nejširší paletou problémových situací spadajících do oborově blízkého školního kontextu, přes nadoborové situace spadající do školního kontextu (např. školní projekty) po reálné nebo fiktivní situace náležející mimo kontext školy.</w:t>
      </w:r>
      <w:r w:rsidR="00D616A9">
        <w:t xml:space="preserve"> Problémové učební</w:t>
      </w:r>
      <w:r w:rsidR="00F7691B">
        <w:t xml:space="preserve"> úloh</w:t>
      </w:r>
      <w:r w:rsidR="00D616A9">
        <w:t>y</w:t>
      </w:r>
      <w:r w:rsidR="007E4CC4">
        <w:t xml:space="preserve"> by měly</w:t>
      </w:r>
      <w:r w:rsidR="006C61C3">
        <w:t xml:space="preserve"> </w:t>
      </w:r>
      <w:r w:rsidR="007E4CC4">
        <w:t xml:space="preserve">ve výuce zeměpisu směřovat </w:t>
      </w:r>
      <w:r w:rsidR="00F7691B">
        <w:t xml:space="preserve">nalézání možných řešení geografických problémů při současném rozkrývání překážek, vztahů a souvislostí, které do navrhovaných řešení vstupují a různým způsobem je ovlivňují. To jednak umožní žákům získat vhled do mechanismu fungování přírody a společnosti a jednak se </w:t>
      </w:r>
      <w:r w:rsidR="007E4CC4">
        <w:t xml:space="preserve">žáci </w:t>
      </w:r>
      <w:r w:rsidR="00F7691B">
        <w:t>mohou připravit na možné každodenní problémy vyplývající z multiperspektivity jednotlivých aktérů.</w:t>
      </w:r>
    </w:p>
    <w:p w:rsidR="00FB073C" w:rsidRDefault="00F7691B" w:rsidP="00CB40BD">
      <w:pPr>
        <w:spacing w:after="120" w:line="276" w:lineRule="auto"/>
        <w:jc w:val="both"/>
      </w:pPr>
      <w:r w:rsidRPr="007A49C9">
        <w:t xml:space="preserve">Předpokládáme, že geografické učební úlohy směřující k utváření a rozvíjení kompetence k řešení problémů mohou mít jistá specifika zrcadlící cílové a obsahové nastavení zeměpisu jako vyučovacího předmětu. Vycházíme z přesvědčení, že procesy vyučování a učení zeměpisu jsou natolik specifické, že je možné analyzovat je </w:t>
      </w:r>
      <w:r w:rsidR="003D4E75">
        <w:t xml:space="preserve">především </w:t>
      </w:r>
      <w:r w:rsidRPr="007A49C9">
        <w:t xml:space="preserve">s využitím výzkumných nástrojů reflektujících tuto specifičnost </w:t>
      </w:r>
      <w:r w:rsidRPr="007A49C9">
        <w:rPr>
          <w:lang w:eastAsia="en-US"/>
        </w:rPr>
        <w:t>(srov. Lambert, 2010, s. 85)</w:t>
      </w:r>
      <w:r w:rsidR="003D4E75" w:rsidRPr="007A49C9">
        <w:rPr>
          <w:lang w:eastAsia="en-US"/>
        </w:rPr>
        <w:t>.</w:t>
      </w:r>
      <w:r w:rsidR="006C15D5">
        <w:rPr>
          <w:rStyle w:val="Znakapoznpodarou"/>
          <w:lang w:eastAsia="en-US"/>
        </w:rPr>
        <w:footnoteReference w:id="67"/>
      </w:r>
      <w:r w:rsidRPr="007A49C9">
        <w:rPr>
          <w:lang w:eastAsia="en-US"/>
        </w:rPr>
        <w:t xml:space="preserve"> </w:t>
      </w:r>
      <w:r>
        <w:rPr>
          <w:lang w:eastAsia="en-US"/>
        </w:rPr>
        <w:t xml:space="preserve">V následující kapitole navrhujeme teoretický model příležitostí k utváření a rozvíjení kompetence k řešení problémů </w:t>
      </w:r>
      <w:r w:rsidR="006C15D5">
        <w:rPr>
          <w:lang w:eastAsia="en-US"/>
        </w:rPr>
        <w:t xml:space="preserve">v učebnicích a </w:t>
      </w:r>
      <w:r>
        <w:rPr>
          <w:lang w:eastAsia="en-US"/>
        </w:rPr>
        <w:t>ve výuce</w:t>
      </w:r>
      <w:r w:rsidR="00E44F97">
        <w:rPr>
          <w:lang w:eastAsia="en-US"/>
        </w:rPr>
        <w:t xml:space="preserve"> zeměpisu, který je východiskem námi realizovaného výzkumu.</w:t>
      </w:r>
    </w:p>
    <w:p w:rsidR="00C81323" w:rsidRDefault="00C81323" w:rsidP="00CB40BD">
      <w:pPr>
        <w:spacing w:after="120" w:line="276" w:lineRule="auto"/>
        <w:jc w:val="both"/>
      </w:pPr>
    </w:p>
    <w:p w:rsidR="007F2D45" w:rsidRPr="00B77E94" w:rsidRDefault="003D51B1" w:rsidP="00CB40BD">
      <w:pPr>
        <w:pStyle w:val="Nadpis3"/>
        <w:spacing w:before="0" w:after="120"/>
        <w:jc w:val="both"/>
      </w:pPr>
      <w:bookmarkStart w:id="66" w:name="_Toc399775420"/>
      <w:r>
        <w:t xml:space="preserve">Normativní model </w:t>
      </w:r>
      <w:r w:rsidR="00FC5FBD">
        <w:t xml:space="preserve">příležitostí k utváření a rozvíjení </w:t>
      </w:r>
      <w:r>
        <w:t>kompetence k řešení problém</w:t>
      </w:r>
      <w:r w:rsidR="007F2D45">
        <w:t>ů</w:t>
      </w:r>
      <w:r>
        <w:t xml:space="preserve"> </w:t>
      </w:r>
      <w:r w:rsidR="00326CFC">
        <w:t>v zeměpisu</w:t>
      </w:r>
      <w:bookmarkEnd w:id="66"/>
    </w:p>
    <w:p w:rsidR="00036B94" w:rsidRDefault="00036B94" w:rsidP="00036B94">
      <w:pPr>
        <w:spacing w:after="120" w:line="276" w:lineRule="auto"/>
        <w:jc w:val="both"/>
      </w:pPr>
      <w:r>
        <w:t>S odkazem na předchozí kapitoly zjednodušeně definujeme kompetenci s odkazem na Weinerta jako naučitelné specifické kognitivní dispozice umožňující jedinci řešit problémy a využít tyto kognitivní dispozice a související motivační, volní, a sociální schopnosti a dovednosti k úspěšnému a zodpovědnému řešení různých problémových situací (srov. Weinert, 2001</w:t>
      </w:r>
      <w:r w:rsidR="00EE4D9E">
        <w:t>b</w:t>
      </w:r>
      <w:r>
        <w:t>, s. 27).</w:t>
      </w:r>
      <w:r w:rsidR="004E0AC3">
        <w:t xml:space="preserve"> V souladu s uvedenou definicí se zaměřujeme na kognitivní doménu kompetencí.</w:t>
      </w:r>
    </w:p>
    <w:p w:rsidR="00CD6246" w:rsidRPr="00CB40BD" w:rsidRDefault="00FB11AA" w:rsidP="00E355C8">
      <w:pPr>
        <w:spacing w:after="120" w:line="276" w:lineRule="auto"/>
        <w:jc w:val="both"/>
      </w:pPr>
      <w:r>
        <w:t xml:space="preserve">Kompetenci k řešení problému patrně není možné operacionalizovat </w:t>
      </w:r>
      <w:r w:rsidR="004E0AC3">
        <w:t>výhradně</w:t>
      </w:r>
      <w:r>
        <w:t xml:space="preserve"> na základě jejího detailního vymezení. Greiff (2012, s. 27) upozorňuje, že diagnostika kompetencí je složitý pětistupňový proces, přičemž samotná operační definice kompetence představuje pouze první stupeň. Druhý stupeň spočívá v modelování této kompetence a její struktury (dimenzí) a úrovní (dílčí struktura jednotlivých dimenzí). Následuje třetí stupeň </w:t>
      </w:r>
      <w:r w:rsidR="005C4A68">
        <w:t>–</w:t>
      </w:r>
      <w:r>
        <w:t xml:space="preserve"> transformace modelu do testových položek. Za realizaci prvních tří stupňů zpravidla nesou zodpovědnost vědní obory, kterých se příslušná kompetence týká. Čtvrtý a pátý stupeň představují empirické ověření kompetenčního modelu a následná diagnostika individuálních projevů příslušné kompetence jsou již vysoce teoretickou a expertní záležitostí spadající do oblasti psychometrického testování (k psychom</w:t>
      </w:r>
      <w:r w:rsidR="00CB40BD">
        <w:t>etrice viz Urbánek, Denglerová</w:t>
      </w:r>
      <w:r w:rsidR="00991F44">
        <w:t>,</w:t>
      </w:r>
      <w:r w:rsidR="00CB40BD">
        <w:t xml:space="preserve"> &amp; </w:t>
      </w:r>
      <w:r>
        <w:t>Širůček, 2011).</w:t>
      </w:r>
    </w:p>
    <w:p w:rsidR="004B19BE" w:rsidRDefault="00BC64B5" w:rsidP="00E355C8">
      <w:pPr>
        <w:spacing w:after="120" w:line="276" w:lineRule="auto"/>
        <w:jc w:val="both"/>
        <w:rPr>
          <w:szCs w:val="22"/>
          <w:lang w:eastAsia="en-US"/>
        </w:rPr>
      </w:pPr>
      <w:r>
        <w:t xml:space="preserve">Záběr prezentovaného výzkumu je zúžen pouze do prvních dvou z výše uvedených </w:t>
      </w:r>
      <w:r w:rsidR="001A6A1D">
        <w:t>stupň</w:t>
      </w:r>
      <w:r>
        <w:t>ů.</w:t>
      </w:r>
      <w:r w:rsidRPr="00BC64B5">
        <w:t xml:space="preserve"> </w:t>
      </w:r>
      <w:r w:rsidR="00CD6246">
        <w:rPr>
          <w:bCs/>
        </w:rPr>
        <w:t xml:space="preserve">Náš </w:t>
      </w:r>
      <w:r w:rsidR="00CD6246" w:rsidRPr="00882CA2">
        <w:rPr>
          <w:bCs/>
        </w:rPr>
        <w:t>výzkumný</w:t>
      </w:r>
      <w:r w:rsidR="004B19BE" w:rsidRPr="00882CA2">
        <w:rPr>
          <w:bCs/>
        </w:rPr>
        <w:t xml:space="preserve"> problém spočívá v tom, že zatím nebyly definovány takové indikátory kvality učebních úloh, které by přispívaly k podpoře procesu učení, se zvláštním zřetelem k rozvíjení kompetence k řešení problémů ve výuce zeměpisu. </w:t>
      </w:r>
      <w:r w:rsidRPr="00882CA2">
        <w:t>Relevantní poznatky prezentované v předchozích kapitolách jsme rozpracovali do podoby teoretického modelu, s jehož využitím se snažíme v učebnicích a ve výuce zeměpisu vyhledávat učební úlohy, které mohou podporovat utváření a rozvíjení kompetence k řešení problému.</w:t>
      </w:r>
      <w:r w:rsidR="00E66D32" w:rsidRPr="00882CA2">
        <w:t xml:space="preserve"> </w:t>
      </w:r>
      <w:r w:rsidR="003109C9" w:rsidRPr="00882CA2">
        <w:t>Model zachycuje</w:t>
      </w:r>
      <w:r w:rsidR="00882CA2" w:rsidRPr="00882CA2">
        <w:t xml:space="preserve"> oblast </w:t>
      </w:r>
      <w:r w:rsidR="003109C9" w:rsidRPr="00882CA2">
        <w:t>vzdělávacích vstupů, tzn. vzdělávací nabídk</w:t>
      </w:r>
      <w:r w:rsidR="00882CA2" w:rsidRPr="00882CA2">
        <w:t>u</w:t>
      </w:r>
      <w:r w:rsidR="003109C9" w:rsidRPr="00882CA2">
        <w:t xml:space="preserve">. </w:t>
      </w:r>
      <w:r w:rsidR="00E66D32" w:rsidRPr="00882CA2">
        <w:rPr>
          <w:bCs/>
        </w:rPr>
        <w:t>S přihlédnutím k definici kompetence k řešení problémů se jedná především o u</w:t>
      </w:r>
      <w:r w:rsidR="004B19BE" w:rsidRPr="00882CA2">
        <w:rPr>
          <w:bCs/>
        </w:rPr>
        <w:t>čební úlohy</w:t>
      </w:r>
      <w:r w:rsidR="00E66D32" w:rsidRPr="00882CA2">
        <w:rPr>
          <w:bCs/>
        </w:rPr>
        <w:t xml:space="preserve">, které jdou </w:t>
      </w:r>
      <w:r w:rsidR="004B19BE" w:rsidRPr="00882CA2">
        <w:rPr>
          <w:bCs/>
        </w:rPr>
        <w:t>za pamětn</w:t>
      </w:r>
      <w:r w:rsidR="001A6A1D">
        <w:rPr>
          <w:bCs/>
        </w:rPr>
        <w:t>í</w:t>
      </w:r>
      <w:r w:rsidR="004B19BE" w:rsidRPr="00882CA2">
        <w:rPr>
          <w:bCs/>
        </w:rPr>
        <w:t xml:space="preserve"> osvojení učiva směrem k jeho instrumentalizaci a aplikaci při řešení problémů situovaných do různých kontextů.</w:t>
      </w:r>
      <w:r w:rsidR="00036B94" w:rsidRPr="00882CA2">
        <w:rPr>
          <w:szCs w:val="22"/>
          <w:lang w:eastAsia="en-US"/>
        </w:rPr>
        <w:t xml:space="preserve"> To znamená takové učebních úlohy, </w:t>
      </w:r>
      <w:r w:rsidR="00036B94" w:rsidRPr="001A6A1D">
        <w:rPr>
          <w:szCs w:val="22"/>
          <w:lang w:eastAsia="en-US"/>
        </w:rPr>
        <w:t>jež nelze vyřešit pomocí deklarativních znalostí, nýbrž na základě vhledu a tvořivého propojení d</w:t>
      </w:r>
      <w:r w:rsidR="001A6A1D" w:rsidRPr="001A6A1D">
        <w:rPr>
          <w:szCs w:val="22"/>
          <w:lang w:eastAsia="en-US"/>
        </w:rPr>
        <w:t>eklarativních, procedurálních a kontextuálních</w:t>
      </w:r>
      <w:r w:rsidR="00036B94" w:rsidRPr="001A6A1D">
        <w:rPr>
          <w:szCs w:val="22"/>
          <w:lang w:eastAsia="en-US"/>
        </w:rPr>
        <w:t xml:space="preserve"> znalostí spolu s</w:t>
      </w:r>
      <w:r w:rsidR="001A6A1D" w:rsidRPr="001A6A1D">
        <w:rPr>
          <w:szCs w:val="22"/>
          <w:lang w:eastAsia="en-US"/>
        </w:rPr>
        <w:t xml:space="preserve"> případným utvářením </w:t>
      </w:r>
      <w:r w:rsidR="00036B94" w:rsidRPr="001A6A1D">
        <w:rPr>
          <w:szCs w:val="22"/>
          <w:lang w:eastAsia="en-US"/>
        </w:rPr>
        <w:t>nových znalostí.</w:t>
      </w:r>
    </w:p>
    <w:p w:rsidR="003B5A1E" w:rsidRPr="00882CA2" w:rsidRDefault="003B5A1E" w:rsidP="00E355C8">
      <w:pPr>
        <w:spacing w:after="120" w:line="276" w:lineRule="auto"/>
        <w:jc w:val="both"/>
      </w:pPr>
    </w:p>
    <w:p w:rsidR="0075481B" w:rsidRDefault="0075481B" w:rsidP="00A74542">
      <w:pPr>
        <w:pStyle w:val="Nadpis4"/>
        <w:numPr>
          <w:ilvl w:val="0"/>
          <w:numId w:val="0"/>
        </w:numPr>
        <w:spacing w:before="0" w:after="120"/>
        <w:jc w:val="both"/>
      </w:pPr>
      <w:r>
        <w:t>Konstrukce modelu</w:t>
      </w:r>
    </w:p>
    <w:p w:rsidR="00E33958" w:rsidRPr="00E33958" w:rsidRDefault="00E33958" w:rsidP="00E355C8">
      <w:pPr>
        <w:autoSpaceDE w:val="0"/>
        <w:autoSpaceDN w:val="0"/>
        <w:adjustRightInd w:val="0"/>
        <w:spacing w:after="120" w:line="276" w:lineRule="auto"/>
        <w:jc w:val="both"/>
      </w:pPr>
      <w:r w:rsidRPr="00E33958">
        <w:t>Navrhovaný model</w:t>
      </w:r>
      <w:r w:rsidR="00022B59">
        <w:t xml:space="preserve"> příležitostí k utváření a rozvíjen</w:t>
      </w:r>
      <w:r w:rsidR="00095AD1">
        <w:t>í</w:t>
      </w:r>
      <w:r w:rsidR="00022B59">
        <w:t xml:space="preserve"> kompetence k řešení problémů</w:t>
      </w:r>
      <w:r w:rsidRPr="00E33958">
        <w:t xml:space="preserve"> a jeho strukturní prvky jsou odvozeny ze syntézy teoretických a empirických prací spadajících jednak do oblasti modelování a diagnostiky kompetencí a jednak do oblasti problémového učení. Ačkoliv jsme se snažili zmapovat uvedené oblasti vyčerpávajícím způsobem, nebylo možné vyhnout se selektivnosti ve výběru použitých teoretických pramenů. Tato selektivnost nebyla úmyslná, ale byla spíše důsledkem toho, že zmiňované oblasti představují rozsáhlé multidisciplinární a multipar</w:t>
      </w:r>
      <w:r w:rsidR="004A63C0">
        <w:t>a</w:t>
      </w:r>
      <w:r w:rsidRPr="00E33958">
        <w:t xml:space="preserve">digmatické výzkumné pole. </w:t>
      </w:r>
      <w:r w:rsidRPr="00882CA2">
        <w:t>Námi předkládaný model je inspirován dosavadními snahami o modelování kompetencí v přírodních vědách a geografii. Patrně nejdále jsou v tomto ohledu především badatelé v německy hovořícím prostoru (srov. model přírodovědné kompetence</w:t>
      </w:r>
      <w:r w:rsidR="001A6A1D">
        <w:t xml:space="preserve"> – viz</w:t>
      </w:r>
      <w:r w:rsidRPr="00882CA2">
        <w:t xml:space="preserve"> Schecker &amp; Parchmann, 2006; příp. model reflexivní kartografické kompetence </w:t>
      </w:r>
      <w:r w:rsidR="00222512">
        <w:t xml:space="preserve">– viz </w:t>
      </w:r>
      <w:r w:rsidRPr="00882CA2">
        <w:t xml:space="preserve">Gryl &amp; Kanwischer, 2011). </w:t>
      </w:r>
    </w:p>
    <w:p w:rsidR="00E33958" w:rsidRPr="00E33958" w:rsidRDefault="00E33958" w:rsidP="00E355C8">
      <w:pPr>
        <w:autoSpaceDE w:val="0"/>
        <w:autoSpaceDN w:val="0"/>
        <w:adjustRightInd w:val="0"/>
        <w:spacing w:after="120" w:line="276" w:lineRule="auto"/>
        <w:jc w:val="both"/>
      </w:pPr>
      <w:r w:rsidRPr="00E33958">
        <w:t xml:space="preserve">Výsledná podoba modelu je výsledkem několika fází redukce složitosti a komplexnosti předchozích </w:t>
      </w:r>
      <w:r>
        <w:t xml:space="preserve">pracovních </w:t>
      </w:r>
      <w:r w:rsidRPr="00E33958">
        <w:t xml:space="preserve">verzí modelu. Jedná se o naši reakci na doporučení expertů majících zkušenosti s empirickým ověřováním kompetenčních modelů ve školním kontextu. </w:t>
      </w:r>
      <w:r w:rsidR="009F04B8">
        <w:t>Obecně platí, že č</w:t>
      </w:r>
      <w:r w:rsidR="009F04B8" w:rsidRPr="00E33958">
        <w:t xml:space="preserve">ím je teoretický model složitější, tím detailněji je možné příležitosti empiricky uchopovat, ale zároveň se také zvyšuje náročnost jejich měření. </w:t>
      </w:r>
      <w:r w:rsidRPr="00E33958">
        <w:t xml:space="preserve">Příliš obsáhlé a komplikované kompetenční modely se obtížně operacionalizují (např. do tvorby jednotlivých testových položek) a problematická často bývá také jejich validita a reliabilita. </w:t>
      </w:r>
      <w:r w:rsidR="001B6D7E">
        <w:t>T</w:t>
      </w:r>
      <w:r w:rsidR="001B6D7E" w:rsidRPr="00E33958">
        <w:t>ak</w:t>
      </w:r>
      <w:r w:rsidR="009F04B8">
        <w:t>též</w:t>
      </w:r>
      <w:r w:rsidR="001B6D7E" w:rsidRPr="00E33958">
        <w:t xml:space="preserve"> naše praktické zkušenosti </w:t>
      </w:r>
      <w:r w:rsidRPr="00E33958">
        <w:t>hovoří ve prospěch redukce příliš komplexních kategoriálních systémů (</w:t>
      </w:r>
      <w:r w:rsidR="009F04B8" w:rsidRPr="00E33958">
        <w:t xml:space="preserve">v naší jiné práci </w:t>
      </w:r>
      <w:r w:rsidRPr="00E33958">
        <w:t xml:space="preserve">na příkladu hodnocení obrázků v učebnicích zeměpisu </w:t>
      </w:r>
      <w:r w:rsidR="009F04B8" w:rsidRPr="00E33958">
        <w:t xml:space="preserve">popisujeme </w:t>
      </w:r>
      <w:r w:rsidR="009F04B8">
        <w:t xml:space="preserve">některé související </w:t>
      </w:r>
      <w:r w:rsidRPr="00E33958">
        <w:t>komplikace</w:t>
      </w:r>
      <w:r w:rsidR="009F04B8">
        <w:t xml:space="preserve"> </w:t>
      </w:r>
      <w:r w:rsidRPr="00E33958">
        <w:t xml:space="preserve">– </w:t>
      </w:r>
      <w:r w:rsidR="009F04B8">
        <w:t xml:space="preserve">viz </w:t>
      </w:r>
      <w:r w:rsidRPr="00E33958">
        <w:t>Janko &amp; Knecht, 2014).</w:t>
      </w:r>
      <w:r w:rsidR="009F04B8" w:rsidRPr="009F04B8">
        <w:t xml:space="preserve"> </w:t>
      </w:r>
      <w:r w:rsidR="009F04B8" w:rsidRPr="00E33958">
        <w:t xml:space="preserve">Kromě toho jsou </w:t>
      </w:r>
      <w:r w:rsidR="009F04B8">
        <w:t xml:space="preserve">příliš složité teoretické </w:t>
      </w:r>
      <w:r w:rsidR="009F04B8" w:rsidRPr="00E33958">
        <w:t>modely obtížně přenositelné do praxe.</w:t>
      </w:r>
    </w:p>
    <w:p w:rsidR="00BB392D" w:rsidRPr="00BB392D" w:rsidRDefault="00E33958" w:rsidP="00E355C8">
      <w:pPr>
        <w:autoSpaceDE w:val="0"/>
        <w:autoSpaceDN w:val="0"/>
        <w:adjustRightInd w:val="0"/>
        <w:spacing w:after="120" w:line="276" w:lineRule="auto"/>
        <w:jc w:val="both"/>
      </w:pPr>
      <w:r w:rsidRPr="00E33958">
        <w:t>Navržený trojdimenzionální model pří</w:t>
      </w:r>
      <w:r>
        <w:t>ležitostí k utváření a rozvíjení</w:t>
      </w:r>
      <w:r w:rsidRPr="00E33958">
        <w:t xml:space="preserve"> kompetence k řešení problémů ve výuce zeměpi</w:t>
      </w:r>
      <w:r>
        <w:t>su jsme vytvořili co nejjednodušší</w:t>
      </w:r>
      <w:r w:rsidRPr="00E33958">
        <w:t xml:space="preserve"> s oh</w:t>
      </w:r>
      <w:r>
        <w:t xml:space="preserve">ledem na jeho aplikovatelnost. </w:t>
      </w:r>
      <w:r w:rsidR="00470552">
        <w:t>A</w:t>
      </w:r>
      <w:r w:rsidR="003109C9" w:rsidRPr="00882CA2">
        <w:t>čkoliv je model fundován především teoreticky, je zároveň možné ho považovat za kurikulárně validní (s přihlédnutím k jeho redukci na oblast vzdělávací nabídky), neboť kompetence k řešení problémů obecně definovaná aktuálně platnými kurikulárními dokumenty</w:t>
      </w:r>
      <w:r w:rsidR="003109C9" w:rsidRPr="003109C9">
        <w:t xml:space="preserve"> implicitně (byť nestrukturovaně) zahrnuje teoretické znaky problémového vyučování, problémově založeného učení, dílčí fáze procesu řešení problémů apod. (srov. RVP ZV, 2007, s. 15).</w:t>
      </w:r>
    </w:p>
    <w:p w:rsidR="00F23B06" w:rsidRPr="0024629E" w:rsidRDefault="003A3513" w:rsidP="00E355C8">
      <w:pPr>
        <w:spacing w:after="120" w:line="276" w:lineRule="auto"/>
        <w:jc w:val="both"/>
        <w:rPr>
          <w:bCs/>
        </w:rPr>
      </w:pPr>
      <w:r w:rsidRPr="003A3513">
        <w:t xml:space="preserve">V tomto textu předkládáme k úvaze pojetí kompetence jako komplexní dispozice ke zvládání různých typů situací. Úspěšné zvládání situací se zakládá na vystižení klíčových problémů a jejich řešení. </w:t>
      </w:r>
      <w:r w:rsidR="00F23B06" w:rsidRPr="003A3513">
        <w:t>Navrhovaný model příležitostí k utváření a rozvíjení kompetence k řešení problémů v zeměpisu (</w:t>
      </w:r>
      <w:r w:rsidR="00F23B06" w:rsidRPr="00DC1EB5">
        <w:t xml:space="preserve">obr. </w:t>
      </w:r>
      <w:r w:rsidR="00DC1EB5" w:rsidRPr="00DC1EB5">
        <w:t>14</w:t>
      </w:r>
      <w:r w:rsidR="00F23B06">
        <w:t>) je rozdělen do tří dimenzí, které</w:t>
      </w:r>
      <w:r w:rsidR="00590F87">
        <w:t xml:space="preserve">, </w:t>
      </w:r>
      <w:r w:rsidR="00B47418">
        <w:t xml:space="preserve">velmi </w:t>
      </w:r>
      <w:r w:rsidR="00590F87">
        <w:t xml:space="preserve">zjednodušeně řečeno, </w:t>
      </w:r>
      <w:r w:rsidR="00F23B06">
        <w:t>zrcadlí je</w:t>
      </w:r>
      <w:r w:rsidR="00590F87">
        <w:t>dnotlivé výchozí teoretické poznatkové</w:t>
      </w:r>
      <w:r w:rsidR="00F23B06">
        <w:t xml:space="preserve"> domény </w:t>
      </w:r>
      <w:r w:rsidR="00590F87">
        <w:t xml:space="preserve">modelu </w:t>
      </w:r>
      <w:r w:rsidR="005C4A68">
        <w:t>–</w:t>
      </w:r>
      <w:r w:rsidR="00F23B06">
        <w:t xml:space="preserve"> </w:t>
      </w:r>
      <w:r w:rsidR="000F6768">
        <w:t xml:space="preserve">oborově didaktickou (systémovost), </w:t>
      </w:r>
      <w:r w:rsidR="00590F87">
        <w:t>pedagogickou</w:t>
      </w:r>
      <w:r w:rsidR="000F6768">
        <w:t xml:space="preserve"> (náročnost)</w:t>
      </w:r>
      <w:r w:rsidR="00A17E39">
        <w:t xml:space="preserve"> a</w:t>
      </w:r>
      <w:r w:rsidR="000F6768">
        <w:t xml:space="preserve"> psychologickou (komplexita)</w:t>
      </w:r>
      <w:r w:rsidR="00F23B06">
        <w:t>.</w:t>
      </w:r>
      <w:r w:rsidR="0024629E">
        <w:t xml:space="preserve"> </w:t>
      </w:r>
      <w:r w:rsidR="0024629E">
        <w:rPr>
          <w:bCs/>
        </w:rPr>
        <w:t xml:space="preserve">V každé z dimenzí se </w:t>
      </w:r>
      <w:r w:rsidR="0024629E" w:rsidRPr="00FA65DA">
        <w:rPr>
          <w:bCs/>
        </w:rPr>
        <w:t xml:space="preserve">rozlišují </w:t>
      </w:r>
      <w:r w:rsidR="0024629E">
        <w:rPr>
          <w:bCs/>
        </w:rPr>
        <w:t xml:space="preserve">tři dílčí </w:t>
      </w:r>
      <w:r w:rsidR="00B47418">
        <w:rPr>
          <w:bCs/>
        </w:rPr>
        <w:t>úrovně</w:t>
      </w:r>
      <w:r w:rsidR="0024629E">
        <w:rPr>
          <w:bCs/>
        </w:rPr>
        <w:t xml:space="preserve"> jejich rozvinutí, na </w:t>
      </w:r>
      <w:r w:rsidR="0024629E" w:rsidRPr="00FA65DA">
        <w:rPr>
          <w:bCs/>
        </w:rPr>
        <w:t>základě</w:t>
      </w:r>
      <w:r w:rsidR="0024629E">
        <w:rPr>
          <w:bCs/>
        </w:rPr>
        <w:t xml:space="preserve"> kterých</w:t>
      </w:r>
      <w:r w:rsidR="0024629E" w:rsidRPr="00FA65DA">
        <w:rPr>
          <w:bCs/>
        </w:rPr>
        <w:t xml:space="preserve"> je možné vypovědět, jak určitá úloha nebo určitý typ úloh přispívá k utváření a rozvíjení kompetence k řešení problémů.</w:t>
      </w:r>
    </w:p>
    <w:p w:rsidR="00036B94" w:rsidRDefault="008104B0" w:rsidP="00E355C8">
      <w:pPr>
        <w:autoSpaceDE w:val="0"/>
        <w:autoSpaceDN w:val="0"/>
        <w:adjustRightInd w:val="0"/>
        <w:spacing w:after="120" w:line="276" w:lineRule="auto"/>
        <w:jc w:val="both"/>
      </w:pPr>
      <w:r w:rsidRPr="008104B0">
        <w:rPr>
          <w:noProof/>
        </w:rPr>
        <w:drawing>
          <wp:inline distT="0" distB="0" distL="0" distR="0">
            <wp:extent cx="5759450" cy="3922138"/>
            <wp:effectExtent l="19050" t="0" r="0" b="0"/>
            <wp:docPr id="23"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srcRect/>
                    <a:stretch>
                      <a:fillRect/>
                    </a:stretch>
                  </pic:blipFill>
                  <pic:spPr bwMode="auto">
                    <a:xfrm>
                      <a:off x="0" y="0"/>
                      <a:ext cx="5759450" cy="3922138"/>
                    </a:xfrm>
                    <a:prstGeom prst="rect">
                      <a:avLst/>
                    </a:prstGeom>
                    <a:noFill/>
                    <a:ln w="9525">
                      <a:noFill/>
                      <a:miter lim="800000"/>
                      <a:headEnd/>
                      <a:tailEnd/>
                    </a:ln>
                  </pic:spPr>
                </pic:pic>
              </a:graphicData>
            </a:graphic>
          </wp:inline>
        </w:drawing>
      </w:r>
    </w:p>
    <w:p w:rsidR="008104B0" w:rsidRPr="001C1FE3" w:rsidRDefault="001C1FE3" w:rsidP="001C1FE3">
      <w:pPr>
        <w:pStyle w:val="Titulek"/>
        <w:rPr>
          <w:b w:val="0"/>
          <w:sz w:val="24"/>
        </w:rPr>
      </w:pPr>
      <w:bookmarkStart w:id="67" w:name="_Toc399789152"/>
      <w:r w:rsidRPr="001C1FE3">
        <w:rPr>
          <w:b w:val="0"/>
          <w:i/>
          <w:sz w:val="24"/>
        </w:rPr>
        <w:t xml:space="preserve">Obrázek </w:t>
      </w:r>
      <w:r w:rsidR="003818A1" w:rsidRPr="001C1FE3">
        <w:rPr>
          <w:b w:val="0"/>
          <w:i/>
          <w:sz w:val="24"/>
        </w:rPr>
        <w:fldChar w:fldCharType="begin"/>
      </w:r>
      <w:r w:rsidRPr="001C1FE3">
        <w:rPr>
          <w:b w:val="0"/>
          <w:i/>
          <w:sz w:val="24"/>
        </w:rPr>
        <w:instrText xml:space="preserve"> SEQ Obrázek \* ARABIC </w:instrText>
      </w:r>
      <w:r w:rsidR="003818A1" w:rsidRPr="001C1FE3">
        <w:rPr>
          <w:b w:val="0"/>
          <w:i/>
          <w:sz w:val="24"/>
        </w:rPr>
        <w:fldChar w:fldCharType="separate"/>
      </w:r>
      <w:r w:rsidR="00FB20B9">
        <w:rPr>
          <w:b w:val="0"/>
          <w:i/>
          <w:noProof/>
          <w:sz w:val="24"/>
        </w:rPr>
        <w:t>14</w:t>
      </w:r>
      <w:r w:rsidR="003818A1" w:rsidRPr="001C1FE3">
        <w:rPr>
          <w:b w:val="0"/>
          <w:i/>
          <w:sz w:val="24"/>
        </w:rPr>
        <w:fldChar w:fldCharType="end"/>
      </w:r>
      <w:r w:rsidRPr="001C1FE3">
        <w:rPr>
          <w:b w:val="0"/>
          <w:i/>
          <w:sz w:val="24"/>
        </w:rPr>
        <w:t xml:space="preserve">. </w:t>
      </w:r>
      <w:r w:rsidR="00DC1EB5" w:rsidRPr="001C1FE3">
        <w:rPr>
          <w:b w:val="0"/>
          <w:sz w:val="24"/>
        </w:rPr>
        <w:t>T</w:t>
      </w:r>
      <w:r w:rsidR="008104B0" w:rsidRPr="001C1FE3">
        <w:rPr>
          <w:b w:val="0"/>
          <w:sz w:val="24"/>
        </w:rPr>
        <w:t>eoretický model pro zkoumání příležitostí k utváření a rozvíjení kompetence k řešení problémů.</w:t>
      </w:r>
      <w:bookmarkEnd w:id="67"/>
    </w:p>
    <w:p w:rsidR="008104B0" w:rsidRPr="00B77E94" w:rsidRDefault="008104B0" w:rsidP="00E355C8">
      <w:pPr>
        <w:autoSpaceDE w:val="0"/>
        <w:autoSpaceDN w:val="0"/>
        <w:adjustRightInd w:val="0"/>
        <w:spacing w:after="120" w:line="276" w:lineRule="auto"/>
        <w:jc w:val="both"/>
      </w:pPr>
    </w:p>
    <w:p w:rsidR="00B84B2E" w:rsidRDefault="00B84B2E" w:rsidP="00A74542">
      <w:pPr>
        <w:pStyle w:val="Nadpis4"/>
        <w:numPr>
          <w:ilvl w:val="0"/>
          <w:numId w:val="0"/>
        </w:numPr>
        <w:spacing w:before="0" w:after="120"/>
        <w:jc w:val="both"/>
      </w:pPr>
      <w:r>
        <w:t>Systémovost</w:t>
      </w:r>
      <w:r w:rsidR="00385226">
        <w:t xml:space="preserve"> (osa x)</w:t>
      </w:r>
    </w:p>
    <w:p w:rsidR="00DB55F6" w:rsidRPr="00710DB7" w:rsidRDefault="009B3792" w:rsidP="00E355C8">
      <w:pPr>
        <w:spacing w:after="120" w:line="276" w:lineRule="auto"/>
        <w:jc w:val="both"/>
      </w:pPr>
      <w:r w:rsidRPr="001B6D7E">
        <w:rPr>
          <w:bCs/>
        </w:rPr>
        <w:t xml:space="preserve">Jak upozorňujeme v kapitole </w:t>
      </w:r>
      <w:r w:rsidR="001B6D7E" w:rsidRPr="001B6D7E">
        <w:rPr>
          <w:bCs/>
        </w:rPr>
        <w:t>1.8</w:t>
      </w:r>
      <w:r w:rsidRPr="001B6D7E">
        <w:rPr>
          <w:bCs/>
        </w:rPr>
        <w:t>,</w:t>
      </w:r>
      <w:r w:rsidRPr="009B3792">
        <w:rPr>
          <w:bCs/>
        </w:rPr>
        <w:t xml:space="preserve"> úspěšnost řešení </w:t>
      </w:r>
      <w:r w:rsidRPr="00EC0E39">
        <w:rPr>
          <w:bCs/>
        </w:rPr>
        <w:t xml:space="preserve">problémů v určité obsahové doméně </w:t>
      </w:r>
      <w:r w:rsidR="00F43E4F" w:rsidRPr="00EC0E39">
        <w:t xml:space="preserve">se opírá o </w:t>
      </w:r>
      <w:r w:rsidR="00F43E4F" w:rsidRPr="00EC0E39">
        <w:rPr>
          <w:i/>
        </w:rPr>
        <w:t>deklarativní</w:t>
      </w:r>
      <w:r w:rsidR="00F43E4F" w:rsidRPr="00EC0E39">
        <w:t xml:space="preserve">, </w:t>
      </w:r>
      <w:r w:rsidR="00F43E4F" w:rsidRPr="00EC0E39">
        <w:rPr>
          <w:i/>
        </w:rPr>
        <w:t>procedurální</w:t>
      </w:r>
      <w:r w:rsidR="00F43E4F" w:rsidRPr="00EC0E39">
        <w:t xml:space="preserve"> a </w:t>
      </w:r>
      <w:r w:rsidR="00F43E4F" w:rsidRPr="00EC0E39">
        <w:rPr>
          <w:i/>
        </w:rPr>
        <w:t>kontextuální</w:t>
      </w:r>
      <w:r w:rsidR="001E05A6" w:rsidRPr="00EC0E39">
        <w:rPr>
          <w:bCs/>
        </w:rPr>
        <w:t xml:space="preserve"> znalosti vztažené k této doméně, </w:t>
      </w:r>
      <w:r w:rsidR="00F43E4F" w:rsidRPr="00EC0E39">
        <w:t xml:space="preserve">přičemž každý z těchto druhů </w:t>
      </w:r>
      <w:r w:rsidR="00F43E4F" w:rsidRPr="00EC0E39">
        <w:rPr>
          <w:i/>
        </w:rPr>
        <w:t>znalostí</w:t>
      </w:r>
      <w:r w:rsidR="00F43E4F" w:rsidRPr="00EC0E39">
        <w:t xml:space="preserve"> naplňuje specifickou funkci.</w:t>
      </w:r>
      <w:r w:rsidR="001E05A6" w:rsidRPr="00EC0E39">
        <w:rPr>
          <w:rStyle w:val="Znakapoznpodarou"/>
          <w:bCs/>
        </w:rPr>
        <w:footnoteReference w:id="68"/>
      </w:r>
      <w:r w:rsidR="00F43E4F" w:rsidRPr="00EC0E39">
        <w:t xml:space="preserve"> </w:t>
      </w:r>
      <w:r w:rsidR="004D03AA" w:rsidRPr="00EC0E39">
        <w:rPr>
          <w:bCs/>
        </w:rPr>
        <w:t>Rozlišení tří typů znalostí v námi navrhovaném modelu představuje</w:t>
      </w:r>
      <w:r w:rsidR="00D36627" w:rsidRPr="00EC0E39">
        <w:rPr>
          <w:bCs/>
        </w:rPr>
        <w:t xml:space="preserve"> g</w:t>
      </w:r>
      <w:r w:rsidR="004A63C0">
        <w:rPr>
          <w:bCs/>
        </w:rPr>
        <w:t>eograficko-</w:t>
      </w:r>
      <w:r w:rsidR="00B4259B" w:rsidRPr="00EC0E39">
        <w:rPr>
          <w:bCs/>
        </w:rPr>
        <w:t>didaktickou</w:t>
      </w:r>
      <w:r w:rsidR="00121F79" w:rsidRPr="00EC0E39">
        <w:rPr>
          <w:bCs/>
        </w:rPr>
        <w:t xml:space="preserve"> doménu modelu. </w:t>
      </w:r>
      <w:r w:rsidR="001E05A6" w:rsidRPr="00EC0E39">
        <w:rPr>
          <w:bCs/>
        </w:rPr>
        <w:t>V</w:t>
      </w:r>
      <w:r w:rsidR="00047620" w:rsidRPr="00EC0E39">
        <w:rPr>
          <w:bCs/>
        </w:rPr>
        <w:t xml:space="preserve">ycházíme z přesvědčení, že </w:t>
      </w:r>
      <w:r w:rsidR="00121F79" w:rsidRPr="00EC0E39">
        <w:t>kompetenc</w:t>
      </w:r>
      <w:r w:rsidR="00047620" w:rsidRPr="00EC0E39">
        <w:t xml:space="preserve">i k řešení problémů </w:t>
      </w:r>
      <w:r w:rsidR="004A63C0">
        <w:t>nen</w:t>
      </w:r>
      <w:r w:rsidR="00121F79" w:rsidRPr="00EC0E39">
        <w:t>í možné pasivně</w:t>
      </w:r>
      <w:r w:rsidR="00121F79">
        <w:t xml:space="preserve"> získat, ale je třeba j</w:t>
      </w:r>
      <w:r w:rsidR="00047620">
        <w:t>i</w:t>
      </w:r>
      <w:r w:rsidR="00121F79">
        <w:t xml:space="preserve"> utvářet a rozvíjet prostřednictvím aktivního zapojení do práce s konkrétním vzdělávacím obsahem (Terhart, 2002, s. 83</w:t>
      </w:r>
      <w:r w:rsidR="00D85261">
        <w:t>;</w:t>
      </w:r>
      <w:r w:rsidR="00121F79">
        <w:t xml:space="preserve"> </w:t>
      </w:r>
      <w:r w:rsidR="00121F79" w:rsidRPr="00D85261">
        <w:t>Štech</w:t>
      </w:r>
      <w:r w:rsidR="00D85261" w:rsidRPr="00D85261">
        <w:t>, 2013, s. 629</w:t>
      </w:r>
      <w:r w:rsidR="00121F79" w:rsidRPr="00D85261">
        <w:t>).</w:t>
      </w:r>
      <w:r w:rsidR="00797628">
        <w:t xml:space="preserve"> </w:t>
      </w:r>
      <w:r w:rsidR="003A3513">
        <w:t>O</w:t>
      </w:r>
      <w:r w:rsidR="00BA00F0">
        <w:t xml:space="preserve">bsahem máme na mysli především </w:t>
      </w:r>
      <w:r w:rsidR="00BA00F0" w:rsidRPr="00BA00F0">
        <w:rPr>
          <w:lang w:eastAsia="en-US"/>
        </w:rPr>
        <w:t xml:space="preserve">geografické </w:t>
      </w:r>
      <w:r w:rsidR="00B90BB6">
        <w:rPr>
          <w:lang w:eastAsia="en-US"/>
        </w:rPr>
        <w:t xml:space="preserve">učivo, jehož znalost vede </w:t>
      </w:r>
      <w:r w:rsidR="00BA00F0" w:rsidRPr="00BA00F0">
        <w:rPr>
          <w:lang w:eastAsia="en-US"/>
        </w:rPr>
        <w:t>k porozumění a analýze geografického prostoru jako systému vzájemného působení fyzicko-geografických a humánně geografických systémů různého měřítka</w:t>
      </w:r>
      <w:r w:rsidR="00B90BB6">
        <w:rPr>
          <w:lang w:eastAsia="en-US"/>
        </w:rPr>
        <w:t>.</w:t>
      </w:r>
      <w:r w:rsidR="00DB55F6" w:rsidRPr="00DB55F6">
        <w:rPr>
          <w:bCs/>
        </w:rPr>
        <w:t xml:space="preserve"> </w:t>
      </w:r>
      <w:r w:rsidR="00DE67A6">
        <w:t>Žák by měl vědět</w:t>
      </w:r>
      <w:r w:rsidR="00DB55F6" w:rsidRPr="00FA65DA">
        <w:t>, na jakých prin</w:t>
      </w:r>
      <w:r w:rsidR="00DB55F6">
        <w:t xml:space="preserve">cipech fungují přírodní a společenské </w:t>
      </w:r>
      <w:r w:rsidR="00DB55F6" w:rsidRPr="00FA65DA">
        <w:t>systémy, jaké jsou zákonitosti jejich vzniku, růstu a zániku</w:t>
      </w:r>
      <w:r w:rsidR="00DB55F6">
        <w:t>,</w:t>
      </w:r>
      <w:r w:rsidR="00DB55F6" w:rsidRPr="00FA65DA">
        <w:t xml:space="preserve"> a </w:t>
      </w:r>
      <w:r w:rsidR="00DB55F6">
        <w:t xml:space="preserve">zároveň identifikovat a kriticky hodnotit příčiny a důsledky zásahů do těchto systémů ve </w:t>
      </w:r>
      <w:r w:rsidR="00DB55F6" w:rsidRPr="00FA65DA">
        <w:t>všech jejich souvislostech</w:t>
      </w:r>
      <w:r w:rsidR="00DE67A6">
        <w:t>. Klíčová je v tomto oh</w:t>
      </w:r>
      <w:r w:rsidR="00D3293B">
        <w:t>ledu především znalost</w:t>
      </w:r>
      <w:r w:rsidR="00FB662E">
        <w:t xml:space="preserve"> a porozumění</w:t>
      </w:r>
      <w:r w:rsidR="00D3293B">
        <w:t xml:space="preserve"> </w:t>
      </w:r>
      <w:r w:rsidR="00B47418">
        <w:t xml:space="preserve">geografickým </w:t>
      </w:r>
      <w:r w:rsidR="00D3293B">
        <w:t>procesů</w:t>
      </w:r>
      <w:r w:rsidR="00FB662E">
        <w:t>m</w:t>
      </w:r>
      <w:r w:rsidR="00D3293B">
        <w:t>.</w:t>
      </w:r>
      <w:r w:rsidR="00D3293B">
        <w:rPr>
          <w:rStyle w:val="Znakapoznpodarou"/>
        </w:rPr>
        <w:footnoteReference w:id="69"/>
      </w:r>
    </w:p>
    <w:p w:rsidR="005E1DC2" w:rsidRPr="003A3513" w:rsidRDefault="00407DA8" w:rsidP="00E355C8">
      <w:pPr>
        <w:spacing w:after="120" w:line="276" w:lineRule="auto"/>
        <w:jc w:val="both"/>
      </w:pPr>
      <w:r w:rsidRPr="005E1DC2">
        <w:rPr>
          <w:bCs/>
        </w:rPr>
        <w:t xml:space="preserve">Při tvorbě </w:t>
      </w:r>
      <w:r w:rsidR="00B46660">
        <w:rPr>
          <w:bCs/>
        </w:rPr>
        <w:t>modelu</w:t>
      </w:r>
      <w:r w:rsidRPr="005E1DC2">
        <w:rPr>
          <w:bCs/>
        </w:rPr>
        <w:t xml:space="preserve"> jsme použili jako inspiraci </w:t>
      </w:r>
      <w:r>
        <w:rPr>
          <w:bCs/>
        </w:rPr>
        <w:t xml:space="preserve">třístupňový </w:t>
      </w:r>
      <w:r w:rsidRPr="005E1DC2">
        <w:rPr>
          <w:bCs/>
        </w:rPr>
        <w:t xml:space="preserve">model znalostní dimenze geografické </w:t>
      </w:r>
      <w:r w:rsidR="00DB55F6">
        <w:rPr>
          <w:bCs/>
        </w:rPr>
        <w:t xml:space="preserve">systémové </w:t>
      </w:r>
      <w:r w:rsidRPr="005E1DC2">
        <w:rPr>
          <w:bCs/>
        </w:rPr>
        <w:t>kompetence navržený Viehrigovou a kol. (2011).</w:t>
      </w:r>
      <w:r>
        <w:rPr>
          <w:rStyle w:val="Znakapoznpodarou"/>
          <w:bCs/>
        </w:rPr>
        <w:footnoteReference w:id="70"/>
      </w:r>
    </w:p>
    <w:p w:rsidR="00383ADE" w:rsidRDefault="005E1DC2" w:rsidP="00FE68D6">
      <w:pPr>
        <w:numPr>
          <w:ilvl w:val="0"/>
          <w:numId w:val="24"/>
        </w:numPr>
        <w:spacing w:after="120" w:line="276" w:lineRule="auto"/>
        <w:jc w:val="both"/>
        <w:rPr>
          <w:lang w:eastAsia="en-US"/>
        </w:rPr>
      </w:pPr>
      <w:r w:rsidRPr="005E1DC2">
        <w:t xml:space="preserve">Úroveň I. </w:t>
      </w:r>
      <w:r w:rsidR="00570B33">
        <w:t xml:space="preserve">– </w:t>
      </w:r>
      <w:r w:rsidRPr="005E1DC2">
        <w:t>struktura</w:t>
      </w:r>
      <w:r w:rsidR="00570B33">
        <w:t xml:space="preserve"> (co)</w:t>
      </w:r>
      <w:r w:rsidR="00095AD1">
        <w:t>. U</w:t>
      </w:r>
      <w:r w:rsidRPr="005E1DC2">
        <w:rPr>
          <w:lang w:eastAsia="en-US"/>
        </w:rPr>
        <w:t xml:space="preserve">čební úlohy </w:t>
      </w:r>
      <w:r w:rsidR="00570B33">
        <w:rPr>
          <w:lang w:eastAsia="en-US"/>
        </w:rPr>
        <w:t>rozvíjející schopnost identif</w:t>
      </w:r>
      <w:r w:rsidR="00383ADE">
        <w:rPr>
          <w:lang w:eastAsia="en-US"/>
        </w:rPr>
        <w:t xml:space="preserve">ikovat </w:t>
      </w:r>
      <w:r w:rsidR="008D5B28">
        <w:rPr>
          <w:lang w:eastAsia="en-US"/>
        </w:rPr>
        <w:t xml:space="preserve">a popsat </w:t>
      </w:r>
      <w:r w:rsidR="00383ADE">
        <w:rPr>
          <w:lang w:eastAsia="en-US"/>
        </w:rPr>
        <w:t>jednotlivé prvky systému</w:t>
      </w:r>
      <w:r w:rsidR="00095AD1">
        <w:rPr>
          <w:lang w:eastAsia="en-US"/>
        </w:rPr>
        <w:t>.</w:t>
      </w:r>
      <w:r w:rsidR="00E80B41">
        <w:rPr>
          <w:lang w:eastAsia="en-US"/>
        </w:rPr>
        <w:t xml:space="preserve"> </w:t>
      </w:r>
    </w:p>
    <w:p w:rsidR="008D5B28" w:rsidRPr="008D5B28" w:rsidRDefault="005E1DC2" w:rsidP="00FE68D6">
      <w:pPr>
        <w:numPr>
          <w:ilvl w:val="0"/>
          <w:numId w:val="24"/>
        </w:numPr>
        <w:spacing w:after="120" w:line="276" w:lineRule="auto"/>
        <w:jc w:val="both"/>
        <w:rPr>
          <w:b/>
          <w:lang w:eastAsia="en-US"/>
        </w:rPr>
      </w:pPr>
      <w:r w:rsidRPr="005E1DC2">
        <w:t>Úroveň II. – funkce</w:t>
      </w:r>
      <w:r w:rsidR="00E80B41">
        <w:t xml:space="preserve"> (jak)</w:t>
      </w:r>
      <w:r w:rsidR="00095AD1">
        <w:t>. U</w:t>
      </w:r>
      <w:r w:rsidR="00095AD1" w:rsidRPr="005E1DC2">
        <w:rPr>
          <w:lang w:eastAsia="en-US"/>
        </w:rPr>
        <w:t xml:space="preserve">čební </w:t>
      </w:r>
      <w:r w:rsidR="00136B4A" w:rsidRPr="005E1DC2">
        <w:rPr>
          <w:lang w:eastAsia="en-US"/>
        </w:rPr>
        <w:t xml:space="preserve">úlohy </w:t>
      </w:r>
      <w:r w:rsidR="00136B4A">
        <w:rPr>
          <w:lang w:eastAsia="en-US"/>
        </w:rPr>
        <w:t xml:space="preserve">rozvíjející schopnost </w:t>
      </w:r>
      <w:r w:rsidRPr="005E1DC2">
        <w:rPr>
          <w:lang w:eastAsia="en-US"/>
        </w:rPr>
        <w:t>identifik</w:t>
      </w:r>
      <w:r w:rsidR="00136B4A">
        <w:rPr>
          <w:lang w:eastAsia="en-US"/>
        </w:rPr>
        <w:t>ovat</w:t>
      </w:r>
      <w:r w:rsidR="008D5B28">
        <w:rPr>
          <w:lang w:eastAsia="en-US"/>
        </w:rPr>
        <w:t>, p</w:t>
      </w:r>
      <w:r w:rsidR="00136B4A">
        <w:rPr>
          <w:lang w:eastAsia="en-US"/>
        </w:rPr>
        <w:t>opsat a porozumět</w:t>
      </w:r>
      <w:r w:rsidR="008D5B28">
        <w:rPr>
          <w:lang w:eastAsia="en-US"/>
        </w:rPr>
        <w:t xml:space="preserve"> a </w:t>
      </w:r>
      <w:r w:rsidR="00E80B41">
        <w:rPr>
          <w:lang w:eastAsia="en-US"/>
        </w:rPr>
        <w:t>vztahů</w:t>
      </w:r>
      <w:r w:rsidR="00136B4A">
        <w:rPr>
          <w:lang w:eastAsia="en-US"/>
        </w:rPr>
        <w:t>m</w:t>
      </w:r>
      <w:r w:rsidR="00E80B41">
        <w:rPr>
          <w:lang w:eastAsia="en-US"/>
        </w:rPr>
        <w:t xml:space="preserve"> a souvislost</w:t>
      </w:r>
      <w:r w:rsidR="00136B4A">
        <w:rPr>
          <w:lang w:eastAsia="en-US"/>
        </w:rPr>
        <w:t>em</w:t>
      </w:r>
      <w:r w:rsidR="00E80B41">
        <w:rPr>
          <w:lang w:eastAsia="en-US"/>
        </w:rPr>
        <w:t xml:space="preserve"> mezi jednotlivými prvky </w:t>
      </w:r>
      <w:r w:rsidRPr="005E1DC2">
        <w:rPr>
          <w:lang w:eastAsia="en-US"/>
        </w:rPr>
        <w:t>systému</w:t>
      </w:r>
      <w:r w:rsidR="00095AD1">
        <w:rPr>
          <w:lang w:eastAsia="en-US"/>
        </w:rPr>
        <w:t>.</w:t>
      </w:r>
      <w:r w:rsidR="00E80B41">
        <w:rPr>
          <w:lang w:eastAsia="en-US"/>
        </w:rPr>
        <w:t xml:space="preserve"> </w:t>
      </w:r>
    </w:p>
    <w:p w:rsidR="005E1DC2" w:rsidRPr="00FE5C29" w:rsidRDefault="005E1DC2" w:rsidP="00FE68D6">
      <w:pPr>
        <w:numPr>
          <w:ilvl w:val="0"/>
          <w:numId w:val="24"/>
        </w:numPr>
        <w:spacing w:after="120" w:line="276" w:lineRule="auto"/>
        <w:jc w:val="both"/>
        <w:rPr>
          <w:b/>
          <w:lang w:eastAsia="en-US"/>
        </w:rPr>
      </w:pPr>
      <w:r w:rsidRPr="005E1DC2">
        <w:t xml:space="preserve">Úroveň III. </w:t>
      </w:r>
      <w:r w:rsidR="008D5B28">
        <w:t>–</w:t>
      </w:r>
      <w:r w:rsidR="00BA6FBF">
        <w:t xml:space="preserve"> </w:t>
      </w:r>
      <w:r w:rsidR="00136B4A">
        <w:t>procesy</w:t>
      </w:r>
      <w:r w:rsidR="008D5B28">
        <w:t xml:space="preserve"> (proč)</w:t>
      </w:r>
      <w:r w:rsidR="00095AD1">
        <w:t>. U</w:t>
      </w:r>
      <w:r w:rsidR="00095AD1" w:rsidRPr="005E1DC2">
        <w:rPr>
          <w:lang w:eastAsia="en-US"/>
        </w:rPr>
        <w:t xml:space="preserve">čební </w:t>
      </w:r>
      <w:r w:rsidR="00136B4A" w:rsidRPr="005E1DC2">
        <w:rPr>
          <w:lang w:eastAsia="en-US"/>
        </w:rPr>
        <w:t xml:space="preserve">úlohy </w:t>
      </w:r>
      <w:r w:rsidR="00136B4A">
        <w:rPr>
          <w:lang w:eastAsia="en-US"/>
        </w:rPr>
        <w:t xml:space="preserve">rozvíjející schopnost </w:t>
      </w:r>
      <w:r w:rsidR="00136B4A" w:rsidRPr="005E1DC2">
        <w:rPr>
          <w:lang w:eastAsia="en-US"/>
        </w:rPr>
        <w:t>identifik</w:t>
      </w:r>
      <w:r w:rsidR="00FB662E">
        <w:rPr>
          <w:lang w:eastAsia="en-US"/>
        </w:rPr>
        <w:t>ovat, popsat, interpretovat</w:t>
      </w:r>
      <w:r w:rsidR="00136B4A">
        <w:rPr>
          <w:lang w:eastAsia="en-US"/>
        </w:rPr>
        <w:t xml:space="preserve"> </w:t>
      </w:r>
      <w:r w:rsidRPr="005E1DC2">
        <w:rPr>
          <w:lang w:eastAsia="en-US"/>
        </w:rPr>
        <w:t>a zdůvod</w:t>
      </w:r>
      <w:r w:rsidR="008D5B28">
        <w:rPr>
          <w:lang w:eastAsia="en-US"/>
        </w:rPr>
        <w:t>ň</w:t>
      </w:r>
      <w:r w:rsidR="00136B4A">
        <w:rPr>
          <w:lang w:eastAsia="en-US"/>
        </w:rPr>
        <w:t>ovat</w:t>
      </w:r>
      <w:r w:rsidR="00FE5C29">
        <w:rPr>
          <w:lang w:eastAsia="en-US"/>
        </w:rPr>
        <w:t xml:space="preserve"> </w:t>
      </w:r>
      <w:r w:rsidR="00136B4A">
        <w:rPr>
          <w:lang w:eastAsia="en-US"/>
        </w:rPr>
        <w:t xml:space="preserve">procesy odehrávající </w:t>
      </w:r>
      <w:r w:rsidR="005A02B9">
        <w:rPr>
          <w:lang w:eastAsia="en-US"/>
        </w:rPr>
        <w:t xml:space="preserve">se v systému </w:t>
      </w:r>
      <w:r w:rsidRPr="005E1DC2">
        <w:rPr>
          <w:lang w:eastAsia="en-US"/>
        </w:rPr>
        <w:t>(</w:t>
      </w:r>
      <w:r w:rsidR="00407DA8">
        <w:rPr>
          <w:lang w:eastAsia="en-US"/>
        </w:rPr>
        <w:t>zdůvodnění</w:t>
      </w:r>
      <w:r w:rsidR="005A02B9">
        <w:rPr>
          <w:lang w:eastAsia="en-US"/>
        </w:rPr>
        <w:t xml:space="preserve"> </w:t>
      </w:r>
      <w:r w:rsidRPr="005E1DC2">
        <w:rPr>
          <w:lang w:eastAsia="en-US"/>
        </w:rPr>
        <w:t>příčin</w:t>
      </w:r>
      <w:r w:rsidR="005A02B9">
        <w:rPr>
          <w:lang w:eastAsia="en-US"/>
        </w:rPr>
        <w:t>y a následk</w:t>
      </w:r>
      <w:r w:rsidR="00407DA8">
        <w:rPr>
          <w:lang w:eastAsia="en-US"/>
        </w:rPr>
        <w:t>u</w:t>
      </w:r>
      <w:r w:rsidR="005A02B9">
        <w:rPr>
          <w:lang w:eastAsia="en-US"/>
        </w:rPr>
        <w:t>)</w:t>
      </w:r>
      <w:r w:rsidR="00095AD1">
        <w:rPr>
          <w:lang w:eastAsia="en-US"/>
        </w:rPr>
        <w:t>.</w:t>
      </w:r>
    </w:p>
    <w:p w:rsidR="00F23B06" w:rsidRDefault="00EC0E39" w:rsidP="008F0E3C">
      <w:pPr>
        <w:spacing w:after="120" w:line="276" w:lineRule="auto"/>
        <w:jc w:val="both"/>
      </w:pPr>
      <w:r>
        <w:t>Dimenze systémovosti</w:t>
      </w:r>
      <w:r w:rsidRPr="00EC0E39">
        <w:t xml:space="preserve"> umožňuje činit výpovědi o povaze geografick</w:t>
      </w:r>
      <w:r w:rsidR="00E14EB4">
        <w:t xml:space="preserve">ých znalostí nutných </w:t>
      </w:r>
      <w:r w:rsidRPr="00EC0E39">
        <w:t>k úspěšnému řešení konkrétní úlohy.</w:t>
      </w:r>
      <w:r w:rsidR="00E14EB4" w:rsidRPr="005E1DC2">
        <w:rPr>
          <w:vertAlign w:val="superscript"/>
          <w:lang w:eastAsia="en-US"/>
        </w:rPr>
        <w:footnoteReference w:id="71"/>
      </w:r>
      <w:r w:rsidR="00D3293B">
        <w:t xml:space="preserve"> </w:t>
      </w:r>
      <w:r w:rsidRPr="00EC0E39">
        <w:t>Obsah je pochopitelně pouze jedním z prostředků k utváření kompetencí. Model proto obsahuj</w:t>
      </w:r>
      <w:r w:rsidR="00D3293B">
        <w:t>e</w:t>
      </w:r>
      <w:r w:rsidRPr="00EC0E39">
        <w:t xml:space="preserve"> další dvě cílově orientované domény.</w:t>
      </w:r>
      <w:r>
        <w:rPr>
          <w:color w:val="7030A0"/>
        </w:rPr>
        <w:t xml:space="preserve"> </w:t>
      </w:r>
    </w:p>
    <w:p w:rsidR="00D96DAA" w:rsidRPr="00F72E9D" w:rsidRDefault="00D96DAA" w:rsidP="008F0E3C">
      <w:pPr>
        <w:autoSpaceDE w:val="0"/>
        <w:autoSpaceDN w:val="0"/>
        <w:adjustRightInd w:val="0"/>
        <w:spacing w:after="120" w:line="276" w:lineRule="auto"/>
        <w:jc w:val="both"/>
        <w:rPr>
          <w:i/>
        </w:rPr>
      </w:pPr>
    </w:p>
    <w:p w:rsidR="00797628" w:rsidRDefault="00797628" w:rsidP="00A74542">
      <w:pPr>
        <w:pStyle w:val="Nadpis4"/>
        <w:numPr>
          <w:ilvl w:val="0"/>
          <w:numId w:val="0"/>
        </w:numPr>
        <w:spacing w:before="0" w:after="120"/>
      </w:pPr>
      <w:r>
        <w:t>Komplexita (osa y)</w:t>
      </w:r>
    </w:p>
    <w:p w:rsidR="00205322" w:rsidRPr="00622215" w:rsidRDefault="00F25CA8" w:rsidP="008F0E3C">
      <w:pPr>
        <w:autoSpaceDE w:val="0"/>
        <w:autoSpaceDN w:val="0"/>
        <w:adjustRightInd w:val="0"/>
        <w:spacing w:after="120" w:line="276" w:lineRule="auto"/>
        <w:jc w:val="both"/>
      </w:pPr>
      <w:r>
        <w:t>Zjednodušeně řečeno, komplexitu lze posuzovat</w:t>
      </w:r>
      <w:r w:rsidR="001B6D7E">
        <w:t xml:space="preserve"> </w:t>
      </w:r>
      <w:r>
        <w:t>na kontinuu mezi pořádkem a chaosem</w:t>
      </w:r>
      <w:r w:rsidRPr="00F25CA8">
        <w:t xml:space="preserve"> </w:t>
      </w:r>
      <w:r w:rsidR="00904185">
        <w:t xml:space="preserve">(srov. Manson, </w:t>
      </w:r>
      <w:r>
        <w:t xml:space="preserve">2001). </w:t>
      </w:r>
      <w:r w:rsidR="00203056">
        <w:t xml:space="preserve">Kategorie komplexita </w:t>
      </w:r>
      <w:r w:rsidR="00D73089">
        <w:t>vyjadřující problémovost a otevřenost učební úlohy</w:t>
      </w:r>
      <w:r w:rsidR="00203056">
        <w:t xml:space="preserve"> udává rozsah neznámých prvků v</w:t>
      </w:r>
      <w:r w:rsidR="00095AD1">
        <w:t> předkládané učební úloze</w:t>
      </w:r>
      <w:r w:rsidR="00203056" w:rsidRPr="001B6D7E">
        <w:t xml:space="preserve">. </w:t>
      </w:r>
      <w:r w:rsidR="00630D80" w:rsidRPr="001B6D7E">
        <w:t>V</w:t>
      </w:r>
      <w:r w:rsidR="001B6D7E" w:rsidRPr="001B6D7E">
        <w:t> </w:t>
      </w:r>
      <w:r w:rsidR="00630D80" w:rsidRPr="001B6D7E">
        <w:t>kapitol</w:t>
      </w:r>
      <w:r w:rsidR="001B6D7E" w:rsidRPr="001B6D7E">
        <w:t>ách 1.5 a 1.7</w:t>
      </w:r>
      <w:r w:rsidR="00630D80" w:rsidRPr="001B6D7E">
        <w:t xml:space="preserve"> popisujeme jednotlivé typy problém</w:t>
      </w:r>
      <w:r w:rsidR="001C4FBB" w:rsidRPr="001B6D7E">
        <w:t>ů</w:t>
      </w:r>
      <w:r w:rsidR="001B6D7E" w:rsidRPr="001B6D7E">
        <w:t xml:space="preserve">, resp. </w:t>
      </w:r>
      <w:r w:rsidR="00FF00E3" w:rsidRPr="001B6D7E">
        <w:t xml:space="preserve">problémových učebních úloh. </w:t>
      </w:r>
      <w:r w:rsidR="0089505D" w:rsidRPr="001B6D7E">
        <w:t>Problém</w:t>
      </w:r>
      <w:r w:rsidR="0089505D">
        <w:t xml:space="preserve"> může být uzavřený nebo otevřený, s jasně nebo </w:t>
      </w:r>
      <w:r w:rsidR="00802EB8">
        <w:t>neúpln</w:t>
      </w:r>
      <w:r w:rsidR="0089505D">
        <w:t xml:space="preserve">ě definovanými cíli, podmínkami a méně či více dostupnými prostředky. </w:t>
      </w:r>
      <w:r w:rsidR="00630D80" w:rsidRPr="00622215">
        <w:t>Spektrum možných problémů osciluje mezi dvěma extrémy. Velmi ohraničené a jednoznačně</w:t>
      </w:r>
      <w:r w:rsidR="00D3293B">
        <w:t xml:space="preserve"> definované problémy, které neu</w:t>
      </w:r>
      <w:r w:rsidR="001B6D7E">
        <w:t>m</w:t>
      </w:r>
      <w:r w:rsidR="00630D80" w:rsidRPr="00622215">
        <w:t>ožňují zapojení komplexních procesů řešení problémů, a proti tomu zcela otevřené problémy</w:t>
      </w:r>
      <w:r w:rsidR="00882CA2" w:rsidRPr="00622215">
        <w:t>, které</w:t>
      </w:r>
      <w:r w:rsidR="00630D80" w:rsidRPr="00622215">
        <w:t xml:space="preserve"> m</w:t>
      </w:r>
      <w:r w:rsidR="00882CA2" w:rsidRPr="00622215">
        <w:t>ohou</w:t>
      </w:r>
      <w:r w:rsidR="00630D80" w:rsidRPr="00622215">
        <w:t xml:space="preserve"> v n</w:t>
      </w:r>
      <w:r w:rsidR="00882CA2" w:rsidRPr="00622215">
        <w:t>ěkterých případech směřovat</w:t>
      </w:r>
      <w:r w:rsidR="00630D80" w:rsidRPr="00622215">
        <w:t xml:space="preserve"> k utváření znalostí, které nejsou k řešení problému potřebné. </w:t>
      </w:r>
      <w:r w:rsidR="00FF00E3" w:rsidRPr="00FF00E3">
        <w:t>V kurikulárních modelech založených na kompetencích je cestou k rozvíjení kompetencí žákova aktivní konfrontace s různě komplexními učebními úlohami (srov. například Dossey</w:t>
      </w:r>
      <w:r w:rsidR="00FF00E3">
        <w:t xml:space="preserve"> et al., 2000; Reeff, </w:t>
      </w:r>
      <w:r w:rsidR="00FF00E3" w:rsidRPr="00B77E94">
        <w:t>1999</w:t>
      </w:r>
      <w:r w:rsidR="00FF00E3">
        <w:t xml:space="preserve"> aj.</w:t>
      </w:r>
      <w:r w:rsidR="00FF00E3" w:rsidRPr="00B77E94">
        <w:t>).</w:t>
      </w:r>
      <w:r w:rsidR="00FF00E3" w:rsidRPr="00067DAE">
        <w:rPr>
          <w:color w:val="7030A0"/>
        </w:rPr>
        <w:t xml:space="preserve"> </w:t>
      </w:r>
      <w:r w:rsidR="00203056" w:rsidRPr="00622215">
        <w:t xml:space="preserve">S komplexitou úzce souvisí míra otevřenosti </w:t>
      </w:r>
      <w:r w:rsidR="00A17E39" w:rsidRPr="00622215">
        <w:t>učebních úloh, přičemž o</w:t>
      </w:r>
      <w:r w:rsidR="00797628" w:rsidRPr="00622215">
        <w:t>tevřeno</w:t>
      </w:r>
      <w:r w:rsidR="001C4FBB" w:rsidRPr="00622215">
        <w:t xml:space="preserve">st se </w:t>
      </w:r>
      <w:r w:rsidR="00A17E39" w:rsidRPr="00622215">
        <w:t xml:space="preserve">v tomto případě </w:t>
      </w:r>
      <w:r w:rsidR="001C4FBB" w:rsidRPr="00622215">
        <w:t>nevztahuje k zadání učební úlohy</w:t>
      </w:r>
      <w:r w:rsidR="00797628" w:rsidRPr="00622215">
        <w:t xml:space="preserve">, ale tematizuje otevřenost prostoru řešení. </w:t>
      </w:r>
      <w:r w:rsidR="00A17E39" w:rsidRPr="00622215">
        <w:t xml:space="preserve">S odkazem </w:t>
      </w:r>
      <w:r w:rsidR="00B46660" w:rsidRPr="00622215">
        <w:t xml:space="preserve">na </w:t>
      </w:r>
      <w:r w:rsidR="00A17E39" w:rsidRPr="00622215">
        <w:t>klasifikaci</w:t>
      </w:r>
      <w:r w:rsidR="006F190C" w:rsidRPr="00622215">
        <w:t xml:space="preserve"> znalost</w:t>
      </w:r>
      <w:r w:rsidR="008B779D">
        <w:t xml:space="preserve">ní struktury řešení problémů </w:t>
      </w:r>
      <w:r w:rsidR="006F190C" w:rsidRPr="00622215">
        <w:t xml:space="preserve">Gagného </w:t>
      </w:r>
      <w:r w:rsidR="00BE2CAC">
        <w:t>a kol.</w:t>
      </w:r>
      <w:r w:rsidR="00A17E39" w:rsidRPr="00622215">
        <w:t xml:space="preserve"> </w:t>
      </w:r>
      <w:r w:rsidR="0047245B" w:rsidRPr="00622215">
        <w:t>(</w:t>
      </w:r>
      <w:r w:rsidR="00476E64" w:rsidRPr="00D96DAA">
        <w:t>2005, s. 60–73</w:t>
      </w:r>
      <w:r w:rsidR="0047245B" w:rsidRPr="00622215">
        <w:t xml:space="preserve">) </w:t>
      </w:r>
      <w:r w:rsidR="008B779D">
        <w:t xml:space="preserve">a Sugrueové (1995, s. 32) </w:t>
      </w:r>
      <w:r w:rsidR="0047245B" w:rsidRPr="00622215">
        <w:t>a typologii učebních úloh</w:t>
      </w:r>
      <w:r w:rsidR="006F190C" w:rsidRPr="00622215">
        <w:t xml:space="preserve"> </w:t>
      </w:r>
      <w:r w:rsidR="00205322" w:rsidRPr="00622215">
        <w:t>Lodewyk</w:t>
      </w:r>
      <w:r w:rsidR="00A17E39" w:rsidRPr="00622215">
        <w:t>a, Winne a Jamieson-Noelové (2009) model rozlišuje</w:t>
      </w:r>
      <w:r w:rsidR="00B46660" w:rsidRPr="00622215">
        <w:t xml:space="preserve"> tři kategorie komp</w:t>
      </w:r>
      <w:r w:rsidR="001B6D7E">
        <w:t>l</w:t>
      </w:r>
      <w:r w:rsidR="00B46660" w:rsidRPr="00622215">
        <w:t>exity</w:t>
      </w:r>
      <w:r w:rsidR="00F865A0">
        <w:t>:</w:t>
      </w:r>
    </w:p>
    <w:p w:rsidR="00671A8B" w:rsidRDefault="005E1DC2" w:rsidP="00FE68D6">
      <w:pPr>
        <w:numPr>
          <w:ilvl w:val="0"/>
          <w:numId w:val="12"/>
        </w:numPr>
        <w:spacing w:after="120" w:line="276" w:lineRule="auto"/>
        <w:jc w:val="both"/>
      </w:pPr>
      <w:r w:rsidRPr="00622215">
        <w:t xml:space="preserve">Úroveň I. </w:t>
      </w:r>
      <w:r w:rsidR="005C4A68">
        <w:t>–</w:t>
      </w:r>
      <w:r w:rsidRPr="00622215">
        <w:t xml:space="preserve"> </w:t>
      </w:r>
      <w:r w:rsidR="006606C3">
        <w:t>znalost faktů</w:t>
      </w:r>
      <w:r w:rsidR="009B02C0">
        <w:t xml:space="preserve"> a konceptů. Zpravidla se jedná o u</w:t>
      </w:r>
      <w:r w:rsidR="00473B26">
        <w:t>zavřené</w:t>
      </w:r>
      <w:r w:rsidR="00205322" w:rsidRPr="00622215">
        <w:t xml:space="preserve"> </w:t>
      </w:r>
      <w:r w:rsidR="00FE799F">
        <w:t xml:space="preserve">(konvergentní) </w:t>
      </w:r>
      <w:r w:rsidR="00897ACB" w:rsidRPr="00622215">
        <w:t>dobře strukturované učební úlohy</w:t>
      </w:r>
      <w:r w:rsidR="00D1368B">
        <w:t xml:space="preserve">, které </w:t>
      </w:r>
      <w:r w:rsidR="00DF505C" w:rsidRPr="00622215">
        <w:t>jsou jednoznačně zadány, j</w:t>
      </w:r>
      <w:r w:rsidR="00205322" w:rsidRPr="00622215">
        <w:t>e hledán jeden způsob řešení</w:t>
      </w:r>
      <w:r w:rsidR="00473B26">
        <w:t>/jedna odpověď</w:t>
      </w:r>
      <w:r w:rsidR="00D1368B">
        <w:t>. Ž</w:t>
      </w:r>
      <w:r w:rsidR="00D81FDB" w:rsidRPr="00622215">
        <w:t>ák by měl prokázat faktickou nebo konceptuální znalost.</w:t>
      </w:r>
      <w:r w:rsidR="0011644D">
        <w:rPr>
          <w:rStyle w:val="Znakapoznpodarou"/>
        </w:rPr>
        <w:footnoteReference w:id="72"/>
      </w:r>
    </w:p>
    <w:p w:rsidR="00205322" w:rsidRPr="00622215" w:rsidRDefault="005E1DC2" w:rsidP="00FE68D6">
      <w:pPr>
        <w:numPr>
          <w:ilvl w:val="0"/>
          <w:numId w:val="12"/>
        </w:numPr>
        <w:spacing w:after="120" w:line="276" w:lineRule="auto"/>
        <w:jc w:val="both"/>
      </w:pPr>
      <w:r w:rsidRPr="00622215">
        <w:t xml:space="preserve">Úroveň II. </w:t>
      </w:r>
      <w:r w:rsidR="00473B26">
        <w:t>–</w:t>
      </w:r>
      <w:r w:rsidRPr="00622215">
        <w:t xml:space="preserve"> </w:t>
      </w:r>
      <w:r w:rsidR="006606C3">
        <w:t>znalost pravidel</w:t>
      </w:r>
      <w:r w:rsidR="00D1368B">
        <w:t>. Zpravidla se jedná o u</w:t>
      </w:r>
      <w:r w:rsidR="00473B26">
        <w:t xml:space="preserve">zavřené </w:t>
      </w:r>
      <w:r w:rsidR="00FE799F">
        <w:t xml:space="preserve">(konvergentní) </w:t>
      </w:r>
      <w:r w:rsidR="00DF505C" w:rsidRPr="00622215">
        <w:t>dobře strukturované učební úlohy podporující učení se pravidlům</w:t>
      </w:r>
      <w:r w:rsidR="00525CA4" w:rsidRPr="00622215">
        <w:t xml:space="preserve"> (algoritmům</w:t>
      </w:r>
      <w:r w:rsidR="00904185">
        <w:t>, principům</w:t>
      </w:r>
      <w:r w:rsidR="00525CA4" w:rsidRPr="00622215">
        <w:t>)</w:t>
      </w:r>
      <w:r w:rsidR="00DF505C" w:rsidRPr="00622215">
        <w:t xml:space="preserve">. Úlohy </w:t>
      </w:r>
      <w:r w:rsidR="00205322" w:rsidRPr="00622215">
        <w:t xml:space="preserve">jsou jednoznačně zadány, </w:t>
      </w:r>
      <w:r w:rsidR="00DF505C" w:rsidRPr="00622215">
        <w:t>je hledán jeden způsob řešení</w:t>
      </w:r>
      <w:r w:rsidR="00473B26">
        <w:t>/jedna odpověď</w:t>
      </w:r>
      <w:r w:rsidR="00D1368B">
        <w:t>. Ž</w:t>
      </w:r>
      <w:r w:rsidR="00D81FDB" w:rsidRPr="00622215">
        <w:t>ák by měl prokázat znalost nějakého naučeného pravidla, postupu, vztahu.</w:t>
      </w:r>
    </w:p>
    <w:p w:rsidR="00205322" w:rsidRPr="00622215" w:rsidRDefault="005E1DC2" w:rsidP="00FE68D6">
      <w:pPr>
        <w:numPr>
          <w:ilvl w:val="0"/>
          <w:numId w:val="12"/>
        </w:numPr>
        <w:spacing w:after="120" w:line="276" w:lineRule="auto"/>
        <w:jc w:val="both"/>
      </w:pPr>
      <w:r w:rsidRPr="00622215">
        <w:t xml:space="preserve">Úroveň III. </w:t>
      </w:r>
      <w:r w:rsidR="005C4A68">
        <w:t>–</w:t>
      </w:r>
      <w:r w:rsidRPr="00622215">
        <w:t xml:space="preserve"> </w:t>
      </w:r>
      <w:r w:rsidR="00095AD1">
        <w:t>ř</w:t>
      </w:r>
      <w:r w:rsidR="00BA1B28">
        <w:t>ešení problémů. Zpravidla se jedná o o</w:t>
      </w:r>
      <w:r w:rsidR="00473B26">
        <w:t>tevřené</w:t>
      </w:r>
      <w:r w:rsidR="00897ACB" w:rsidRPr="00622215">
        <w:t xml:space="preserve"> </w:t>
      </w:r>
      <w:r w:rsidR="00FE799F">
        <w:t xml:space="preserve">(divergentní) </w:t>
      </w:r>
      <w:r w:rsidR="00897ACB" w:rsidRPr="00622215">
        <w:t>učební úlohy</w:t>
      </w:r>
      <w:r w:rsidR="005561F0" w:rsidRPr="00622215">
        <w:t xml:space="preserve"> podporující problémové učení.</w:t>
      </w:r>
      <w:r w:rsidR="00BB53AB">
        <w:t xml:space="preserve"> </w:t>
      </w:r>
      <w:r w:rsidR="00BA1B28">
        <w:t xml:space="preserve">Úlohy a) </w:t>
      </w:r>
      <w:r w:rsidR="0047245B" w:rsidRPr="00622215">
        <w:t>jsou jednoznačně zadány, ale mohou mít více možných způsobů řešení</w:t>
      </w:r>
      <w:r w:rsidR="005739B1" w:rsidRPr="00622215">
        <w:t xml:space="preserve"> (dobře</w:t>
      </w:r>
      <w:r w:rsidR="0047245B" w:rsidRPr="00622215">
        <w:t xml:space="preserve"> strukturované</w:t>
      </w:r>
      <w:r w:rsidR="00FE799F">
        <w:t xml:space="preserve"> otevřené </w:t>
      </w:r>
      <w:r w:rsidR="005739B1" w:rsidRPr="00622215">
        <w:t>učební úlohy</w:t>
      </w:r>
      <w:r w:rsidR="0047245B" w:rsidRPr="00622215">
        <w:t xml:space="preserve">) </w:t>
      </w:r>
      <w:r w:rsidR="00BA1B28" w:rsidRPr="00622215">
        <w:t>nebo</w:t>
      </w:r>
      <w:r w:rsidR="00BA1B28">
        <w:t xml:space="preserve"> b) </w:t>
      </w:r>
      <w:r w:rsidR="00BA1B28" w:rsidRPr="00622215">
        <w:t>úlohy</w:t>
      </w:r>
      <w:r w:rsidR="0047245B" w:rsidRPr="00622215">
        <w:t xml:space="preserve"> žáky informují </w:t>
      </w:r>
      <w:r w:rsidR="00205322" w:rsidRPr="00622215">
        <w:t>o určitém problému, není ovšem položena jednoznačná otá</w:t>
      </w:r>
      <w:r w:rsidR="005739B1" w:rsidRPr="00622215">
        <w:t>zka nebo pokyn k</w:t>
      </w:r>
      <w:r w:rsidR="001C58AC">
        <w:t> </w:t>
      </w:r>
      <w:r w:rsidR="005739B1" w:rsidRPr="00622215">
        <w:t>jednání</w:t>
      </w:r>
      <w:r w:rsidR="001C58AC">
        <w:t xml:space="preserve"> </w:t>
      </w:r>
      <w:r w:rsidR="001C58AC" w:rsidRPr="00622215">
        <w:t xml:space="preserve">(neúplně strukturované </w:t>
      </w:r>
      <w:r w:rsidR="001C58AC">
        <w:t xml:space="preserve">otevřené </w:t>
      </w:r>
      <w:r w:rsidR="001C58AC" w:rsidRPr="00622215">
        <w:t>učební úlohy)</w:t>
      </w:r>
      <w:r w:rsidR="005739B1" w:rsidRPr="00622215">
        <w:t xml:space="preserve">. </w:t>
      </w:r>
      <w:r w:rsidR="001C58AC">
        <w:t>Tyto úlohy v sobě implicitně obsahují</w:t>
      </w:r>
      <w:r w:rsidR="00205322" w:rsidRPr="00622215">
        <w:t xml:space="preserve"> více možných otázek a problémová situace je výzvou k jednání. Z toho vyplývá více možných řešení</w:t>
      </w:r>
      <w:r w:rsidR="00FE799F">
        <w:t>/odpovědí</w:t>
      </w:r>
      <w:r w:rsidR="005739B1" w:rsidRPr="00622215">
        <w:t>.</w:t>
      </w:r>
      <w:r w:rsidR="00525CA4" w:rsidRPr="00622215">
        <w:t xml:space="preserve"> </w:t>
      </w:r>
      <w:r w:rsidR="00D81FDB" w:rsidRPr="00622215">
        <w:t>Žák by měl prokázat</w:t>
      </w:r>
      <w:r w:rsidR="00525CA4" w:rsidRPr="00622215">
        <w:t xml:space="preserve"> </w:t>
      </w:r>
      <w:r w:rsidR="00D81FDB" w:rsidRPr="00622215">
        <w:t xml:space="preserve">schopnost </w:t>
      </w:r>
      <w:r w:rsidR="00525CA4" w:rsidRPr="00622215">
        <w:t>samostatně vytvářet nov</w:t>
      </w:r>
      <w:r w:rsidR="008A485D" w:rsidRPr="00622215">
        <w:t>á a originá</w:t>
      </w:r>
      <w:r w:rsidR="008F0E3C">
        <w:t xml:space="preserve">lní řešení problémových situací, příp. </w:t>
      </w:r>
      <w:r w:rsidR="001C58AC">
        <w:t xml:space="preserve">schopnost </w:t>
      </w:r>
      <w:r w:rsidR="008F0E3C">
        <w:t>propojit jedno pravidlo s dalším pravidlem nebo více pravidly.</w:t>
      </w:r>
    </w:p>
    <w:p w:rsidR="00205322" w:rsidRDefault="001B5D53" w:rsidP="0011644D">
      <w:pPr>
        <w:spacing w:after="120" w:line="276" w:lineRule="auto"/>
        <w:jc w:val="both"/>
      </w:pPr>
      <w:r w:rsidRPr="00622215">
        <w:t xml:space="preserve">Výše uvedená klasifikace </w:t>
      </w:r>
      <w:r w:rsidR="005739B1" w:rsidRPr="00622215">
        <w:t>umožňuje činit výpovědi</w:t>
      </w:r>
      <w:r w:rsidRPr="00622215">
        <w:t xml:space="preserve"> </w:t>
      </w:r>
      <w:r w:rsidR="005739B1" w:rsidRPr="00622215">
        <w:t xml:space="preserve">o </w:t>
      </w:r>
      <w:r w:rsidR="00385226" w:rsidRPr="00622215">
        <w:t>míře otevřenosti procesu řešení učební úlohy</w:t>
      </w:r>
      <w:r w:rsidR="0091353A">
        <w:t xml:space="preserve"> a</w:t>
      </w:r>
      <w:r w:rsidR="00385226" w:rsidRPr="00622215">
        <w:t xml:space="preserve"> </w:t>
      </w:r>
      <w:r w:rsidR="0091353A">
        <w:t xml:space="preserve">komplexnosti zadání učební úlohy (zda jde </w:t>
      </w:r>
      <w:r w:rsidR="0091353A" w:rsidRPr="00D96DAA">
        <w:t xml:space="preserve">zpětné vybavení si </w:t>
      </w:r>
      <w:r w:rsidR="0091353A">
        <w:t xml:space="preserve">faktů, konceptů nebo znalost a aplikaci </w:t>
      </w:r>
      <w:r w:rsidR="0091353A" w:rsidRPr="00D96DAA">
        <w:t>jednodušších</w:t>
      </w:r>
      <w:r w:rsidR="0091353A">
        <w:t xml:space="preserve"> i složitějších </w:t>
      </w:r>
      <w:r w:rsidR="0091353A" w:rsidRPr="00D96DAA">
        <w:t>pravidel</w:t>
      </w:r>
      <w:r w:rsidR="0091353A">
        <w:t>).</w:t>
      </w:r>
    </w:p>
    <w:p w:rsidR="0089505D" w:rsidRPr="00622215" w:rsidRDefault="0089505D" w:rsidP="008F0E3C">
      <w:pPr>
        <w:autoSpaceDE w:val="0"/>
        <w:autoSpaceDN w:val="0"/>
        <w:adjustRightInd w:val="0"/>
        <w:spacing w:after="120" w:line="276" w:lineRule="auto"/>
        <w:jc w:val="both"/>
      </w:pPr>
    </w:p>
    <w:p w:rsidR="00385226" w:rsidRPr="009B3792" w:rsidRDefault="00385226" w:rsidP="00A74542">
      <w:pPr>
        <w:pStyle w:val="Nadpis4"/>
        <w:numPr>
          <w:ilvl w:val="0"/>
          <w:numId w:val="0"/>
        </w:numPr>
      </w:pPr>
      <w:r w:rsidRPr="00EB46FC">
        <w:t>Náročnost</w:t>
      </w:r>
      <w:r>
        <w:t xml:space="preserve"> (osa z)</w:t>
      </w:r>
    </w:p>
    <w:p w:rsidR="000E6F4D" w:rsidRPr="00A119AF" w:rsidRDefault="00385226" w:rsidP="00E91471">
      <w:pPr>
        <w:spacing w:after="120" w:line="276" w:lineRule="auto"/>
        <w:jc w:val="both"/>
      </w:pPr>
      <w:r w:rsidRPr="00312F58">
        <w:t xml:space="preserve">V kapitole </w:t>
      </w:r>
      <w:r w:rsidR="001B6D7E">
        <w:t xml:space="preserve">1.7 </w:t>
      </w:r>
      <w:r w:rsidRPr="00312F58">
        <w:t>připomínáme,</w:t>
      </w:r>
      <w:r w:rsidR="00C84899" w:rsidRPr="00312F58">
        <w:t xml:space="preserve"> </w:t>
      </w:r>
      <w:r w:rsidR="00B0035D">
        <w:t xml:space="preserve">řešení problémů je činnost, která vyžaduje zapojení vyšších kognitivních procesů. </w:t>
      </w:r>
      <w:r w:rsidR="00B0035D" w:rsidRPr="00312F58">
        <w:t xml:space="preserve">Vycházíme z předpokladu, že kompetence k řešení problémů je v učebnicích a ve výuce operacionalizována </w:t>
      </w:r>
      <w:r w:rsidR="00802EB8">
        <w:t>pomocí</w:t>
      </w:r>
      <w:r w:rsidR="00B0035D" w:rsidRPr="00312F58">
        <w:t xml:space="preserve"> kognitivních aktivit, které žáka vedou k učení. </w:t>
      </w:r>
      <w:r w:rsidR="00B0035D">
        <w:t xml:space="preserve">Jinými slovy, </w:t>
      </w:r>
      <w:r w:rsidR="00615418" w:rsidRPr="00312F58">
        <w:t xml:space="preserve">určitá formulace úlohy determinuje </w:t>
      </w:r>
      <w:r w:rsidR="00B0035D">
        <w:t>náročnost</w:t>
      </w:r>
      <w:r w:rsidR="00615418" w:rsidRPr="00312F58">
        <w:t xml:space="preserve"> kognitivní</w:t>
      </w:r>
      <w:r w:rsidR="00B0035D">
        <w:t>ch</w:t>
      </w:r>
      <w:r w:rsidR="00615418" w:rsidRPr="00312F58">
        <w:t xml:space="preserve"> proces</w:t>
      </w:r>
      <w:r w:rsidR="00B0035D">
        <w:t>ů</w:t>
      </w:r>
      <w:r w:rsidR="006F1314">
        <w:t>, příp. činností</w:t>
      </w:r>
      <w:r w:rsidR="00615418" w:rsidRPr="00312F58">
        <w:t>/operac</w:t>
      </w:r>
      <w:r w:rsidR="006F1314">
        <w:t>í</w:t>
      </w:r>
      <w:r w:rsidR="00615418" w:rsidRPr="00312F58">
        <w:t xml:space="preserve">, které žáci musí vykonat s učivem. </w:t>
      </w:r>
      <w:r w:rsidR="006F1314">
        <w:t>I</w:t>
      </w:r>
      <w:r w:rsidR="00312F58" w:rsidRPr="00312F58">
        <w:t>nspirací </w:t>
      </w:r>
      <w:r w:rsidR="006F1314">
        <w:t xml:space="preserve">pro tvorbu jednotlivých </w:t>
      </w:r>
      <w:r w:rsidR="00312F58" w:rsidRPr="00312F58">
        <w:t>kategorií byla operační dimenze Bloomov</w:t>
      </w:r>
      <w:r w:rsidR="00B34EF9">
        <w:t>y</w:t>
      </w:r>
      <w:r w:rsidR="00312F58" w:rsidRPr="00312F58">
        <w:t xml:space="preserve"> taxonomie. V mode</w:t>
      </w:r>
      <w:r w:rsidR="000E6F4D">
        <w:t>l</w:t>
      </w:r>
      <w:r w:rsidR="00312F58" w:rsidRPr="00312F58">
        <w:t xml:space="preserve">u jsme použili zjednodušenou </w:t>
      </w:r>
      <w:r w:rsidR="00802EB8">
        <w:t>tříúrovň</w:t>
      </w:r>
      <w:r w:rsidR="002E1F2F">
        <w:t xml:space="preserve">ovou </w:t>
      </w:r>
      <w:r w:rsidR="00312F58" w:rsidRPr="00312F58">
        <w:t>verzi taxonomie, abychom se vyhnuli problémům vyplývajícím z nejasně definované hranice mezi jednotlivými kategoriemi</w:t>
      </w:r>
      <w:r w:rsidR="00A93FCC">
        <w:t>.</w:t>
      </w:r>
      <w:r w:rsidR="00A93FCC">
        <w:rPr>
          <w:rStyle w:val="Znakapoznpodarou"/>
        </w:rPr>
        <w:footnoteReference w:id="73"/>
      </w:r>
      <w:r w:rsidR="00A93FCC">
        <w:t xml:space="preserve"> </w:t>
      </w:r>
      <w:r w:rsidR="000E6F4D">
        <w:t xml:space="preserve">Obdobně </w:t>
      </w:r>
      <w:r w:rsidR="000E6F4D" w:rsidRPr="00A119AF">
        <w:t>také německé standardy geografického vzdělávání pracují s</w:t>
      </w:r>
      <w:r w:rsidR="00B26A21" w:rsidRPr="00A119AF">
        <w:t>e třemi úrovněmi</w:t>
      </w:r>
      <w:r w:rsidR="000E6F4D" w:rsidRPr="00A119AF">
        <w:t xml:space="preserve"> nár</w:t>
      </w:r>
      <w:r w:rsidR="00D046A6" w:rsidRPr="00A119AF">
        <w:t xml:space="preserve">očnosti učiva (DGFG, 2010, s. 3; jednotlivé úrovně náročnosti </w:t>
      </w:r>
      <w:r w:rsidR="00A86D90">
        <w:t xml:space="preserve">vč. příkladů souvisejících operátorů </w:t>
      </w:r>
      <w:r w:rsidR="00D046A6" w:rsidRPr="00A119AF">
        <w:t>podrobněji popisuje Hieber, 2011</w:t>
      </w:r>
      <w:r w:rsidR="006E4BFF">
        <w:t>b</w:t>
      </w:r>
      <w:r w:rsidR="000E6F4D" w:rsidRPr="00A119AF">
        <w:t>):</w:t>
      </w:r>
    </w:p>
    <w:p w:rsidR="000E6F4D" w:rsidRPr="00A119AF" w:rsidRDefault="000F4BE6" w:rsidP="00FE68D6">
      <w:pPr>
        <w:numPr>
          <w:ilvl w:val="0"/>
          <w:numId w:val="26"/>
        </w:numPr>
        <w:spacing w:after="120" w:line="276" w:lineRule="auto"/>
        <w:jc w:val="both"/>
      </w:pPr>
      <w:r w:rsidRPr="00A119AF">
        <w:t>Úroveň I.</w:t>
      </w:r>
      <w:r w:rsidR="001907A6" w:rsidRPr="00A119AF">
        <w:t xml:space="preserve"> – reprodukce. Zahrnuje učební úlohy</w:t>
      </w:r>
      <w:r w:rsidR="00A92134">
        <w:t xml:space="preserve"> nižší kognitivní náročnosti</w:t>
      </w:r>
      <w:r w:rsidR="001907A6" w:rsidRPr="00A119AF">
        <w:t xml:space="preserve">, jejichž řešení </w:t>
      </w:r>
      <w:r w:rsidR="00063FDB" w:rsidRPr="00A119AF">
        <w:t>spočívá především v získávání informací (z paměti či z dostupných informačních materiálů</w:t>
      </w:r>
      <w:r w:rsidR="00B11509">
        <w:t>, např. učebnic</w:t>
      </w:r>
      <w:r w:rsidR="00063FDB" w:rsidRPr="00A119AF">
        <w:t>). Jedná se o úlohy, které vyžadují</w:t>
      </w:r>
      <w:r w:rsidR="001907A6" w:rsidRPr="00A119AF">
        <w:t xml:space="preserve"> především popis a reprodukci geografických obsahů</w:t>
      </w:r>
      <w:r w:rsidR="00B11509">
        <w:t>.</w:t>
      </w:r>
      <w:r w:rsidR="000E6F4D" w:rsidRPr="00A119AF">
        <w:t xml:space="preserve"> </w:t>
      </w:r>
    </w:p>
    <w:p w:rsidR="001907A6" w:rsidRPr="00952E6A" w:rsidRDefault="000F4BE6" w:rsidP="00FE68D6">
      <w:pPr>
        <w:numPr>
          <w:ilvl w:val="0"/>
          <w:numId w:val="26"/>
        </w:numPr>
        <w:spacing w:after="120" w:line="276" w:lineRule="auto"/>
        <w:jc w:val="both"/>
      </w:pPr>
      <w:r w:rsidRPr="00A119AF">
        <w:t xml:space="preserve">Úroveň II. </w:t>
      </w:r>
      <w:r w:rsidR="000E6F4D" w:rsidRPr="00A119AF">
        <w:t xml:space="preserve">– </w:t>
      </w:r>
      <w:r w:rsidR="001907A6" w:rsidRPr="00A119AF">
        <w:t>reorganizace. Zahrnuje učební úlohy</w:t>
      </w:r>
      <w:r w:rsidR="00A92134">
        <w:t xml:space="preserve"> </w:t>
      </w:r>
      <w:r w:rsidR="00672AA8">
        <w:t>střední</w:t>
      </w:r>
      <w:r w:rsidR="00A92134">
        <w:t xml:space="preserve"> kognitivní náročnosti</w:t>
      </w:r>
      <w:r w:rsidR="001907A6" w:rsidRPr="00A119AF">
        <w:t xml:space="preserve">, které vyžadují schopnost samostatně vysvětlit, zpracovat, porovnat a seřadit známé </w:t>
      </w:r>
      <w:r w:rsidR="001907A6" w:rsidRPr="00952E6A">
        <w:t>geografické obsahy, metody nebo postupy a aplikovat je v kontextu jiných (obdobných, příbuzných, souvisejících) geografických obsahů.</w:t>
      </w:r>
    </w:p>
    <w:p w:rsidR="00C84899" w:rsidRPr="00952E6A" w:rsidRDefault="000F4BE6" w:rsidP="00FE68D6">
      <w:pPr>
        <w:numPr>
          <w:ilvl w:val="0"/>
          <w:numId w:val="26"/>
        </w:numPr>
        <w:spacing w:after="120" w:line="276" w:lineRule="auto"/>
        <w:jc w:val="both"/>
      </w:pPr>
      <w:r w:rsidRPr="00952E6A">
        <w:t xml:space="preserve">Úroveň III. </w:t>
      </w:r>
      <w:r w:rsidR="000E6F4D" w:rsidRPr="00952E6A">
        <w:t>–</w:t>
      </w:r>
      <w:r w:rsidR="00BA1B28">
        <w:t xml:space="preserve"> </w:t>
      </w:r>
      <w:r w:rsidR="001907A6" w:rsidRPr="00952E6A">
        <w:t>řešení problémů</w:t>
      </w:r>
      <w:r w:rsidR="00B26A21" w:rsidRPr="00952E6A">
        <w:t>.</w:t>
      </w:r>
      <w:r w:rsidR="001907A6" w:rsidRPr="00952E6A">
        <w:t xml:space="preserve"> </w:t>
      </w:r>
      <w:r w:rsidR="00B26A21" w:rsidRPr="00952E6A">
        <w:t>Zahrnuje učební úlohy</w:t>
      </w:r>
      <w:r w:rsidR="00A92134" w:rsidRPr="00952E6A">
        <w:t xml:space="preserve"> vyšší kognitivní náročnosti</w:t>
      </w:r>
      <w:r w:rsidR="00B26A21" w:rsidRPr="00952E6A">
        <w:t xml:space="preserve">, k jejichž zvládnutí je nutná schopnost reflektivního posouzení neznámých situací, získaných poznatků, metod a postupů za účelem zdůvodnění, zhodnocení, nalezení jejich </w:t>
      </w:r>
      <w:r w:rsidR="002E1F2F" w:rsidRPr="00952E6A">
        <w:t xml:space="preserve">(z pohledu žáka nových) </w:t>
      </w:r>
      <w:r w:rsidR="00B26A21" w:rsidRPr="00952E6A">
        <w:t>význam</w:t>
      </w:r>
      <w:r w:rsidR="002E1F2F" w:rsidRPr="00952E6A">
        <w:t>ů</w:t>
      </w:r>
      <w:r w:rsidR="00B26A21" w:rsidRPr="00952E6A">
        <w:t xml:space="preserve"> a souvislostí relevantních pro řešení nastíněných geografických problémů.</w:t>
      </w:r>
    </w:p>
    <w:p w:rsidR="0011644D" w:rsidRDefault="0011644D" w:rsidP="00E91471">
      <w:pPr>
        <w:spacing w:after="120" w:line="276" w:lineRule="auto"/>
        <w:jc w:val="both"/>
        <w:rPr>
          <w:lang w:eastAsia="en-US"/>
        </w:rPr>
      </w:pPr>
    </w:p>
    <w:p w:rsidR="00F865A0" w:rsidRPr="00952E6A" w:rsidRDefault="00C83EB3" w:rsidP="00E91471">
      <w:pPr>
        <w:spacing w:after="120" w:line="276" w:lineRule="auto"/>
        <w:jc w:val="both"/>
        <w:rPr>
          <w:color w:val="FF0000"/>
        </w:rPr>
      </w:pPr>
      <w:r w:rsidRPr="00952E6A">
        <w:t xml:space="preserve">Jednotlivé dimenze </w:t>
      </w:r>
      <w:r w:rsidR="001C1FE3">
        <w:t xml:space="preserve">teoretického modelu </w:t>
      </w:r>
      <w:r w:rsidRPr="00952E6A">
        <w:t xml:space="preserve">je možné hodnotit jako ordinální (pořadové proměnné), každá </w:t>
      </w:r>
      <w:r w:rsidR="000D1C6A" w:rsidRPr="00952E6A">
        <w:t xml:space="preserve">z dimenzí </w:t>
      </w:r>
      <w:r w:rsidR="00473A13" w:rsidRPr="00952E6A">
        <w:t xml:space="preserve">může </w:t>
      </w:r>
      <w:r w:rsidR="0022637B" w:rsidRPr="00952E6A">
        <w:t xml:space="preserve">na </w:t>
      </w:r>
      <w:r w:rsidR="001B6D7E" w:rsidRPr="00952E6A">
        <w:t>pomyslné</w:t>
      </w:r>
      <w:r w:rsidR="0022637B" w:rsidRPr="00952E6A">
        <w:t xml:space="preserve"> škále </w:t>
      </w:r>
      <w:r w:rsidR="00473A13" w:rsidRPr="00952E6A">
        <w:t>dosahovat jedné ze tří úrovní zastoupení</w:t>
      </w:r>
      <w:r w:rsidR="000D1C6A" w:rsidRPr="00952E6A">
        <w:t>.</w:t>
      </w:r>
      <w:r w:rsidRPr="00952E6A">
        <w:t xml:space="preserve"> </w:t>
      </w:r>
      <w:r w:rsidR="00830CEB" w:rsidRPr="00952E6A">
        <w:rPr>
          <w:bCs/>
        </w:rPr>
        <w:t xml:space="preserve">Při vyvíjení modelu jsme vycházeli z přesvědčení, že model musí být teoreticky ukotvený a zároveň musí být jednoduše prakticky aplikovatelný v empiricko výzkumném i školním kontextu. </w:t>
      </w:r>
      <w:r w:rsidR="00F865A0" w:rsidRPr="00952E6A">
        <w:t xml:space="preserve">Ačkoliv se jedná o normativní teoretický model, je na jeho základě možné usuzovat na praktickou potřebu využívat </w:t>
      </w:r>
      <w:r w:rsidR="00830CEB" w:rsidRPr="00952E6A">
        <w:t xml:space="preserve">ve výuce zeměpisu </w:t>
      </w:r>
      <w:r w:rsidR="00F865A0" w:rsidRPr="00952E6A">
        <w:t>různé typy učebních úloh, neboť různé typy učebních úloh emergují různé postupy řešení založené na odlišných typech znalostí. Jinými slovy, model respektuje skutečnost, že dosažení odlišných výukových cílů vyžaduje využití odlišných výukových postupů</w:t>
      </w:r>
      <w:r w:rsidR="00FF00E3" w:rsidRPr="00952E6A">
        <w:t>, a</w:t>
      </w:r>
      <w:r w:rsidR="004177D1" w:rsidRPr="00952E6A">
        <w:t xml:space="preserve"> že každý </w:t>
      </w:r>
      <w:r w:rsidR="00FF00E3" w:rsidRPr="00952E6A">
        <w:t xml:space="preserve">kvalitativní </w:t>
      </w:r>
      <w:r w:rsidR="004177D1" w:rsidRPr="00952E6A">
        <w:t xml:space="preserve">posun ve znalostech lze chápat jako příspěvek k rozvíjení </w:t>
      </w:r>
      <w:r w:rsidR="009B58FD" w:rsidRPr="00952E6A">
        <w:t>kompetence k řešení problémů.</w:t>
      </w:r>
      <w:r w:rsidR="000F4BE6" w:rsidRPr="00952E6A">
        <w:t xml:space="preserve"> </w:t>
      </w:r>
    </w:p>
    <w:p w:rsidR="00067841" w:rsidRPr="00952E6A" w:rsidRDefault="00DA4A9C" w:rsidP="00E91471">
      <w:pPr>
        <w:spacing w:after="120" w:line="276" w:lineRule="auto"/>
        <w:jc w:val="both"/>
      </w:pPr>
      <w:r w:rsidRPr="00952E6A">
        <w:t>Z povahy učiva v různých oborech školního vzdělávání vyplývá, že různé vyučovací předměty nabízejí odlišnou povahu příležitostí k rozvoji kompetence k řešení problém</w:t>
      </w:r>
      <w:r w:rsidR="00802EB8">
        <w:t>ů</w:t>
      </w:r>
      <w:r w:rsidRPr="00952E6A">
        <w:t>. Obecně zřejmě platí, že témata z oblasti matematiky a přírodních věd jsou bohatší na příležitosti k řešení racionálně-logických problémů nebo problémů deterministických. Umělecké předměty, případně předměty humanitního zaměření poskytují více příležitostí k řešení problémů nedeterministických, které mají například více správných způsobů řešení. Vzhledem k pozici zeměpisu mezi přírodními a společenskovědními vyučovacími předměty usuzujeme, že abychom mohli hovořit o rozvíjení kompetence k řešení problémů, měly by být pravidelně zastoupeny v učebnicích a ve výuce zastoupeny především (ovšem ne výhradně) učební úlohy druhé a třetí úrovně jednotlivých dimenzí navrh</w:t>
      </w:r>
      <w:r w:rsidR="00E91471">
        <w:t>o</w:t>
      </w:r>
      <w:r w:rsidRPr="00952E6A">
        <w:t>vaného modelu</w:t>
      </w:r>
      <w:r w:rsidR="008104B0">
        <w:t xml:space="preserve"> (srov. obr. </w:t>
      </w:r>
      <w:r w:rsidR="00DC1EB5">
        <w:t>14</w:t>
      </w:r>
      <w:r w:rsidR="008104B0">
        <w:t>)</w:t>
      </w:r>
      <w:r w:rsidRPr="00952E6A">
        <w:t>.</w:t>
      </w:r>
    </w:p>
    <w:p w:rsidR="00DA4A9C" w:rsidRDefault="00DA4A9C" w:rsidP="00DA4A9C">
      <w:pPr>
        <w:spacing w:after="120" w:line="276" w:lineRule="auto"/>
        <w:jc w:val="both"/>
      </w:pPr>
    </w:p>
    <w:p w:rsidR="0072781B" w:rsidRDefault="00700180" w:rsidP="00FD5CB1">
      <w:pPr>
        <w:pStyle w:val="Nadpis3"/>
      </w:pPr>
      <w:bookmarkStart w:id="68" w:name="_Toc399775421"/>
      <w:r>
        <w:t>Shrnutí</w:t>
      </w:r>
      <w:bookmarkEnd w:id="68"/>
    </w:p>
    <w:p w:rsidR="007F4C39" w:rsidRPr="00BA1417" w:rsidRDefault="009C7CE3" w:rsidP="00BA1417">
      <w:pPr>
        <w:spacing w:after="120" w:line="276" w:lineRule="auto"/>
        <w:jc w:val="both"/>
      </w:pPr>
      <w:r w:rsidRPr="00BA1417">
        <w:t>Teoretická část práce byla post</w:t>
      </w:r>
      <w:r w:rsidR="004A63C0">
        <w:t>a</w:t>
      </w:r>
      <w:r w:rsidRPr="00BA1417">
        <w:t>vena na myšlence, že p</w:t>
      </w:r>
      <w:r w:rsidR="00431451" w:rsidRPr="00BA1417">
        <w:t xml:space="preserve">roblémová výuka je zdrojem příležitostí k problémovému učení, a </w:t>
      </w:r>
      <w:r w:rsidRPr="00BA1417">
        <w:t>problémové učení</w:t>
      </w:r>
      <w:r w:rsidR="00431451" w:rsidRPr="00BA1417">
        <w:t xml:space="preserve"> je základem k utváření a rozvíjení kompetence k řešení problémů.</w:t>
      </w:r>
      <w:r w:rsidR="001E2E8E" w:rsidRPr="00BA1417">
        <w:t xml:space="preserve"> Ve školní výuce by mělo jít především o vytváření příležitostí, ve kterých by žáci prokazovali nejen to, že zvládají určité učivo, ale zejména to, že jsou schopni toto učivo instrumentalizovat v určitém situačním kontextu. Předpokládáme, že kompetence k řešení problémů je naučitelná a může být rozvíjena učením ve škole prostřednictvím řešení problémových situací a z nich odvozených učebních úloh. Rozvíjení kompetence k řešení problémů tak do jisté míry závisí na kvantitě a kvalitě učebních úloh, jež zohledňují hlavní </w:t>
      </w:r>
      <w:r w:rsidR="00C4336A" w:rsidRPr="00BA1417">
        <w:t xml:space="preserve">teoretické znaky </w:t>
      </w:r>
      <w:r w:rsidR="001E2E8E" w:rsidRPr="00BA1417">
        <w:t xml:space="preserve">kompetence k řešení problémů </w:t>
      </w:r>
      <w:r w:rsidR="005C4A68" w:rsidRPr="00BA1417">
        <w:t>–</w:t>
      </w:r>
      <w:r w:rsidRPr="00BA1417">
        <w:t xml:space="preserve"> systémovost, </w:t>
      </w:r>
      <w:r w:rsidR="00D73089" w:rsidRPr="00BA1417">
        <w:t xml:space="preserve">náročnost, </w:t>
      </w:r>
      <w:r w:rsidRPr="00BA1417">
        <w:t xml:space="preserve">a </w:t>
      </w:r>
      <w:r w:rsidR="00D73089" w:rsidRPr="00BA1417">
        <w:t>komplexitu</w:t>
      </w:r>
      <w:r w:rsidRPr="00BA1417">
        <w:t xml:space="preserve">. </w:t>
      </w:r>
      <w:r w:rsidR="00BC702F" w:rsidRPr="00BA1417">
        <w:t>Oborově specifické přístupy k řešení problémů a aplikace geografických znalostí na řešení geografických problémů je oblast, kterou je možné výrazně podporovat a rozvíjet prostřednictvím problémově orientované výuky. Mimo to je v takto orientované výuce kladen důraz na osvojování znalostí, kterými musí geograf disponovat v každodenní geografické praxi.</w:t>
      </w:r>
      <w:r w:rsidR="00C4336A" w:rsidRPr="00BA1417">
        <w:t xml:space="preserve"> V</w:t>
      </w:r>
      <w:r w:rsidR="003777B2" w:rsidRPr="00BA1417">
        <w:t xml:space="preserve">ýuka </w:t>
      </w:r>
      <w:r w:rsidR="00C4336A" w:rsidRPr="00BA1417">
        <w:t xml:space="preserve">zeměpisu na základních školách v blízké budoucnosti patrně </w:t>
      </w:r>
      <w:r w:rsidR="003777B2" w:rsidRPr="00BA1417">
        <w:t xml:space="preserve">nebude </w:t>
      </w:r>
      <w:r w:rsidR="00F337B9" w:rsidRPr="00BA1417">
        <w:t>ve větší míře</w:t>
      </w:r>
      <w:r w:rsidR="003777B2" w:rsidRPr="00BA1417">
        <w:t xml:space="preserve"> založena</w:t>
      </w:r>
      <w:r w:rsidR="00FD5CB1" w:rsidRPr="00BA1417">
        <w:t xml:space="preserve"> na </w:t>
      </w:r>
      <w:r w:rsidR="00C4336A" w:rsidRPr="00BA1417">
        <w:t xml:space="preserve">autentických </w:t>
      </w:r>
      <w:r w:rsidR="00FD5CB1" w:rsidRPr="00BA1417">
        <w:t>situacích reálného života. T</w:t>
      </w:r>
      <w:r w:rsidR="003777B2" w:rsidRPr="00BA1417">
        <w:t xml:space="preserve">yto situace mohou do školní výuky vstupovat </w:t>
      </w:r>
      <w:r w:rsidR="00FD5CB1" w:rsidRPr="00BA1417">
        <w:t xml:space="preserve">nejčastěji </w:t>
      </w:r>
      <w:r w:rsidR="003777B2" w:rsidRPr="00BA1417">
        <w:t xml:space="preserve">prostřednictvím </w:t>
      </w:r>
      <w:r w:rsidR="00BA1417" w:rsidRPr="00BA1417">
        <w:t xml:space="preserve">didaktických </w:t>
      </w:r>
      <w:r w:rsidR="003777B2" w:rsidRPr="00BA1417">
        <w:t xml:space="preserve">reprezentací. Reprezentace slouží jako zprostředkující faktor mezi každodenním životem žáků (a jejich znalostmi, zkušenostmi a dovednostmi) a souhrnem poznatků </w:t>
      </w:r>
      <w:r w:rsidR="00C4336A" w:rsidRPr="00BA1417">
        <w:t xml:space="preserve">soudobé </w:t>
      </w:r>
      <w:r w:rsidR="003777B2" w:rsidRPr="00BA1417">
        <w:t xml:space="preserve">kultury. </w:t>
      </w:r>
      <w:r w:rsidR="002C51DD" w:rsidRPr="00BA1417">
        <w:t xml:space="preserve">Ačkoliv jsme výše poukázali na relevanci kompetence k řešení problémů pro geografické vzdělávání, nevíme téměř nic o povaze příležitostí k utváření a rozvíjení kompetence k řešení problémů ve výuce zeměpisu v Česku. To bylo mimo jiné hlavním důvodem pro realizaci výzkumu prezentovaného v následující kapitole. </w:t>
      </w:r>
    </w:p>
    <w:p w:rsidR="00BB250E" w:rsidRPr="00095FBB" w:rsidRDefault="007F4C39" w:rsidP="00D23306">
      <w:pPr>
        <w:pStyle w:val="Nadpis1"/>
      </w:pPr>
      <w:r w:rsidRPr="00095FBB">
        <w:rPr>
          <w:color w:val="FF0000"/>
        </w:rPr>
        <w:br w:type="page"/>
      </w:r>
      <w:bookmarkStart w:id="69" w:name="_Toc399775422"/>
      <w:r w:rsidR="00D23306" w:rsidRPr="00095FBB">
        <w:t>V</w:t>
      </w:r>
      <w:r w:rsidR="00BB250E" w:rsidRPr="00095FBB">
        <w:t>ýzkum</w:t>
      </w:r>
      <w:bookmarkEnd w:id="65"/>
      <w:r w:rsidR="00D23306" w:rsidRPr="00095FBB">
        <w:t xml:space="preserve"> problémových učebních úloh v učebnicích a ve výuce zeměpisu</w:t>
      </w:r>
      <w:bookmarkEnd w:id="69"/>
    </w:p>
    <w:p w:rsidR="00FB7B24" w:rsidRPr="00952E6A" w:rsidRDefault="00FB7B24" w:rsidP="008B26CE"/>
    <w:p w:rsidR="007604A4" w:rsidRDefault="00167BDC" w:rsidP="00167BDC">
      <w:pPr>
        <w:spacing w:after="120" w:line="276" w:lineRule="auto"/>
        <w:jc w:val="both"/>
        <w:rPr>
          <w:bCs/>
          <w:lang w:eastAsia="en-US"/>
        </w:rPr>
      </w:pPr>
      <w:r w:rsidRPr="00167BDC">
        <w:rPr>
          <w:lang w:eastAsia="en-US"/>
        </w:rPr>
        <w:t xml:space="preserve">Výzkum popisovaný v této práci je možné označit za deskriptivně explanační. </w:t>
      </w:r>
      <w:r w:rsidR="00FF4BF2" w:rsidRPr="00952E6A">
        <w:rPr>
          <w:lang w:eastAsia="en-US"/>
        </w:rPr>
        <w:t xml:space="preserve">V jeho pozadí stojí přesvědčení, že se při tvorbě nových vzdělávacích koncepcí geografického vzdělávání dosud v nedostatečné míře </w:t>
      </w:r>
      <w:r w:rsidR="00646C4B" w:rsidRPr="00952E6A">
        <w:rPr>
          <w:lang w:eastAsia="en-US"/>
        </w:rPr>
        <w:t xml:space="preserve">vychází z informací o praktické </w:t>
      </w:r>
      <w:r w:rsidR="00FF4BF2" w:rsidRPr="00952E6A">
        <w:rPr>
          <w:lang w:eastAsia="en-US"/>
        </w:rPr>
        <w:t>realizaci výuky zeměpisu v Česku. Tyto informace nám umožní citlivě rozumět tomu, co se děje ve školních třídách, a následně navrhnout doporučení založená na vědecké evidenci, resp. důkazech (tzv. evidence-based přístup; viz Mareš</w:t>
      </w:r>
      <w:r w:rsidR="00B61677">
        <w:rPr>
          <w:lang w:eastAsia="en-US"/>
        </w:rPr>
        <w:t>,</w:t>
      </w:r>
      <w:r w:rsidR="00FF4BF2" w:rsidRPr="00952E6A">
        <w:rPr>
          <w:lang w:eastAsia="en-US"/>
        </w:rPr>
        <w:t xml:space="preserve"> 2009).</w:t>
      </w:r>
      <w:r w:rsidR="00646C4B" w:rsidRPr="00952E6A">
        <w:rPr>
          <w:lang w:eastAsia="en-US"/>
        </w:rPr>
        <w:t xml:space="preserve"> </w:t>
      </w:r>
      <w:r w:rsidR="007604A4" w:rsidRPr="00952E6A">
        <w:rPr>
          <w:bCs/>
          <w:lang w:eastAsia="en-US"/>
        </w:rPr>
        <w:t xml:space="preserve">Ve výzkumu </w:t>
      </w:r>
      <w:r w:rsidR="00802EB8">
        <w:rPr>
          <w:bCs/>
          <w:lang w:eastAsia="en-US"/>
        </w:rPr>
        <w:t>spojujeme</w:t>
      </w:r>
      <w:r w:rsidR="007E2B2B">
        <w:rPr>
          <w:bCs/>
          <w:lang w:eastAsia="en-US"/>
        </w:rPr>
        <w:t xml:space="preserve"> dva doposud re</w:t>
      </w:r>
      <w:r w:rsidR="007604A4" w:rsidRPr="00952E6A">
        <w:rPr>
          <w:bCs/>
          <w:lang w:eastAsia="en-US"/>
        </w:rPr>
        <w:t>l</w:t>
      </w:r>
      <w:r w:rsidR="004A63C0">
        <w:rPr>
          <w:bCs/>
          <w:lang w:eastAsia="en-US"/>
        </w:rPr>
        <w:t>a</w:t>
      </w:r>
      <w:r w:rsidR="007604A4" w:rsidRPr="00952E6A">
        <w:rPr>
          <w:bCs/>
          <w:lang w:eastAsia="en-US"/>
        </w:rPr>
        <w:t>tivně nezávislé výzkumné přístupy – výzkum kurikula a výzkum výuky</w:t>
      </w:r>
      <w:r w:rsidR="00DB3E03" w:rsidRPr="00952E6A">
        <w:rPr>
          <w:bCs/>
          <w:lang w:eastAsia="en-US"/>
        </w:rPr>
        <w:t xml:space="preserve">. </w:t>
      </w:r>
      <w:r w:rsidR="004805AC" w:rsidRPr="00952E6A">
        <w:rPr>
          <w:bCs/>
          <w:lang w:eastAsia="en-US"/>
        </w:rPr>
        <w:t>Zatímco v první fázi výzkumu je analyzován obsah učebnic, ve druhé fázi výzkumu analyzujeme obsah výuky. Zdrojem výzkumných dat v druhé fázi výzkumu je projekt IVŠV Videostudie (</w:t>
      </w:r>
      <w:r w:rsidR="004805AC">
        <w:rPr>
          <w:bCs/>
          <w:lang w:eastAsia="en-US"/>
        </w:rPr>
        <w:t xml:space="preserve">podrobněji viz </w:t>
      </w:r>
      <w:r w:rsidR="004805AC" w:rsidRPr="00952E6A">
        <w:rPr>
          <w:bCs/>
          <w:lang w:eastAsia="en-US"/>
        </w:rPr>
        <w:t>Najvar et al., 2009).</w:t>
      </w:r>
      <w:r w:rsidR="004805AC">
        <w:rPr>
          <w:bCs/>
          <w:lang w:eastAsia="en-US"/>
        </w:rPr>
        <w:t xml:space="preserve"> </w:t>
      </w:r>
      <w:r w:rsidR="00DB3E03" w:rsidRPr="00952E6A">
        <w:rPr>
          <w:bCs/>
          <w:lang w:eastAsia="en-US"/>
        </w:rPr>
        <w:t xml:space="preserve">Tematicky </w:t>
      </w:r>
      <w:r w:rsidR="000969AA" w:rsidRPr="00952E6A">
        <w:rPr>
          <w:bCs/>
          <w:lang w:eastAsia="en-US"/>
        </w:rPr>
        <w:t xml:space="preserve">i metodologicky </w:t>
      </w:r>
      <w:r w:rsidR="00DB3E03" w:rsidRPr="00952E6A">
        <w:rPr>
          <w:bCs/>
          <w:lang w:eastAsia="en-US"/>
        </w:rPr>
        <w:t>volně n</w:t>
      </w:r>
      <w:r w:rsidR="007604A4" w:rsidRPr="00952E6A">
        <w:rPr>
          <w:bCs/>
          <w:lang w:eastAsia="en-US"/>
        </w:rPr>
        <w:t xml:space="preserve">avazujeme na </w:t>
      </w:r>
      <w:r w:rsidR="00EE62F1" w:rsidRPr="00952E6A">
        <w:rPr>
          <w:bCs/>
          <w:lang w:eastAsia="en-US"/>
        </w:rPr>
        <w:t xml:space="preserve">naše </w:t>
      </w:r>
      <w:r w:rsidR="00DB3E03" w:rsidRPr="00952E6A">
        <w:rPr>
          <w:bCs/>
          <w:lang w:eastAsia="en-US"/>
        </w:rPr>
        <w:t>p</w:t>
      </w:r>
      <w:r w:rsidR="000969AA" w:rsidRPr="00952E6A">
        <w:rPr>
          <w:bCs/>
          <w:lang w:eastAsia="en-US"/>
        </w:rPr>
        <w:t>ředchozí práce. Z</w:t>
      </w:r>
      <w:r w:rsidR="007E079C">
        <w:rPr>
          <w:bCs/>
          <w:lang w:eastAsia="en-US"/>
        </w:rPr>
        <w:t>astřešující výzkumnou meto</w:t>
      </w:r>
      <w:r w:rsidR="00584001" w:rsidRPr="00952E6A">
        <w:rPr>
          <w:bCs/>
          <w:lang w:eastAsia="en-US"/>
        </w:rPr>
        <w:t xml:space="preserve">dou obou fází výzkumu je obsahová analýza. </w:t>
      </w:r>
    </w:p>
    <w:p w:rsidR="006F0E9A" w:rsidRPr="00167BDC" w:rsidRDefault="006F0E9A" w:rsidP="0053411B">
      <w:pPr>
        <w:spacing w:after="120" w:line="276" w:lineRule="auto"/>
        <w:jc w:val="both"/>
        <w:rPr>
          <w:lang w:eastAsia="en-US"/>
        </w:rPr>
      </w:pPr>
      <w:r>
        <w:rPr>
          <w:bCs/>
          <w:lang w:eastAsia="en-US"/>
        </w:rPr>
        <w:t xml:space="preserve">Přiznáváme, že k výzkumu přistupujeme prizmatem monologismu, ačkoliv by zkoumané téma bylo možné uchopit také jinými paradigmatickými přístupy, např. </w:t>
      </w:r>
      <w:r w:rsidR="00533004">
        <w:rPr>
          <w:bCs/>
          <w:lang w:eastAsia="en-US"/>
        </w:rPr>
        <w:t>dialogický</w:t>
      </w:r>
      <w:r>
        <w:rPr>
          <w:bCs/>
          <w:lang w:eastAsia="en-US"/>
        </w:rPr>
        <w:t>mi</w:t>
      </w:r>
      <w:r w:rsidR="00B34435">
        <w:rPr>
          <w:bCs/>
          <w:lang w:eastAsia="en-US"/>
        </w:rPr>
        <w:t xml:space="preserve"> (podrobněji viz Tůma, 2014)</w:t>
      </w:r>
      <w:r>
        <w:rPr>
          <w:bCs/>
          <w:lang w:eastAsia="en-US"/>
        </w:rPr>
        <w:t xml:space="preserve">. Výhodou monologismu je jeho nahlížení na pedagogickou </w:t>
      </w:r>
      <w:r w:rsidR="001F7C0F">
        <w:rPr>
          <w:bCs/>
          <w:lang w:eastAsia="en-US"/>
        </w:rPr>
        <w:t>komunikaci a interakci jako na přenos inf</w:t>
      </w:r>
      <w:r w:rsidR="00DE6D16">
        <w:rPr>
          <w:bCs/>
          <w:lang w:eastAsia="en-US"/>
        </w:rPr>
        <w:t xml:space="preserve">ormací. </w:t>
      </w:r>
      <w:r w:rsidR="001F7C0F">
        <w:rPr>
          <w:bCs/>
          <w:lang w:eastAsia="en-US"/>
        </w:rPr>
        <w:t>Pro monologismus je jako analytická jednotka klíčový jednotlivec, přičemž s promluvami je možné pracovat dekontextualizovaně (</w:t>
      </w:r>
      <w:r w:rsidR="0010194F">
        <w:rPr>
          <w:bCs/>
          <w:lang w:eastAsia="en-US"/>
        </w:rPr>
        <w:t>učební úlohy v učebnicích přeneseně chápeme jako</w:t>
      </w:r>
      <w:r w:rsidR="001F7C0F">
        <w:rPr>
          <w:bCs/>
          <w:lang w:eastAsia="en-US"/>
        </w:rPr>
        <w:t xml:space="preserve"> </w:t>
      </w:r>
      <w:r w:rsidR="0010194F">
        <w:rPr>
          <w:bCs/>
          <w:lang w:eastAsia="en-US"/>
        </w:rPr>
        <w:t xml:space="preserve">písemné </w:t>
      </w:r>
      <w:r w:rsidR="001F7C0F">
        <w:rPr>
          <w:bCs/>
          <w:lang w:eastAsia="en-US"/>
        </w:rPr>
        <w:t>promluvy</w:t>
      </w:r>
      <w:r w:rsidR="00B34435">
        <w:rPr>
          <w:bCs/>
          <w:lang w:eastAsia="en-US"/>
        </w:rPr>
        <w:t xml:space="preserve"> autora učebnice</w:t>
      </w:r>
      <w:r w:rsidR="0010194F">
        <w:rPr>
          <w:bCs/>
          <w:lang w:eastAsia="en-US"/>
        </w:rPr>
        <w:t>)</w:t>
      </w:r>
      <w:r w:rsidR="001F7C0F">
        <w:rPr>
          <w:bCs/>
          <w:lang w:eastAsia="en-US"/>
        </w:rPr>
        <w:t xml:space="preserve">. </w:t>
      </w:r>
    </w:p>
    <w:p w:rsidR="00095FBB" w:rsidRPr="00952E6A" w:rsidRDefault="00EF51E4" w:rsidP="0053411B">
      <w:pPr>
        <w:spacing w:after="120" w:line="276" w:lineRule="auto"/>
        <w:jc w:val="both"/>
        <w:rPr>
          <w:bCs/>
          <w:lang w:eastAsia="en-US"/>
        </w:rPr>
      </w:pPr>
      <w:r w:rsidRPr="00952E6A">
        <w:rPr>
          <w:bCs/>
          <w:lang w:eastAsia="en-US"/>
        </w:rPr>
        <w:t>S odkazem na teoretická a konceptuální východiska popsaná v před</w:t>
      </w:r>
      <w:r w:rsidR="0005518F">
        <w:rPr>
          <w:bCs/>
          <w:lang w:eastAsia="en-US"/>
        </w:rPr>
        <w:t>chozích</w:t>
      </w:r>
      <w:r w:rsidRPr="00952E6A">
        <w:rPr>
          <w:bCs/>
          <w:lang w:eastAsia="en-US"/>
        </w:rPr>
        <w:t xml:space="preserve"> kapitolách se snažíme zodpovědět ná</w:t>
      </w:r>
      <w:r w:rsidR="00095FBB" w:rsidRPr="00952E6A">
        <w:rPr>
          <w:bCs/>
          <w:lang w:eastAsia="en-US"/>
        </w:rPr>
        <w:t>sledující výzkumné</w:t>
      </w:r>
      <w:r w:rsidRPr="00952E6A">
        <w:rPr>
          <w:bCs/>
          <w:lang w:eastAsia="en-US"/>
        </w:rPr>
        <w:t xml:space="preserve"> otázk</w:t>
      </w:r>
      <w:r w:rsidR="00095FBB" w:rsidRPr="00952E6A">
        <w:rPr>
          <w:bCs/>
          <w:lang w:eastAsia="en-US"/>
        </w:rPr>
        <w:t>y</w:t>
      </w:r>
      <w:r w:rsidRPr="00952E6A">
        <w:rPr>
          <w:bCs/>
          <w:lang w:eastAsia="en-US"/>
        </w:rPr>
        <w:t>:</w:t>
      </w:r>
      <w:r w:rsidR="00BF4795" w:rsidRPr="00952E6A">
        <w:rPr>
          <w:bCs/>
          <w:lang w:eastAsia="en-US"/>
        </w:rPr>
        <w:t xml:space="preserve"> </w:t>
      </w:r>
    </w:p>
    <w:p w:rsidR="00095FBB" w:rsidRPr="00952E6A" w:rsidRDefault="00095FBB" w:rsidP="00FE68D6">
      <w:pPr>
        <w:numPr>
          <w:ilvl w:val="0"/>
          <w:numId w:val="27"/>
        </w:numPr>
        <w:spacing w:after="120" w:line="276" w:lineRule="auto"/>
        <w:jc w:val="both"/>
        <w:rPr>
          <w:bCs/>
          <w:lang w:eastAsia="en-US"/>
        </w:rPr>
      </w:pPr>
      <w:r w:rsidRPr="00952E6A">
        <w:rPr>
          <w:bCs/>
          <w:lang w:eastAsia="en-US"/>
        </w:rPr>
        <w:t>Obsahují učebnice zeměpisu</w:t>
      </w:r>
      <w:r w:rsidR="00BF4795" w:rsidRPr="00952E6A">
        <w:rPr>
          <w:bCs/>
          <w:lang w:eastAsia="en-US"/>
        </w:rPr>
        <w:t xml:space="preserve"> učební úlohy, které směřují k utváření a rozvíjení kompetence k řešení problémů? </w:t>
      </w:r>
    </w:p>
    <w:p w:rsidR="00C1088A" w:rsidRPr="00952E6A" w:rsidRDefault="00095FBB" w:rsidP="00FE68D6">
      <w:pPr>
        <w:numPr>
          <w:ilvl w:val="0"/>
          <w:numId w:val="27"/>
        </w:numPr>
        <w:spacing w:after="120" w:line="276" w:lineRule="auto"/>
        <w:jc w:val="both"/>
        <w:rPr>
          <w:bCs/>
          <w:lang w:eastAsia="en-US"/>
        </w:rPr>
      </w:pPr>
      <w:r w:rsidRPr="00952E6A">
        <w:rPr>
          <w:bCs/>
          <w:lang w:eastAsia="en-US"/>
        </w:rPr>
        <w:t>Daří se ve výuce zeměpisu iniciovat didaktické situace</w:t>
      </w:r>
      <w:r w:rsidR="00C1088A" w:rsidRPr="00952E6A">
        <w:t>, které směřují k utváření a rozvíjení kompetence k řešení problémů</w:t>
      </w:r>
      <w:r w:rsidR="00590A80" w:rsidRPr="00952E6A">
        <w:t>?</w:t>
      </w:r>
    </w:p>
    <w:p w:rsidR="00EF51E4" w:rsidRDefault="00EF51E4" w:rsidP="00DE6D16">
      <w:pPr>
        <w:spacing w:after="200" w:line="276" w:lineRule="auto"/>
        <w:rPr>
          <w:rFonts w:ascii="Calibri" w:hAnsi="Calibri"/>
          <w:bCs/>
          <w:sz w:val="22"/>
          <w:szCs w:val="22"/>
          <w:lang w:eastAsia="en-US"/>
        </w:rPr>
      </w:pPr>
    </w:p>
    <w:p w:rsidR="00D217A8" w:rsidRPr="004E11FF" w:rsidRDefault="00D217A8" w:rsidP="00D217A8">
      <w:pPr>
        <w:pStyle w:val="Nadpis2"/>
      </w:pPr>
      <w:bookmarkStart w:id="70" w:name="_Toc322983685"/>
      <w:bookmarkStart w:id="71" w:name="_Toc399775423"/>
      <w:r>
        <w:t>C</w:t>
      </w:r>
      <w:r w:rsidRPr="004E11FF">
        <w:t>íle výzkumu</w:t>
      </w:r>
      <w:bookmarkEnd w:id="70"/>
      <w:bookmarkEnd w:id="71"/>
    </w:p>
    <w:p w:rsidR="00D217A8" w:rsidRPr="007E603F" w:rsidRDefault="00D217A8" w:rsidP="004805AC">
      <w:pPr>
        <w:spacing w:after="120" w:line="276" w:lineRule="auto"/>
        <w:jc w:val="both"/>
      </w:pPr>
      <w:r w:rsidRPr="007E603F">
        <w:t xml:space="preserve">Cílem </w:t>
      </w:r>
      <w:r w:rsidR="00F916EF" w:rsidRPr="007E603F">
        <w:t xml:space="preserve">výzkumu je </w:t>
      </w:r>
      <w:r w:rsidR="0018730F" w:rsidRPr="007E603F">
        <w:t xml:space="preserve">v učebnicích a ve výuce zeměpisu </w:t>
      </w:r>
      <w:r w:rsidR="00045663" w:rsidRPr="007E603F">
        <w:t>identifikovat, popsat a analyzovat učební úlohy</w:t>
      </w:r>
      <w:r w:rsidR="00F916EF" w:rsidRPr="007E603F">
        <w:t xml:space="preserve"> pod</w:t>
      </w:r>
      <w:r w:rsidR="00045663" w:rsidRPr="007E603F">
        <w:t>p</w:t>
      </w:r>
      <w:r w:rsidR="00F916EF" w:rsidRPr="007E603F">
        <w:t>orující utváření a rozvíjení kompetence k řešení problémů</w:t>
      </w:r>
      <w:r w:rsidR="00D35CF5" w:rsidRPr="007E603F">
        <w:t xml:space="preserve"> (dále jen problémové učební úlohy)</w:t>
      </w:r>
    </w:p>
    <w:p w:rsidR="00D27F43" w:rsidRPr="007E603F" w:rsidRDefault="00D27F43" w:rsidP="004805AC">
      <w:pPr>
        <w:spacing w:after="120" w:line="276" w:lineRule="auto"/>
        <w:jc w:val="both"/>
      </w:pPr>
      <w:r w:rsidRPr="007E603F">
        <w:t xml:space="preserve">Z uvedeného cíle vyplývají následující dílčí cíle: </w:t>
      </w:r>
    </w:p>
    <w:p w:rsidR="00590C54" w:rsidRPr="007E603F" w:rsidRDefault="00590C54" w:rsidP="00FE68D6">
      <w:pPr>
        <w:numPr>
          <w:ilvl w:val="0"/>
          <w:numId w:val="28"/>
        </w:numPr>
        <w:spacing w:after="120" w:line="276" w:lineRule="auto"/>
        <w:jc w:val="both"/>
      </w:pPr>
      <w:r w:rsidRPr="007E603F">
        <w:t>Navrhnout teoretický model, s jehož využitím je možné i</w:t>
      </w:r>
      <w:r w:rsidR="00D27F43" w:rsidRPr="007E603F">
        <w:t>dentifikovat</w:t>
      </w:r>
      <w:r w:rsidRPr="007E603F">
        <w:t>, popisovat a analyzovat</w:t>
      </w:r>
      <w:r w:rsidR="00D27F43" w:rsidRPr="007E603F">
        <w:t xml:space="preserve"> vybrané kvality </w:t>
      </w:r>
      <w:r w:rsidR="00D35CF5" w:rsidRPr="007E603F">
        <w:t xml:space="preserve">problémových </w:t>
      </w:r>
      <w:r w:rsidR="00D27F43" w:rsidRPr="007E603F">
        <w:t>učebních úloh</w:t>
      </w:r>
      <w:r w:rsidR="00293D0B">
        <w:t>.</w:t>
      </w:r>
    </w:p>
    <w:p w:rsidR="0018730F" w:rsidRPr="007E603F" w:rsidRDefault="0018730F" w:rsidP="00FE68D6">
      <w:pPr>
        <w:numPr>
          <w:ilvl w:val="0"/>
          <w:numId w:val="28"/>
        </w:numPr>
        <w:spacing w:after="120" w:line="276" w:lineRule="auto"/>
        <w:jc w:val="both"/>
      </w:pPr>
      <w:r w:rsidRPr="007E603F">
        <w:t xml:space="preserve">Zjistit míru zastoupení </w:t>
      </w:r>
      <w:r w:rsidR="00D35CF5" w:rsidRPr="007E603F">
        <w:t>problémových učebních úloh v učebnicích zeměpisu.</w:t>
      </w:r>
    </w:p>
    <w:p w:rsidR="00FC7BEA" w:rsidRPr="007E603F" w:rsidRDefault="007E603F" w:rsidP="00FE68D6">
      <w:pPr>
        <w:numPr>
          <w:ilvl w:val="0"/>
          <w:numId w:val="28"/>
        </w:numPr>
        <w:spacing w:after="120" w:line="276" w:lineRule="auto"/>
        <w:jc w:val="both"/>
      </w:pPr>
      <w:r w:rsidRPr="007E603F">
        <w:t>Zhodnotit</w:t>
      </w:r>
      <w:r w:rsidR="00FC7BEA" w:rsidRPr="007E603F">
        <w:t xml:space="preserve"> </w:t>
      </w:r>
      <w:r w:rsidR="00F503FF" w:rsidRPr="007E603F">
        <w:t xml:space="preserve">didaktický potenciál </w:t>
      </w:r>
      <w:r w:rsidR="00FC7BEA" w:rsidRPr="007E603F">
        <w:t xml:space="preserve">učebních </w:t>
      </w:r>
      <w:r w:rsidR="00F503FF">
        <w:t>úloh</w:t>
      </w:r>
      <w:r w:rsidR="00C76B25">
        <w:t xml:space="preserve"> v</w:t>
      </w:r>
      <w:r w:rsidR="004805AC">
        <w:t> </w:t>
      </w:r>
      <w:r w:rsidR="00C76B25">
        <w:t>učebnicích</w:t>
      </w:r>
      <w:r w:rsidR="004805AC">
        <w:t xml:space="preserve"> s ohledem na požadavek</w:t>
      </w:r>
      <w:r w:rsidR="00F503FF">
        <w:t xml:space="preserve"> utvářet a rozvíjet kompetenci k řešení problémů.</w:t>
      </w:r>
    </w:p>
    <w:p w:rsidR="00D35CF5" w:rsidRPr="007E603F" w:rsidRDefault="00DF0201" w:rsidP="00FE68D6">
      <w:pPr>
        <w:numPr>
          <w:ilvl w:val="0"/>
          <w:numId w:val="28"/>
        </w:numPr>
        <w:spacing w:after="120" w:line="276" w:lineRule="auto"/>
        <w:jc w:val="both"/>
      </w:pPr>
      <w:r w:rsidRPr="007E603F">
        <w:t xml:space="preserve">Na základě analýzy vybraných </w:t>
      </w:r>
      <w:r w:rsidR="00F04399">
        <w:t>výukov</w:t>
      </w:r>
      <w:r w:rsidRPr="007E603F">
        <w:t xml:space="preserve">ých situací </w:t>
      </w:r>
      <w:r w:rsidR="007E603F" w:rsidRPr="007E603F">
        <w:t>zhodnotit</w:t>
      </w:r>
      <w:r w:rsidRPr="007E603F">
        <w:t xml:space="preserve"> </w:t>
      </w:r>
      <w:r w:rsidR="00FC7BEA" w:rsidRPr="007E603F">
        <w:t>didaktický potenciál vybraných problémových u</w:t>
      </w:r>
      <w:r w:rsidR="00C76B25">
        <w:t xml:space="preserve">čebních úloh ve výuce zeměpisu </w:t>
      </w:r>
      <w:r w:rsidR="004805AC">
        <w:t xml:space="preserve">s ohledem na požadavek </w:t>
      </w:r>
      <w:r w:rsidR="00C76B25">
        <w:t>utvářet a rozvíjet kompetenci k řešení problémů.</w:t>
      </w:r>
    </w:p>
    <w:p w:rsidR="00DF0201" w:rsidRPr="007E603F" w:rsidRDefault="007E603F" w:rsidP="00FE68D6">
      <w:pPr>
        <w:numPr>
          <w:ilvl w:val="0"/>
          <w:numId w:val="28"/>
        </w:numPr>
        <w:spacing w:after="120" w:line="276" w:lineRule="auto"/>
        <w:jc w:val="both"/>
      </w:pPr>
      <w:r w:rsidRPr="007E603F">
        <w:t>N</w:t>
      </w:r>
      <w:r w:rsidR="00DF0201" w:rsidRPr="007E603F">
        <w:t>avrhnout teoretická, metod</w:t>
      </w:r>
      <w:r w:rsidRPr="007E603F">
        <w:t>ologická a praktická doporučení vyplývající z výzkumných zjištění.</w:t>
      </w:r>
    </w:p>
    <w:p w:rsidR="00150799" w:rsidRPr="005E7537" w:rsidRDefault="00150799" w:rsidP="00150799">
      <w:pPr>
        <w:spacing w:after="120"/>
        <w:jc w:val="both"/>
        <w:rPr>
          <w:color w:val="548DD4"/>
          <w:highlight w:val="yellow"/>
        </w:rPr>
      </w:pPr>
    </w:p>
    <w:p w:rsidR="00BB250E" w:rsidRDefault="00BB250E" w:rsidP="00D23306">
      <w:pPr>
        <w:pStyle w:val="Nadpis2"/>
      </w:pPr>
      <w:bookmarkStart w:id="72" w:name="_Toc322983689"/>
      <w:bookmarkStart w:id="73" w:name="_Toc399775424"/>
      <w:r w:rsidRPr="008820B6">
        <w:t>Výzkumný vzorek</w:t>
      </w:r>
      <w:bookmarkEnd w:id="72"/>
      <w:r w:rsidR="00C3752D">
        <w:t xml:space="preserve"> a jeho zdůvodnění</w:t>
      </w:r>
      <w:bookmarkEnd w:id="73"/>
    </w:p>
    <w:p w:rsidR="00111F2F" w:rsidRPr="0053411B" w:rsidRDefault="0053411B" w:rsidP="009D6DC8">
      <w:pPr>
        <w:spacing w:after="120" w:line="276" w:lineRule="auto"/>
        <w:jc w:val="both"/>
      </w:pPr>
      <w:r w:rsidRPr="0053411B">
        <w:t>V této kapitole popisujeme a zdůvodňujeme výzkumný vzorek, který nám poskytl datový materiál potřebný k zodpovězení výzkumných otázek. První část výzkumu spočívala v analýze učebnic, druhá část výzkumu byla založena na analýze výuky.</w:t>
      </w:r>
    </w:p>
    <w:p w:rsidR="00933900" w:rsidRDefault="006A49CE" w:rsidP="006A49CE">
      <w:pPr>
        <w:pStyle w:val="Nadpis3"/>
      </w:pPr>
      <w:bookmarkStart w:id="74" w:name="_Toc399775425"/>
      <w:r>
        <w:t>První část výzkumu: analýza učebnic</w:t>
      </w:r>
      <w:bookmarkEnd w:id="74"/>
    </w:p>
    <w:p w:rsidR="006A49CE" w:rsidRPr="00D54A5F" w:rsidRDefault="006A49CE" w:rsidP="00F569DE">
      <w:pPr>
        <w:spacing w:after="120" w:line="276" w:lineRule="auto"/>
        <w:jc w:val="both"/>
      </w:pPr>
      <w:r w:rsidRPr="00D54A5F">
        <w:t>Výzkumný vzor</w:t>
      </w:r>
      <w:r w:rsidR="00D54A5F" w:rsidRPr="00D54A5F">
        <w:t xml:space="preserve">ek v první části výzkumu tvořilo </w:t>
      </w:r>
      <w:r w:rsidR="00141BB0">
        <w:t>1229</w:t>
      </w:r>
      <w:r w:rsidR="00D54A5F" w:rsidRPr="00D54A5F">
        <w:t xml:space="preserve"> </w:t>
      </w:r>
      <w:r w:rsidR="00BF7F50" w:rsidRPr="00D54A5F">
        <w:t>učebních úloh</w:t>
      </w:r>
      <w:r w:rsidR="00D54A5F" w:rsidRPr="00D54A5F">
        <w:t xml:space="preserve"> </w:t>
      </w:r>
      <w:r w:rsidR="0053411B">
        <w:t xml:space="preserve">v učebnicích fyzického zeměpisu </w:t>
      </w:r>
      <w:r w:rsidR="00D54A5F">
        <w:t xml:space="preserve">tematicky spadajících do učiva fyzické geografie, které zároveň byly součástí </w:t>
      </w:r>
      <w:r w:rsidR="009D6DC8">
        <w:t>kapitol</w:t>
      </w:r>
      <w:r w:rsidR="0053411B">
        <w:t xml:space="preserve"> </w:t>
      </w:r>
      <w:r w:rsidR="00D54A5F" w:rsidRPr="00D54A5F">
        <w:t>týkající</w:t>
      </w:r>
      <w:r w:rsidR="009D6DC8">
        <w:t>ch se primárně fyzicko</w:t>
      </w:r>
      <w:r w:rsidR="00D54A5F" w:rsidRPr="00D54A5F">
        <w:t xml:space="preserve">geografických vzdělávacích obsahů. </w:t>
      </w:r>
      <w:r w:rsidR="000051B9">
        <w:t>Konkrétně se jednalo o učebnice z následujíc</w:t>
      </w:r>
      <w:r w:rsidR="00C3752D">
        <w:t>íc</w:t>
      </w:r>
      <w:r w:rsidR="000051B9">
        <w:t>h vydavatelství:</w:t>
      </w:r>
      <w:r w:rsidR="00DB289E" w:rsidRPr="00D54A5F">
        <w:t xml:space="preserve"> </w:t>
      </w:r>
      <w:r w:rsidR="00BF7F50" w:rsidRPr="00D54A5F">
        <w:t>Fraus (Červený et al., 2003</w:t>
      </w:r>
      <w:r w:rsidR="00E2269B">
        <w:t>, s. 31–72</w:t>
      </w:r>
      <w:r w:rsidR="00BF7F50" w:rsidRPr="00D54A5F">
        <w:t xml:space="preserve">), </w:t>
      </w:r>
      <w:r w:rsidR="00BF7F50" w:rsidRPr="00D54A5F">
        <w:rPr>
          <w:bCs/>
        </w:rPr>
        <w:t xml:space="preserve">Nakladatelství České geografické společnosti (Červinka &amp; Tampír, </w:t>
      </w:r>
      <w:r w:rsidR="00E2269B">
        <w:rPr>
          <w:bCs/>
        </w:rPr>
        <w:t>s. 26–83</w:t>
      </w:r>
      <w:r w:rsidR="001B3E00">
        <w:rPr>
          <w:bCs/>
        </w:rPr>
        <w:t>; dále jen NČGS</w:t>
      </w:r>
      <w:r w:rsidR="00BF7F50" w:rsidRPr="00D54A5F">
        <w:rPr>
          <w:bCs/>
        </w:rPr>
        <w:t xml:space="preserve">), </w:t>
      </w:r>
      <w:r w:rsidR="00BF7F50" w:rsidRPr="00D54A5F">
        <w:t>Nová škola (</w:t>
      </w:r>
      <w:r w:rsidR="00BF7F50" w:rsidRPr="00D54A5F">
        <w:rPr>
          <w:bCs/>
        </w:rPr>
        <w:t>Hübelová, Novák, &amp; Weinhöfer, 2007</w:t>
      </w:r>
      <w:r w:rsidR="00E2269B">
        <w:rPr>
          <w:bCs/>
        </w:rPr>
        <w:t xml:space="preserve">, s. </w:t>
      </w:r>
      <w:r w:rsidR="00774B6F">
        <w:rPr>
          <w:bCs/>
        </w:rPr>
        <w:t>5–74</w:t>
      </w:r>
      <w:r w:rsidR="00BF7F50" w:rsidRPr="00D54A5F">
        <w:rPr>
          <w:bCs/>
        </w:rPr>
        <w:t>), Prodos (Voženílek &amp; Demek, 2000</w:t>
      </w:r>
      <w:r w:rsidR="00774B6F">
        <w:rPr>
          <w:bCs/>
        </w:rPr>
        <w:t>, s. 46–102</w:t>
      </w:r>
      <w:r w:rsidR="00BF7F50" w:rsidRPr="00D54A5F">
        <w:rPr>
          <w:bCs/>
        </w:rPr>
        <w:t xml:space="preserve">) </w:t>
      </w:r>
      <w:r w:rsidR="00BF7F50" w:rsidRPr="00D54A5F">
        <w:t>a SPN (Demek et al</w:t>
      </w:r>
      <w:r w:rsidR="0005518F">
        <w:t>.</w:t>
      </w:r>
      <w:r w:rsidR="00BF7F50" w:rsidRPr="00D54A5F">
        <w:t>, 2007</w:t>
      </w:r>
      <w:r w:rsidR="00774B6F">
        <w:t>, 29–92</w:t>
      </w:r>
      <w:r w:rsidR="00BF7F50" w:rsidRPr="00D54A5F">
        <w:t>).</w:t>
      </w:r>
      <w:r w:rsidR="002227F9">
        <w:rPr>
          <w:rStyle w:val="Znakapoznpodarou"/>
        </w:rPr>
        <w:footnoteReference w:id="74"/>
      </w:r>
      <w:r w:rsidR="002227F9">
        <w:t xml:space="preserve"> </w:t>
      </w:r>
    </w:p>
    <w:p w:rsidR="009A6F4A" w:rsidRDefault="000051B9" w:rsidP="009A6F4A">
      <w:pPr>
        <w:spacing w:after="120" w:line="276" w:lineRule="auto"/>
        <w:jc w:val="both"/>
      </w:pPr>
      <w:r>
        <w:t xml:space="preserve">Analyzovali jsme veškeré </w:t>
      </w:r>
      <w:r w:rsidR="00727910" w:rsidRPr="00D54A5F">
        <w:t>učební úlohy, které byly v učebnicích graficky odděleny od výkladového textu.</w:t>
      </w:r>
      <w:r w:rsidR="00727910" w:rsidRPr="00D54A5F">
        <w:rPr>
          <w:rStyle w:val="Znakapoznpodarou"/>
        </w:rPr>
        <w:footnoteReference w:id="75"/>
      </w:r>
      <w:r w:rsidR="00727910" w:rsidRPr="00D54A5F">
        <w:t xml:space="preserve"> </w:t>
      </w:r>
      <w:r w:rsidR="0031514E">
        <w:t>Grafickým oddělením máme na mysli např. symbol (zejména otazník, ale také lupa – tvořivé ú</w:t>
      </w:r>
      <w:r w:rsidR="004C0220">
        <w:t>lohy</w:t>
      </w:r>
      <w:r w:rsidR="0031514E">
        <w:t xml:space="preserve">, glóbus – </w:t>
      </w:r>
      <w:r w:rsidR="004C0220">
        <w:t>úlohy</w:t>
      </w:r>
      <w:r w:rsidR="0031514E">
        <w:t xml:space="preserve"> s mapou, sova – opakovací ú</w:t>
      </w:r>
      <w:r w:rsidR="004C0220">
        <w:t>lohy</w:t>
      </w:r>
      <w:r w:rsidR="0031514E">
        <w:t>, kladivo – praktick</w:t>
      </w:r>
      <w:r w:rsidR="00F569DE">
        <w:t xml:space="preserve">é úlohy </w:t>
      </w:r>
      <w:r w:rsidR="0031514E">
        <w:t>apod.)</w:t>
      </w:r>
      <w:r w:rsidR="00A90C9F">
        <w:t xml:space="preserve">, </w:t>
      </w:r>
      <w:r w:rsidR="0031514E">
        <w:t>barevné grafické odlišení</w:t>
      </w:r>
      <w:r w:rsidR="00A90C9F">
        <w:t>, případně označení nadpisem. Z hlediska rozmístění v</w:t>
      </w:r>
      <w:r w:rsidR="00376D30">
        <w:t xml:space="preserve"> některých </w:t>
      </w:r>
      <w:r w:rsidR="00E33D8B">
        <w:t>učebnicích</w:t>
      </w:r>
      <w:r w:rsidR="00376D30">
        <w:t xml:space="preserve"> učební úlohy pravidelně </w:t>
      </w:r>
      <w:r w:rsidR="001B3E00">
        <w:t>zakončovaly</w:t>
      </w:r>
      <w:r w:rsidR="00B94982">
        <w:t xml:space="preserve"> (</w:t>
      </w:r>
      <w:r w:rsidR="00E37848">
        <w:t>NČGS,</w:t>
      </w:r>
      <w:r w:rsidR="00B94982">
        <w:t xml:space="preserve"> Prodos)</w:t>
      </w:r>
      <w:r w:rsidR="001B3E00">
        <w:t xml:space="preserve">, případně </w:t>
      </w:r>
      <w:r w:rsidR="00B94982">
        <w:t xml:space="preserve">také </w:t>
      </w:r>
      <w:r w:rsidR="001B3E00">
        <w:t>otvíraly</w:t>
      </w:r>
      <w:r w:rsidR="00B94982">
        <w:t xml:space="preserve"> (SPN)</w:t>
      </w:r>
      <w:r w:rsidR="00E33D8B">
        <w:t xml:space="preserve"> </w:t>
      </w:r>
      <w:r w:rsidR="00FD76D5">
        <w:t>výklad jednotlivých témat či tematických celků</w:t>
      </w:r>
      <w:r w:rsidR="00E33D8B">
        <w:t xml:space="preserve"> učiva</w:t>
      </w:r>
      <w:r w:rsidR="005879A8">
        <w:t xml:space="preserve">, v </w:t>
      </w:r>
      <w:r w:rsidR="00E33D8B">
        <w:t xml:space="preserve">jiných učebnicích byly učební úlohy </w:t>
      </w:r>
      <w:r w:rsidR="00FD76D5">
        <w:t xml:space="preserve">více </w:t>
      </w:r>
      <w:r w:rsidR="00B94982">
        <w:t>rozptýleny</w:t>
      </w:r>
      <w:r w:rsidR="00E37848">
        <w:t xml:space="preserve">. </w:t>
      </w:r>
      <w:r w:rsidR="00A90C9F">
        <w:t>Zde</w:t>
      </w:r>
      <w:r w:rsidR="00E37848">
        <w:t xml:space="preserve"> se učební úlohy mimo výše uvedeného tradičního rozmístění</w:t>
      </w:r>
      <w:r w:rsidR="004C0220">
        <w:t xml:space="preserve"> na konci, příp. na začátku kapitol</w:t>
      </w:r>
      <w:r w:rsidR="00E37848">
        <w:t xml:space="preserve"> </w:t>
      </w:r>
      <w:r w:rsidR="00905343">
        <w:t>nacházely zejména</w:t>
      </w:r>
      <w:r w:rsidR="00E33D8B">
        <w:t xml:space="preserve"> na </w:t>
      </w:r>
      <w:r w:rsidR="00E37848">
        <w:t>levém</w:t>
      </w:r>
      <w:r w:rsidR="00A90C9F">
        <w:t xml:space="preserve"> a pravém graficky zvýrazněném</w:t>
      </w:r>
      <w:r w:rsidR="00E37848">
        <w:t xml:space="preserve"> </w:t>
      </w:r>
      <w:r w:rsidR="00E33D8B">
        <w:t>okraji</w:t>
      </w:r>
      <w:r w:rsidR="00E37848">
        <w:t xml:space="preserve"> </w:t>
      </w:r>
      <w:r w:rsidR="004D57D2">
        <w:t xml:space="preserve">stran </w:t>
      </w:r>
      <w:r w:rsidR="005879A8">
        <w:t>(</w:t>
      </w:r>
      <w:r w:rsidR="004C0220">
        <w:t xml:space="preserve">SPN, </w:t>
      </w:r>
      <w:r w:rsidR="00E37848">
        <w:t>Fraus</w:t>
      </w:r>
      <w:r w:rsidR="005879A8">
        <w:t>), případně průběžně doplňovaly výkladový text (Fraus a Nová škola)</w:t>
      </w:r>
      <w:r w:rsidR="004D57D2">
        <w:t xml:space="preserve"> nebo popisky obrázků (SPN).</w:t>
      </w:r>
      <w:r w:rsidR="00B94982">
        <w:t xml:space="preserve"> </w:t>
      </w:r>
    </w:p>
    <w:p w:rsidR="00376D30" w:rsidRPr="00F7252F" w:rsidRDefault="00141BB0" w:rsidP="00E44F97">
      <w:pPr>
        <w:autoSpaceDE w:val="0"/>
        <w:autoSpaceDN w:val="0"/>
        <w:adjustRightInd w:val="0"/>
        <w:spacing w:after="120" w:line="276" w:lineRule="auto"/>
        <w:jc w:val="both"/>
      </w:pPr>
      <w:r w:rsidRPr="00141BB0">
        <w:t>Z</w:t>
      </w:r>
      <w:r w:rsidR="00376D30" w:rsidRPr="00141BB0">
        <w:t>ájem o učebnice</w:t>
      </w:r>
      <w:r w:rsidR="00376D30" w:rsidRPr="00F35A4C">
        <w:t xml:space="preserve"> a zkoumání jejich vlivu na podobu geografického vzdělávání je dlouhodobý</w:t>
      </w:r>
      <w:r w:rsidR="002A5A4A" w:rsidRPr="00F35A4C">
        <w:t>.</w:t>
      </w:r>
      <w:r w:rsidR="000F4922">
        <w:rPr>
          <w:rStyle w:val="Znakapoznpodarou"/>
        </w:rPr>
        <w:footnoteReference w:id="76"/>
      </w:r>
      <w:r w:rsidR="00376D30" w:rsidRPr="00F35A4C">
        <w:t xml:space="preserve"> Marsden (1989, s. 513) uvádí, že užívání</w:t>
      </w:r>
      <w:r w:rsidR="00376D30">
        <w:t xml:space="preserve"> učebnic během přípravy učitelů na výuku sahá až k samým počátkům školské geografie. Obecně se očekává, že</w:t>
      </w:r>
      <w:r w:rsidR="00376D30" w:rsidRPr="00F35A4C">
        <w:t xml:space="preserve"> učebnice výraznou měrou ovlivňují obsah učiva, se kterým se žáci setkají ve výuce. </w:t>
      </w:r>
      <w:r w:rsidR="00E44F97" w:rsidRPr="00F7252F">
        <w:t xml:space="preserve">Sikorová (2011) realizovala výzkum užívání učebnic na druhém stupni českých základních škol a metodou pozorování. Výzkumný vzorek tvořilo 155 vyučovacích hodin angličtiny, dějepisu, matematiky a občanské výchovy ve 20 odlišných třídách. Autorka jistila, že v 77 ze 119 hodin, ve kterých učitelé pracovali s učebnicí, sloužila učebnice jako zdroj učebních úloh zadávaných žákům. V citované práci se odkazuje na další výzkumy, které indikují, že učební úlohy v učebnicích se v nezanedbatelné míře podílejí na obsahové a cílové skladbě školní výuky. </w:t>
      </w:r>
      <w:r w:rsidR="00E44F97" w:rsidRPr="00F35A4C">
        <w:t>Obdobně podle Ballové a Cohena (1996, s. 6) učebnice mohou plnit roli „agenta“, který skrytě přináší reformní myšlenky přímo do výuky.</w:t>
      </w:r>
      <w:r w:rsidR="00E44F97">
        <w:t xml:space="preserve"> Zmíněný</w:t>
      </w:r>
      <w:r w:rsidR="00376D30" w:rsidRPr="00F35A4C">
        <w:t xml:space="preserve"> předpoklad ale bývá často relativizován. Učitelé vnášejí do interakce s učebnicí svá vlastní přesvědčení, vytvářejí si své vlastní významy skutečností uváděných v učebnici, upřednostňují oblíbené tematické celky učiva, z jejich pohledu neoblíbené nebo neznámé učivo naopak vynechávají apod. (srov. Stará &amp; Krčmářová, 2013). Neplatí tedy, že učitelé, kteří se připravují na výuku z učebnic, automaticky převádějí všechen </w:t>
      </w:r>
      <w:r w:rsidR="00376D30">
        <w:t xml:space="preserve">jejich </w:t>
      </w:r>
      <w:r w:rsidR="00376D30" w:rsidRPr="00F35A4C">
        <w:t>obsah</w:t>
      </w:r>
      <w:r w:rsidR="00376D30">
        <w:t xml:space="preserve"> </w:t>
      </w:r>
      <w:r w:rsidR="00376D30" w:rsidRPr="00F35A4C">
        <w:t>do praxe. Přestože na učebnice není možné spoléhat jako na klíčový prvek v implementaci změn cílového a obsahového pojetí kurikula</w:t>
      </w:r>
      <w:r w:rsidR="00376D30">
        <w:t>,</w:t>
      </w:r>
      <w:r w:rsidR="00376D30" w:rsidRPr="00F35A4C">
        <w:t xml:space="preserve"> a jejich vliv je na podobu výuky je pravděpodobně menší, než se všeobecně předpokládá, souhlasíme s názorem Sikorové (2010, s. 25), že učebnice by měly být materiálem, „který specifikuje a interpretuje kurikulární obsahy a strukturuje je způsobem, který je vhodný [a ž</w:t>
      </w:r>
      <w:r w:rsidR="00306C47">
        <w:t>ádoucí] pro vyučování a učení“.</w:t>
      </w:r>
      <w:r w:rsidR="00BE2CAC">
        <w:t xml:space="preserve"> </w:t>
      </w:r>
      <w:r w:rsidR="00306C47">
        <w:t xml:space="preserve">Dalším důvodem, proč je </w:t>
      </w:r>
      <w:r w:rsidR="00306C47" w:rsidRPr="00F7252F">
        <w:t xml:space="preserve">třeba věnovat analýze učebních úloh v učebnicích </w:t>
      </w:r>
      <w:r w:rsidR="00306C47">
        <w:t>mimořádnou</w:t>
      </w:r>
      <w:r w:rsidR="00306C47" w:rsidRPr="00F7252F">
        <w:t xml:space="preserve"> pozornost</w:t>
      </w:r>
      <w:r w:rsidR="00306C47">
        <w:t>, je vzájemná odlišnost aktuálně používaných učebnic zeměpisu</w:t>
      </w:r>
      <w:r w:rsidR="00E44F97" w:rsidRPr="00F7252F">
        <w:t xml:space="preserve"> (srov. např. Knecht</w:t>
      </w:r>
      <w:r w:rsidR="00E44F97">
        <w:t xml:space="preserve"> &amp;</w:t>
      </w:r>
      <w:r w:rsidR="00E44F97" w:rsidRPr="00F7252F">
        <w:t xml:space="preserve"> Lokajíčková, 2013</w:t>
      </w:r>
      <w:r w:rsidR="00306C47">
        <w:t xml:space="preserve"> aj.</w:t>
      </w:r>
      <w:r w:rsidR="00E44F97" w:rsidRPr="00F7252F">
        <w:t>)</w:t>
      </w:r>
      <w:r w:rsidR="00306C47">
        <w:t>.</w:t>
      </w:r>
    </w:p>
    <w:p w:rsidR="00B767BC" w:rsidRPr="0066330F" w:rsidRDefault="007E079C" w:rsidP="00C96F54">
      <w:pPr>
        <w:spacing w:after="120" w:line="276" w:lineRule="auto"/>
        <w:jc w:val="both"/>
      </w:pPr>
      <w:r>
        <w:t>Zaměření pozornosti na fyzicko</w:t>
      </w:r>
      <w:r w:rsidR="00045EE9">
        <w:t>geografické</w:t>
      </w:r>
      <w:r w:rsidR="0066330F">
        <w:rPr>
          <w:rStyle w:val="Znakapoznpodarou"/>
        </w:rPr>
        <w:footnoteReference w:id="77"/>
      </w:r>
      <w:r w:rsidR="00045EE9">
        <w:t xml:space="preserve"> vzdělávací obsahy zdůvodňujeme postupným opouštěním zájmu české didaktiky geografie o tuto oblast. Nejedná se pouze o ryze český </w:t>
      </w:r>
      <w:r>
        <w:t>geograficko-</w:t>
      </w:r>
      <w:r w:rsidR="00BE55CD">
        <w:t xml:space="preserve">didaktický </w:t>
      </w:r>
      <w:r w:rsidR="00045EE9">
        <w:t xml:space="preserve">problém. Na </w:t>
      </w:r>
      <w:r w:rsidR="00BE55CD">
        <w:t xml:space="preserve">tematický </w:t>
      </w:r>
      <w:r w:rsidR="00045EE9">
        <w:t xml:space="preserve">příklon </w:t>
      </w:r>
      <w:r w:rsidR="00BE55CD">
        <w:t xml:space="preserve">výuky geografie k sociálním </w:t>
      </w:r>
      <w:r w:rsidR="00045EE9">
        <w:t xml:space="preserve">vědám a degradaci </w:t>
      </w:r>
      <w:r w:rsidR="00BE55CD">
        <w:t xml:space="preserve">fyzicko-geografických </w:t>
      </w:r>
      <w:r w:rsidR="00045EE9">
        <w:t xml:space="preserve">vzdělávacích obsahů upozornil již na konci 70. let anglický geograf Gregory (srov. Gregory, 1978). </w:t>
      </w:r>
      <w:r w:rsidR="00BE55CD">
        <w:t>Některé zahraniční výzkumy indikují postupné ubývání fyzickogeografického učiva z učebních plánů růz</w:t>
      </w:r>
      <w:r w:rsidR="00B767BC">
        <w:t>ných typů škol (</w:t>
      </w:r>
      <w:r w:rsidR="009D6DC8">
        <w:t xml:space="preserve">viz </w:t>
      </w:r>
      <w:r w:rsidR="00B767BC">
        <w:t>Keylock, 2006).</w:t>
      </w:r>
      <w:r w:rsidR="009D6DC8">
        <w:t xml:space="preserve"> </w:t>
      </w:r>
      <w:r w:rsidR="009D6DC8" w:rsidRPr="005B2E07">
        <w:t>Vzhledem k absenci výzkumných dat je ovšem otázkou, zda je</w:t>
      </w:r>
      <w:r w:rsidR="009D6DC8" w:rsidRPr="00B767BC">
        <w:t xml:space="preserve"> možné to stejné konstatovat v případě výuky zeměpisu realizované v Česku. </w:t>
      </w:r>
      <w:r w:rsidR="00B767BC">
        <w:t>Konsenzus mezi českými a zahraničními autory je možné patrně nalézt v přesvědčení, že se způsoby výuky fyzické geografie dlouhodobě příliš nemění a jakýmkoli snahám o jejich inovaci by měla být věnována zvýšená pozornost.</w:t>
      </w:r>
      <w:r w:rsidR="00B767BC" w:rsidRPr="00B767BC">
        <w:t xml:space="preserve"> </w:t>
      </w:r>
    </w:p>
    <w:p w:rsidR="008061FD" w:rsidRDefault="00F73ABB" w:rsidP="00B702E3">
      <w:pPr>
        <w:spacing w:after="120" w:line="276" w:lineRule="auto"/>
        <w:jc w:val="both"/>
      </w:pPr>
      <w:r w:rsidRPr="0066330F">
        <w:t xml:space="preserve">Jak dokumentujeme na jiném místě, výuka zeměpisu na základních školách se dlouhodobě potýká s problémem poměrně výrazné disciplinarity </w:t>
      </w:r>
      <w:r w:rsidR="008061FD" w:rsidRPr="0066330F">
        <w:t>projevující se</w:t>
      </w:r>
      <w:r w:rsidRPr="0066330F">
        <w:t xml:space="preserve"> v oddělování fyzicko-geografických a humánně-geografických vzdělávacích obsahů (viz Knecht &amp; Hofmann, 2013), ačkoli žádoucí by bylo patrně jejich vzájemné propojování (srov. Matthews &amp; Herbert, 2004</w:t>
      </w:r>
      <w:r w:rsidR="00306C47">
        <w:t>; v kontextu geografie v ČR viz Hynek, 2011b</w:t>
      </w:r>
      <w:r w:rsidRPr="0066330F">
        <w:t xml:space="preserve">). Podrobnější analýza reálných fyzicko-geografických vzdělávacích obsahů (tj. obsahů, s nimiž jsou žáci ve výuce zeměpisu skutečně konfrontováni) může být interpretována jako první krok v dlouhodobém úsilí o </w:t>
      </w:r>
      <w:r w:rsidR="00C3752D" w:rsidRPr="0066330F">
        <w:t>naléz</w:t>
      </w:r>
      <w:r w:rsidR="00C3752D">
        <w:t>á</w:t>
      </w:r>
      <w:r w:rsidR="00C3752D" w:rsidRPr="0066330F">
        <w:t>ní</w:t>
      </w:r>
      <w:r w:rsidRPr="0066330F">
        <w:t xml:space="preserve"> možných propojů mezi</w:t>
      </w:r>
      <w:r>
        <w:t xml:space="preserve"> fyzickogeografickým a humánně geografickým učivem. Některé z možných propojů na konkrétních příkladech dokumentuje např. Haggett (2001, s. 4</w:t>
      </w:r>
      <w:r w:rsidR="00F04399">
        <w:t>–</w:t>
      </w:r>
      <w:r>
        <w:t xml:space="preserve">31). Vycházíme přitom z přesvědčení, že učivo fyzické geografie představuje platformu pro </w:t>
      </w:r>
      <w:r w:rsidR="00624842">
        <w:t xml:space="preserve">poznání základních geografických pojmů i </w:t>
      </w:r>
      <w:r>
        <w:t>hlubší porozumění vz</w:t>
      </w:r>
      <w:r w:rsidR="00624842">
        <w:t xml:space="preserve">ájemné interakci lidí a (jejich </w:t>
      </w:r>
      <w:r>
        <w:t>životního) prostředí. Tento názor je možné dokumentovat v řadě starších i novějších domácích i zahraničních prací (</w:t>
      </w:r>
      <w:r w:rsidR="00906DDF">
        <w:t xml:space="preserve">srov. </w:t>
      </w:r>
      <w:r w:rsidR="008061FD">
        <w:t xml:space="preserve">Machyček, 1988, s. 9; </w:t>
      </w:r>
      <w:r>
        <w:t>Gregory, 2000, s. 109).</w:t>
      </w:r>
      <w:r w:rsidR="008061FD" w:rsidRPr="008061FD">
        <w:t xml:space="preserve"> </w:t>
      </w:r>
    </w:p>
    <w:p w:rsidR="00F73ABB" w:rsidRDefault="008061FD" w:rsidP="00B702E3">
      <w:pPr>
        <w:spacing w:after="120" w:line="276" w:lineRule="auto"/>
        <w:jc w:val="both"/>
      </w:pPr>
      <w:r>
        <w:t>Výuka fyzické geografie zpravidla bývá kladena na po</w:t>
      </w:r>
      <w:r w:rsidR="00624842">
        <w:t>čátek geografického vzdělávání. Možná právě proto někter</w:t>
      </w:r>
      <w:r w:rsidR="00F04399">
        <w:t xml:space="preserve">é </w:t>
      </w:r>
      <w:r w:rsidR="00624842">
        <w:t>výzkum</w:t>
      </w:r>
      <w:r w:rsidR="00F04399">
        <w:t>y</w:t>
      </w:r>
      <w:r w:rsidR="00624842">
        <w:t xml:space="preserve"> </w:t>
      </w:r>
      <w:r w:rsidR="00F04399">
        <w:t>identifik</w:t>
      </w:r>
      <w:r w:rsidR="00C3752D">
        <w:t>ova</w:t>
      </w:r>
      <w:r w:rsidR="00F04399">
        <w:t xml:space="preserve">ly </w:t>
      </w:r>
      <w:r w:rsidR="00624842">
        <w:t>v případě fyzicko-geografického učiva u žáků některé závažné miskoncepce (Dove, 1998, 1999 aj.). I tato skutečnost může předs</w:t>
      </w:r>
      <w:r w:rsidR="00C3752D">
        <w:t>t</w:t>
      </w:r>
      <w:r w:rsidR="00624842">
        <w:t xml:space="preserve">avovat jeden z argumentů </w:t>
      </w:r>
      <w:r w:rsidR="0066330F">
        <w:t>k legitimizaci našeho zájmu o učivo fyzické geografie.</w:t>
      </w:r>
    </w:p>
    <w:p w:rsidR="00B767BC" w:rsidRDefault="00B767BC" w:rsidP="00B702E3">
      <w:pPr>
        <w:spacing w:after="120" w:line="276" w:lineRule="auto"/>
      </w:pPr>
    </w:p>
    <w:p w:rsidR="006A49CE" w:rsidRDefault="006A49CE" w:rsidP="00B702E3">
      <w:pPr>
        <w:pStyle w:val="Nadpis3"/>
        <w:spacing w:before="0" w:after="120"/>
      </w:pPr>
      <w:bookmarkStart w:id="75" w:name="_Toc399775426"/>
      <w:r>
        <w:t>Druhá část výzkumu: analýza výuk</w:t>
      </w:r>
      <w:r w:rsidR="0063746A">
        <w:t>ových situací</w:t>
      </w:r>
      <w:bookmarkEnd w:id="75"/>
    </w:p>
    <w:p w:rsidR="00CE5437" w:rsidRDefault="00C950AB" w:rsidP="00B702E3">
      <w:pPr>
        <w:spacing w:after="120" w:line="276" w:lineRule="auto"/>
        <w:jc w:val="both"/>
        <w:rPr>
          <w:rFonts w:eastAsia="Calibri"/>
          <w:lang w:eastAsia="en-US"/>
        </w:rPr>
      </w:pPr>
      <w:r w:rsidRPr="00C950AB">
        <w:t>Druhou část výzkumného šetření zaměřen</w:t>
      </w:r>
      <w:r w:rsidR="00315664">
        <w:t>ou</w:t>
      </w:r>
      <w:r>
        <w:t xml:space="preserve"> na analýzu výukových situací</w:t>
      </w:r>
      <w:r w:rsidR="00BC1F14">
        <w:rPr>
          <w:rStyle w:val="Znakapoznpodarou"/>
        </w:rPr>
        <w:footnoteReference w:id="78"/>
      </w:r>
      <w:r>
        <w:t xml:space="preserve"> </w:t>
      </w:r>
      <w:r w:rsidRPr="00C950AB">
        <w:t xml:space="preserve">jsme pojali kvalitativně. </w:t>
      </w:r>
      <w:r w:rsidRPr="00B521C4">
        <w:rPr>
          <w:lang w:eastAsia="en-US"/>
        </w:rPr>
        <w:t xml:space="preserve">Sběr dat byl realizován v přirozeném </w:t>
      </w:r>
      <w:r w:rsidRPr="006044BC">
        <w:rPr>
          <w:lang w:eastAsia="en-US"/>
        </w:rPr>
        <w:t>prostředí školní výuky, uplatněný metodologický přístup lze tedy charakterizovat jako</w:t>
      </w:r>
      <w:r w:rsidRPr="006044BC">
        <w:rPr>
          <w:iCs/>
          <w:lang w:eastAsia="en-US"/>
        </w:rPr>
        <w:t xml:space="preserve"> procesuálně oriento</w:t>
      </w:r>
      <w:r w:rsidRPr="006044BC">
        <w:rPr>
          <w:iCs/>
          <w:lang w:eastAsia="en-US"/>
        </w:rPr>
        <w:softHyphen/>
        <w:t>va</w:t>
      </w:r>
      <w:r w:rsidRPr="006044BC">
        <w:rPr>
          <w:iCs/>
          <w:lang w:eastAsia="en-US"/>
        </w:rPr>
        <w:softHyphen/>
        <w:t xml:space="preserve">ný. </w:t>
      </w:r>
      <w:r w:rsidRPr="006044BC">
        <w:rPr>
          <w:lang w:eastAsia="en-US"/>
        </w:rPr>
        <w:t>Na základě</w:t>
      </w:r>
      <w:r w:rsidRPr="00B521C4">
        <w:rPr>
          <w:lang w:eastAsia="en-US"/>
        </w:rPr>
        <w:t xml:space="preserve"> analýzy </w:t>
      </w:r>
      <w:r w:rsidR="007B16A1">
        <w:rPr>
          <w:lang w:eastAsia="en-US"/>
        </w:rPr>
        <w:t xml:space="preserve">dostupných </w:t>
      </w:r>
      <w:r w:rsidRPr="00B521C4">
        <w:rPr>
          <w:iCs/>
          <w:lang w:eastAsia="en-US"/>
        </w:rPr>
        <w:t xml:space="preserve">videodat </w:t>
      </w:r>
      <w:r w:rsidRPr="00B521C4">
        <w:rPr>
          <w:lang w:eastAsia="en-US"/>
        </w:rPr>
        <w:t xml:space="preserve">jsme se pokusili rekonstruovat výukové situace, v nichž lze pozorovat učební úlohy </w:t>
      </w:r>
      <w:r w:rsidR="007B16A1">
        <w:rPr>
          <w:lang w:eastAsia="en-US"/>
        </w:rPr>
        <w:t>mající potenciál podporovat</w:t>
      </w:r>
      <w:r w:rsidRPr="00B521C4">
        <w:rPr>
          <w:lang w:eastAsia="en-US"/>
        </w:rPr>
        <w:t xml:space="preserve"> utváření a rozvíjení kompetence k řešení problémů.</w:t>
      </w:r>
      <w:r w:rsidR="003B5BD7">
        <w:rPr>
          <w:lang w:eastAsia="en-US"/>
        </w:rPr>
        <w:t xml:space="preserve"> </w:t>
      </w:r>
      <w:r w:rsidR="003B5BD7" w:rsidRPr="00B521C4">
        <w:rPr>
          <w:lang w:eastAsia="en-US"/>
        </w:rPr>
        <w:t xml:space="preserve">Vzhledem k tomu, že učební úlohy ve výuce mají zpravidla povahu verbálních výpovědí (méně často vizuálií), je jádrem uplatněného metodologického přístupu </w:t>
      </w:r>
      <w:r w:rsidR="003B5BD7" w:rsidRPr="00B521C4">
        <w:rPr>
          <w:iCs/>
          <w:lang w:eastAsia="en-US"/>
        </w:rPr>
        <w:t>obsahová analýza transkriptů vyučovacích hodin</w:t>
      </w:r>
      <w:r w:rsidR="003B5BD7" w:rsidRPr="00B521C4">
        <w:rPr>
          <w:lang w:eastAsia="en-US"/>
        </w:rPr>
        <w:t xml:space="preserve">. </w:t>
      </w:r>
      <w:r w:rsidR="003B5BD7" w:rsidRPr="00B521C4">
        <w:t>Pro potřeby této analýzy byly zvoleny situace odehrávající se v tzv. frontálním uspořádání, a to z toho důvodu, že probíhají formou verbální komunikace, kterou lze sledovat v transkriptu hodiny – na rozdíl od učebních úloh organizovaných formou samostatné či skupinové práce.</w:t>
      </w:r>
      <w:r w:rsidR="00CE5437" w:rsidRPr="00CE5437">
        <w:t xml:space="preserve"> </w:t>
      </w:r>
      <w:r w:rsidR="00CE5437">
        <w:t xml:space="preserve">V případě prezentovaného výzkumu jsme využili tzv. záměrný výběr vzorku. Tím je každý výběr, který realizuje badatel na základě svého úsudku, případně dostupných možností. </w:t>
      </w:r>
      <w:r w:rsidR="00CE5437" w:rsidRPr="00B521C4">
        <w:rPr>
          <w:rFonts w:eastAsia="Calibri"/>
          <w:lang w:eastAsia="en-US"/>
        </w:rPr>
        <w:t xml:space="preserve">Empirickou bází našeho výzkumu byly videozáznamy </w:t>
      </w:r>
      <w:r w:rsidR="00CE5437" w:rsidRPr="00B521C4">
        <w:rPr>
          <w:rFonts w:eastAsia="Calibri"/>
          <w:i/>
          <w:lang w:eastAsia="en-US"/>
        </w:rPr>
        <w:t>výuky</w:t>
      </w:r>
      <w:r w:rsidR="00CE5437" w:rsidRPr="00B521C4">
        <w:rPr>
          <w:rFonts w:eastAsia="Calibri"/>
          <w:lang w:eastAsia="en-US"/>
        </w:rPr>
        <w:t xml:space="preserve"> zeměpisu na 2. stupni základní školy, pořízené v rámci projektu </w:t>
      </w:r>
      <w:r w:rsidR="00C75BAC">
        <w:rPr>
          <w:rFonts w:eastAsia="Calibri"/>
          <w:iCs/>
          <w:lang w:eastAsia="en-US"/>
        </w:rPr>
        <w:t xml:space="preserve">IVŠV (dříve CPV) </w:t>
      </w:r>
      <w:r w:rsidR="00CE5437" w:rsidRPr="00B521C4">
        <w:rPr>
          <w:rFonts w:eastAsia="Calibri"/>
          <w:iCs/>
          <w:lang w:eastAsia="en-US"/>
        </w:rPr>
        <w:t>videostudie</w:t>
      </w:r>
      <w:r w:rsidR="00CE5437" w:rsidRPr="00B521C4">
        <w:rPr>
          <w:rFonts w:eastAsia="Calibri"/>
          <w:lang w:eastAsia="en-US"/>
        </w:rPr>
        <w:t xml:space="preserve"> (podrobný popis </w:t>
      </w:r>
      <w:r w:rsidR="00CE5437">
        <w:rPr>
          <w:rFonts w:eastAsia="Calibri"/>
          <w:lang w:eastAsia="en-US"/>
        </w:rPr>
        <w:t xml:space="preserve">skladby výzkumného vzorku a metodiky </w:t>
      </w:r>
      <w:r w:rsidR="00CE5437" w:rsidRPr="00B521C4">
        <w:rPr>
          <w:rFonts w:eastAsia="Calibri"/>
          <w:lang w:eastAsia="en-US"/>
        </w:rPr>
        <w:t>sběru dat viz Hübelová, Janík, &amp; Najvar, 2008).</w:t>
      </w:r>
      <w:r w:rsidR="00CE5437" w:rsidRPr="00FB2F7A">
        <w:t xml:space="preserve"> </w:t>
      </w:r>
      <w:r w:rsidR="00CE5437" w:rsidRPr="00FB2F7A">
        <w:rPr>
          <w:rFonts w:eastAsia="Calibri"/>
          <w:lang w:eastAsia="en-US"/>
        </w:rPr>
        <w:t xml:space="preserve">Zkoumaný soubor obsahuje 50 </w:t>
      </w:r>
      <w:r w:rsidR="00CE5437">
        <w:rPr>
          <w:rFonts w:eastAsia="Calibri"/>
          <w:lang w:eastAsia="en-US"/>
        </w:rPr>
        <w:t xml:space="preserve">videozáznamů </w:t>
      </w:r>
      <w:r w:rsidR="00CE5437" w:rsidRPr="00FB2F7A">
        <w:rPr>
          <w:rFonts w:eastAsia="Calibri"/>
          <w:lang w:eastAsia="en-US"/>
        </w:rPr>
        <w:t>vyučovacích hodin zeměpisu</w:t>
      </w:r>
      <w:r w:rsidR="00CE5437">
        <w:rPr>
          <w:rFonts w:eastAsia="Calibri"/>
          <w:lang w:eastAsia="en-US"/>
        </w:rPr>
        <w:t xml:space="preserve"> </w:t>
      </w:r>
      <w:r w:rsidR="00CE5437" w:rsidRPr="00FB2F7A">
        <w:rPr>
          <w:rFonts w:eastAsia="Calibri"/>
          <w:lang w:eastAsia="en-US"/>
        </w:rPr>
        <w:t>k</w:t>
      </w:r>
      <w:r w:rsidR="00CE5437">
        <w:rPr>
          <w:rFonts w:eastAsia="Calibri"/>
          <w:lang w:eastAsia="en-US"/>
        </w:rPr>
        <w:t xml:space="preserve"> tématu „přírodní podmínky ČR“ pořízených v </w:t>
      </w:r>
      <w:r w:rsidR="00CE5437" w:rsidRPr="00FB2F7A">
        <w:rPr>
          <w:rFonts w:eastAsia="Calibri"/>
          <w:lang w:eastAsia="en-US"/>
        </w:rPr>
        <w:t>průběhu školního roku 2005/</w:t>
      </w:r>
      <w:r w:rsidR="00CE5437">
        <w:rPr>
          <w:rFonts w:eastAsia="Calibri"/>
          <w:lang w:eastAsia="en-US"/>
        </w:rPr>
        <w:t>20</w:t>
      </w:r>
      <w:r w:rsidR="00CE5437" w:rsidRPr="00FB2F7A">
        <w:rPr>
          <w:rFonts w:eastAsia="Calibri"/>
          <w:lang w:eastAsia="en-US"/>
        </w:rPr>
        <w:t>06</w:t>
      </w:r>
      <w:r w:rsidR="00CE5437">
        <w:rPr>
          <w:rFonts w:eastAsia="Calibri"/>
          <w:lang w:eastAsia="en-US"/>
        </w:rPr>
        <w:t>.</w:t>
      </w:r>
      <w:r w:rsidR="00CE5437">
        <w:rPr>
          <w:rStyle w:val="Znakapoznpodarou"/>
          <w:rFonts w:eastAsia="Calibri"/>
          <w:lang w:eastAsia="en-US"/>
        </w:rPr>
        <w:footnoteReference w:id="79"/>
      </w:r>
      <w:r w:rsidR="007B16A1">
        <w:rPr>
          <w:rFonts w:eastAsia="Calibri"/>
          <w:lang w:eastAsia="en-US"/>
        </w:rPr>
        <w:t xml:space="preserve"> Výběr výzkumného vzorku nebyl pouze pragmatický</w:t>
      </w:r>
      <w:r w:rsidR="00534C10">
        <w:rPr>
          <w:rFonts w:eastAsia="Calibri"/>
          <w:lang w:eastAsia="en-US"/>
        </w:rPr>
        <w:t xml:space="preserve"> a utilitární</w:t>
      </w:r>
      <w:r w:rsidR="008E1409">
        <w:rPr>
          <w:rFonts w:eastAsia="Calibri"/>
          <w:lang w:eastAsia="en-US"/>
        </w:rPr>
        <w:t xml:space="preserve"> (sběr videodat je extrémně časově i personálně náročný). Snažili jsme se zachovat </w:t>
      </w:r>
      <w:r w:rsidR="00C75BAC">
        <w:rPr>
          <w:rFonts w:eastAsia="Calibri"/>
          <w:lang w:eastAsia="en-US"/>
        </w:rPr>
        <w:t xml:space="preserve">návaznost </w:t>
      </w:r>
      <w:r w:rsidR="00963351">
        <w:rPr>
          <w:rFonts w:eastAsia="Calibri"/>
          <w:lang w:eastAsia="en-US"/>
        </w:rPr>
        <w:t xml:space="preserve">na naše dřívější výzkumné práce </w:t>
      </w:r>
      <w:r w:rsidR="00C75BAC">
        <w:rPr>
          <w:rFonts w:eastAsia="Calibri"/>
          <w:lang w:eastAsia="en-US"/>
        </w:rPr>
        <w:t xml:space="preserve">s cílem </w:t>
      </w:r>
      <w:r w:rsidR="006B14F1">
        <w:rPr>
          <w:rFonts w:eastAsia="Calibri"/>
          <w:lang w:eastAsia="en-US"/>
        </w:rPr>
        <w:t>obohatit a rozšířit</w:t>
      </w:r>
      <w:r w:rsidR="00963351">
        <w:rPr>
          <w:rFonts w:eastAsia="Calibri"/>
          <w:lang w:eastAsia="en-US"/>
        </w:rPr>
        <w:t xml:space="preserve"> </w:t>
      </w:r>
      <w:r w:rsidR="006B14F1">
        <w:rPr>
          <w:rFonts w:eastAsia="Calibri"/>
          <w:lang w:eastAsia="en-US"/>
        </w:rPr>
        <w:t>již existující</w:t>
      </w:r>
      <w:r w:rsidR="00C75BAC">
        <w:rPr>
          <w:rFonts w:eastAsia="Calibri"/>
          <w:lang w:eastAsia="en-US"/>
        </w:rPr>
        <w:t xml:space="preserve"> analýzy </w:t>
      </w:r>
      <w:r w:rsidR="00676FFB">
        <w:rPr>
          <w:rFonts w:eastAsia="Calibri"/>
          <w:lang w:eastAsia="en-US"/>
        </w:rPr>
        <w:t xml:space="preserve">videozáznamů </w:t>
      </w:r>
      <w:r w:rsidR="00C75BAC">
        <w:rPr>
          <w:rFonts w:eastAsia="Calibri"/>
          <w:lang w:eastAsia="en-US"/>
        </w:rPr>
        <w:t>publikovan</w:t>
      </w:r>
      <w:r w:rsidR="00676FFB">
        <w:rPr>
          <w:rFonts w:eastAsia="Calibri"/>
          <w:lang w:eastAsia="en-US"/>
        </w:rPr>
        <w:t>é</w:t>
      </w:r>
      <w:r w:rsidR="00C75BAC">
        <w:rPr>
          <w:rFonts w:eastAsia="Calibri"/>
          <w:lang w:eastAsia="en-US"/>
        </w:rPr>
        <w:t xml:space="preserve"> v rámci </w:t>
      </w:r>
      <w:r w:rsidR="00676FFB">
        <w:rPr>
          <w:rFonts w:eastAsia="Calibri"/>
          <w:lang w:eastAsia="en-US"/>
        </w:rPr>
        <w:t>IVŠV videostudie zeměpisu</w:t>
      </w:r>
      <w:r w:rsidR="00534C10">
        <w:rPr>
          <w:rFonts w:eastAsia="Calibri"/>
          <w:lang w:eastAsia="en-US"/>
        </w:rPr>
        <w:t xml:space="preserve"> </w:t>
      </w:r>
      <w:r w:rsidR="006B14F1">
        <w:rPr>
          <w:rFonts w:eastAsia="Calibri"/>
          <w:lang w:eastAsia="en-US"/>
        </w:rPr>
        <w:t>o</w:t>
      </w:r>
      <w:r w:rsidR="00805878">
        <w:rPr>
          <w:rFonts w:eastAsia="Calibri"/>
          <w:lang w:eastAsia="en-US"/>
        </w:rPr>
        <w:t xml:space="preserve"> nové</w:t>
      </w:r>
      <w:r w:rsidR="00534C10">
        <w:rPr>
          <w:rFonts w:eastAsia="Calibri"/>
          <w:lang w:eastAsia="en-US"/>
        </w:rPr>
        <w:t xml:space="preserve"> aspekty.</w:t>
      </w:r>
    </w:p>
    <w:p w:rsidR="00CE5437" w:rsidRDefault="00CE5437" w:rsidP="00B702E3">
      <w:pPr>
        <w:spacing w:after="120" w:line="276" w:lineRule="auto"/>
        <w:jc w:val="both"/>
      </w:pPr>
      <w:r w:rsidRPr="005003D0">
        <w:t xml:space="preserve">Skutečnost, že je v této studii analyzována reálná výuka z doby před zavedením školních vzdělávacích programů, nepovažujeme za limitující z hlediska cílů, jež si studie klade. Nelze předpokládat, že zavedení reformy v masivní míře přineslo do výuky situace, jež podporují utváření a rozvíjení kompetence k řešení problémů. </w:t>
      </w:r>
      <w:r>
        <w:t>Jak uvádíme již v úvodu, cílem prezentovaného výzkumu není bilance aktuálně doznívající kurikulární reformy, byť se ukazuje, že reforma mnoha ohledech zdaleka nenaplnila očekávání s ní spojovaná (srov. Janík, 2013 aj.).</w:t>
      </w:r>
    </w:p>
    <w:p w:rsidR="00C16949" w:rsidRDefault="00B45718" w:rsidP="00B702E3">
      <w:pPr>
        <w:spacing w:after="120" w:line="276" w:lineRule="auto"/>
        <w:jc w:val="both"/>
      </w:pPr>
      <w:r>
        <w:t>Nabízí se otázka, proč nebyl výběr výzkumného vzorku v obou fázích výzkumu tematicky identický</w:t>
      </w:r>
      <w:r w:rsidR="003D64EF">
        <w:t xml:space="preserve"> (zaměření buď na učebnice a výuku týkající se přírodních </w:t>
      </w:r>
      <w:r w:rsidR="00C3752D">
        <w:t>p</w:t>
      </w:r>
      <w:r w:rsidR="003D64EF">
        <w:t xml:space="preserve">odmínek ČR, nebo na učebnice a výuku obecné fyzické geografie). </w:t>
      </w:r>
      <w:r w:rsidR="00D826AD" w:rsidRPr="00D826AD">
        <w:t>Výběr výzkumného vzorku pro druhou fázi výzkumu jsme přizpůsobili charakteru dat, která byla k dispozici. Druhá fáze výzkumu spočívala v analýze již dříve pořízených videozáznamů vyučovacích hodin zeměpisu týkajících se učiva fyzické geografie ČR. Vycházíme z předpokladu, že učivo obecné fyzické geografie (srov. 1. část výzkumu) je ve výuce aplikováno na příkladu regionů různého měřítka</w:t>
      </w:r>
      <w:r w:rsidR="00D826AD">
        <w:t xml:space="preserve"> (2. část výzkumu)</w:t>
      </w:r>
      <w:r w:rsidR="00D826AD" w:rsidRPr="00D826AD">
        <w:t>.</w:t>
      </w:r>
      <w:r w:rsidR="006C61C3">
        <w:t xml:space="preserve"> </w:t>
      </w:r>
      <w:r w:rsidR="00D826AD" w:rsidRPr="00D826AD">
        <w:t xml:space="preserve">Zvolený způsob výběru výzkumného vzorku umožňuje detailněji popsat charakter příležitostí k učení, se kterými žák může být konfrontován v průběhu výuky fyzické geografie. </w:t>
      </w:r>
      <w:r w:rsidR="00C83E4B">
        <w:t>Tematická nekonzistence výzkumných dat nám pochopitelně neumožňuje podrobněji popsat kurikulární překryvy mezi učebnicemi a reálnou výukou.</w:t>
      </w:r>
      <w:r w:rsidR="00381992">
        <w:t xml:space="preserve"> Výpovědi o případných kurikulárních překryvech by vzhledem k charakteru výzkumných dat byly značně omezené</w:t>
      </w:r>
      <w:r w:rsidR="000362BC">
        <w:t xml:space="preserve">, neboť </w:t>
      </w:r>
      <w:r w:rsidRPr="00B45718">
        <w:t>chybějí kontextová data o tom, s jakými učebnicemi žáci pracovali v hodinách analy</w:t>
      </w:r>
      <w:r w:rsidR="000362BC">
        <w:t>zovaných ve druhé fázi výzkumu. Tematick</w:t>
      </w:r>
      <w:r w:rsidR="002D4FA5">
        <w:t xml:space="preserve">ou </w:t>
      </w:r>
      <w:r w:rsidR="000362BC">
        <w:t>orientac</w:t>
      </w:r>
      <w:r w:rsidR="002D4FA5">
        <w:t>i</w:t>
      </w:r>
      <w:r w:rsidR="000362BC">
        <w:t xml:space="preserve"> první části výzkumu na </w:t>
      </w:r>
      <w:r w:rsidR="002D4FA5">
        <w:t xml:space="preserve">učivo obecné fyzické geografie </w:t>
      </w:r>
      <w:r w:rsidR="007E079C">
        <w:t>lze</w:t>
      </w:r>
      <w:r w:rsidR="002D4FA5">
        <w:t xml:space="preserve"> zdůvodnit také pragmaticky. U</w:t>
      </w:r>
      <w:r w:rsidRPr="00B45718">
        <w:t xml:space="preserve">čebnice regionální geografie ČR jsou </w:t>
      </w:r>
      <w:r w:rsidR="002D4FA5">
        <w:t xml:space="preserve">jednak </w:t>
      </w:r>
      <w:r w:rsidR="00235498">
        <w:t xml:space="preserve">regionálně i kontextově </w:t>
      </w:r>
      <w:r w:rsidRPr="00B45718">
        <w:t>specifické, což znemožňuje realizaci dalších analýz založených například na srovnávání českých a zahraničních učebnic</w:t>
      </w:r>
      <w:r w:rsidR="002D4FA5">
        <w:t xml:space="preserve"> a jednak jsou obecné fyzickogeografické vzdělávací obsahy relativně stabilní </w:t>
      </w:r>
      <w:r w:rsidRPr="00B45718">
        <w:t>(</w:t>
      </w:r>
      <w:r w:rsidR="002D4FA5">
        <w:t xml:space="preserve">srov. </w:t>
      </w:r>
      <w:r w:rsidRPr="00B45718">
        <w:t>Rawling, 2001, s. 22), což vytváří prostor pro realizaci historicko-srovnávacích analýz učebnic i výuky.</w:t>
      </w:r>
    </w:p>
    <w:p w:rsidR="00C16949" w:rsidRDefault="00C16949" w:rsidP="002B33DC">
      <w:pPr>
        <w:rPr>
          <w:sz w:val="23"/>
          <w:szCs w:val="23"/>
        </w:rPr>
      </w:pPr>
    </w:p>
    <w:p w:rsidR="004B18BC" w:rsidRDefault="00D23306" w:rsidP="00AB0167">
      <w:pPr>
        <w:pStyle w:val="Nadpis2"/>
      </w:pPr>
      <w:bookmarkStart w:id="76" w:name="_Toc399775427"/>
      <w:r>
        <w:t xml:space="preserve">Metodika </w:t>
      </w:r>
      <w:r w:rsidR="00315664">
        <w:t>výzkumu</w:t>
      </w:r>
      <w:bookmarkEnd w:id="76"/>
    </w:p>
    <w:p w:rsidR="004B18BC" w:rsidRDefault="004B18BC" w:rsidP="00FD5CB1">
      <w:pPr>
        <w:tabs>
          <w:tab w:val="left" w:pos="1106"/>
        </w:tabs>
        <w:suppressAutoHyphens/>
        <w:autoSpaceDN w:val="0"/>
        <w:spacing w:after="120" w:line="276" w:lineRule="auto"/>
        <w:jc w:val="both"/>
        <w:rPr>
          <w:kern w:val="3"/>
          <w:lang w:eastAsia="zh-CN"/>
        </w:rPr>
      </w:pPr>
      <w:r w:rsidRPr="00AB0167">
        <w:rPr>
          <w:kern w:val="3"/>
          <w:lang w:eastAsia="zh-CN"/>
        </w:rPr>
        <w:t xml:space="preserve">Hlavní použitou výzkumnou metodou je obsahová analýza. </w:t>
      </w:r>
      <w:r w:rsidR="00AB0167">
        <w:rPr>
          <w:kern w:val="3"/>
          <w:lang w:eastAsia="zh-CN"/>
        </w:rPr>
        <w:t>V souladu s metodologickou literaturou v prezentovaném výzkumu striktně neoddělujeme</w:t>
      </w:r>
      <w:r w:rsidRPr="00AB0167">
        <w:rPr>
          <w:kern w:val="3"/>
          <w:lang w:eastAsia="zh-CN"/>
        </w:rPr>
        <w:t xml:space="preserve"> kvantitativní a kvalitativní obsahovou analýzu (srov. </w:t>
      </w:r>
      <w:r w:rsidR="00AB0167">
        <w:rPr>
          <w:kern w:val="3"/>
          <w:lang w:eastAsia="zh-CN"/>
        </w:rPr>
        <w:t>n</w:t>
      </w:r>
      <w:r w:rsidRPr="00AB0167">
        <w:rPr>
          <w:kern w:val="3"/>
          <w:lang w:eastAsia="zh-CN"/>
        </w:rPr>
        <w:t>apř. Früh, 2004, s. 67). Praktická realizace výzkumu založeného na kvalitativní i kvantitativní obsahové analýze totiž ukazuje, že oba přístupy spolu úzce souvisí (často se zaměřují na tentýž předmět výzkumu)</w:t>
      </w:r>
      <w:r w:rsidR="00306C47">
        <w:rPr>
          <w:kern w:val="3"/>
          <w:lang w:eastAsia="zh-CN"/>
        </w:rPr>
        <w:t>,</w:t>
      </w:r>
      <w:r w:rsidRPr="00AB0167">
        <w:rPr>
          <w:kern w:val="3"/>
          <w:lang w:eastAsia="zh-CN"/>
        </w:rPr>
        <w:t xml:space="preserve"> a dokonce spolu mohou prolínat. Böhm-Kasper, Schuchart, &amp; Weishaupt (2009, s. 90) v této souvislosti rozlišují čtyři roviny obsahové analýzy. V první rovině obsahová analýza zprostředkovává informace o relativních četnostech výskytu pozorovaných fenoménů. Druhá rovina obsahové analýzy vypovídá o přítomnosti určitých fenoménů a o tom, které fenomény není možné v očekávané míře </w:t>
      </w:r>
      <w:r w:rsidR="005B2183">
        <w:rPr>
          <w:kern w:val="3"/>
          <w:lang w:eastAsia="zh-CN"/>
        </w:rPr>
        <w:t>pozorovat, a v některých případ</w:t>
      </w:r>
      <w:r w:rsidRPr="00AB0167">
        <w:rPr>
          <w:kern w:val="3"/>
          <w:lang w:eastAsia="zh-CN"/>
        </w:rPr>
        <w:t xml:space="preserve">ech ani nejsou v kategoriálním systému zahrnuty. Ve třetí rovině obsahové analýzy je možné odhalit skryté významy a souvislosti pozorovaných skutečností. Čtvrtá rovina obsahové analýzy vypovídá o tematické relevanci pozorovaných fenoménů, neboli o tom, do jaké míry pozorované fenomény odrážejí každodenní, resp. (respondentem nebo výzkumníkem) nezkreslenou realitu. Zatímco první a druhou rovinu je možné přiřadit spíše ke kvantitativnímu výzkumnému paradigmatu, třetí a čtvrtá rovina je typická spíše pro kvalitativní výzkumné přístupy. </w:t>
      </w:r>
      <w:r w:rsidR="003D24CF">
        <w:rPr>
          <w:kern w:val="3"/>
          <w:lang w:eastAsia="zh-CN"/>
        </w:rPr>
        <w:t>V prezentovaném výzkum</w:t>
      </w:r>
      <w:r w:rsidR="00D30859">
        <w:rPr>
          <w:kern w:val="3"/>
          <w:lang w:eastAsia="zh-CN"/>
        </w:rPr>
        <w:t>u</w:t>
      </w:r>
      <w:r w:rsidR="003D24CF">
        <w:rPr>
          <w:kern w:val="3"/>
          <w:lang w:eastAsia="zh-CN"/>
        </w:rPr>
        <w:t xml:space="preserve"> jsme usilovali o zachycení informací</w:t>
      </w:r>
      <w:r w:rsidRPr="00AB0167">
        <w:rPr>
          <w:kern w:val="3"/>
          <w:lang w:eastAsia="zh-CN"/>
        </w:rPr>
        <w:t xml:space="preserve"> týkající</w:t>
      </w:r>
      <w:r w:rsidR="003D24CF">
        <w:rPr>
          <w:kern w:val="3"/>
          <w:lang w:eastAsia="zh-CN"/>
        </w:rPr>
        <w:t>ch</w:t>
      </w:r>
      <w:r w:rsidRPr="00AB0167">
        <w:rPr>
          <w:kern w:val="3"/>
          <w:lang w:eastAsia="zh-CN"/>
        </w:rPr>
        <w:t xml:space="preserve"> se všech zmíněných rovin obsahové analýzy. </w:t>
      </w:r>
      <w:r w:rsidR="003D24CF">
        <w:rPr>
          <w:kern w:val="3"/>
          <w:lang w:eastAsia="zh-CN"/>
        </w:rPr>
        <w:t>Kombinaci</w:t>
      </w:r>
      <w:r w:rsidRPr="00AB0167">
        <w:rPr>
          <w:kern w:val="3"/>
          <w:lang w:eastAsia="zh-CN"/>
        </w:rPr>
        <w:t xml:space="preserve"> postupů kvantitativní i kvalitativní obsahové analýzy</w:t>
      </w:r>
      <w:r w:rsidR="003D24CF">
        <w:rPr>
          <w:kern w:val="3"/>
          <w:lang w:eastAsia="zh-CN"/>
        </w:rPr>
        <w:t xml:space="preserve"> vnímáme jako téměř ideální cestu</w:t>
      </w:r>
      <w:r w:rsidRPr="00AB0167">
        <w:rPr>
          <w:kern w:val="3"/>
          <w:lang w:eastAsia="zh-CN"/>
        </w:rPr>
        <w:t xml:space="preserve"> k překlenutí nevýhod kvalitativní i kvantitativní analýzy vedoucí ke komplexnímu výzkumnému uchopení zkoumaných skutečností a k vyčerpávající odpovědi na stanovené výzkumné otázky (podrobněji viz Merten, 1995, s. 53; Franzosi, 2004, s. 189). </w:t>
      </w:r>
    </w:p>
    <w:p w:rsidR="00FF6C64" w:rsidRPr="00AB0167" w:rsidRDefault="00FF6C64" w:rsidP="004B18BC">
      <w:pPr>
        <w:tabs>
          <w:tab w:val="left" w:pos="1106"/>
        </w:tabs>
        <w:suppressAutoHyphens/>
        <w:autoSpaceDN w:val="0"/>
        <w:spacing w:after="120"/>
        <w:jc w:val="both"/>
        <w:rPr>
          <w:kern w:val="3"/>
          <w:lang w:eastAsia="zh-CN"/>
        </w:rPr>
      </w:pPr>
    </w:p>
    <w:p w:rsidR="00D23306" w:rsidRPr="005B2183" w:rsidRDefault="00D23306" w:rsidP="00D23306">
      <w:pPr>
        <w:pStyle w:val="Nadpis3"/>
      </w:pPr>
      <w:bookmarkStart w:id="77" w:name="_Toc399775428"/>
      <w:r w:rsidRPr="005B2183">
        <w:t>Design výzkumu</w:t>
      </w:r>
      <w:bookmarkEnd w:id="77"/>
    </w:p>
    <w:p w:rsidR="0026404F" w:rsidRPr="00C76B25" w:rsidRDefault="0026404F" w:rsidP="0026404F">
      <w:pPr>
        <w:spacing w:after="120" w:line="276" w:lineRule="auto"/>
        <w:jc w:val="both"/>
      </w:pPr>
      <w:r w:rsidRPr="00C76B25">
        <w:t xml:space="preserve">Výzkum </w:t>
      </w:r>
      <w:r>
        <w:t xml:space="preserve">probíhal v letech 2012–2014 a byl </w:t>
      </w:r>
      <w:r w:rsidRPr="00C76B25">
        <w:t xml:space="preserve">rozdělen do čtyř navazujících fází, které se odlišují povahou výzkumné činnosti a použitými výzkumnými postupy. Na první dvě fáze, jež představují </w:t>
      </w:r>
      <w:r w:rsidRPr="00C76B25">
        <w:rPr>
          <w:i/>
          <w:iCs/>
        </w:rPr>
        <w:t>přípravnou část výzkumu</w:t>
      </w:r>
      <w:r w:rsidRPr="00C76B25">
        <w:rPr>
          <w:iCs/>
        </w:rPr>
        <w:t>,</w:t>
      </w:r>
      <w:r w:rsidRPr="00C76B25">
        <w:t xml:space="preserve"> navazuje třetí a čtvrtá fáze, které představují </w:t>
      </w:r>
      <w:r w:rsidRPr="00C76B25">
        <w:rPr>
          <w:i/>
          <w:iCs/>
        </w:rPr>
        <w:t>realizační část výzkumu</w:t>
      </w:r>
      <w:r w:rsidRPr="00C76B25">
        <w:t xml:space="preserve"> (srov. obrázek </w:t>
      </w:r>
      <w:r>
        <w:t>15</w:t>
      </w:r>
      <w:r w:rsidRPr="00C76B25">
        <w:t xml:space="preserve">). </w:t>
      </w:r>
    </w:p>
    <w:p w:rsidR="00D23306" w:rsidRDefault="00D23306" w:rsidP="00D23306">
      <w:pPr>
        <w:pStyle w:val="Standard"/>
        <w:tabs>
          <w:tab w:val="left" w:pos="1106"/>
        </w:tabs>
        <w:spacing w:after="120" w:line="240" w:lineRule="auto"/>
        <w:jc w:val="both"/>
        <w:rPr>
          <w:rFonts w:eastAsia="Times New Roman"/>
          <w:sz w:val="24"/>
          <w:szCs w:val="24"/>
          <w:highlight w:val="yellow"/>
        </w:rPr>
      </w:pPr>
    </w:p>
    <w:p w:rsidR="00DF44D9" w:rsidRDefault="0026404F" w:rsidP="00DF44D9">
      <w:pPr>
        <w:spacing w:line="360" w:lineRule="auto"/>
        <w:jc w:val="center"/>
      </w:pPr>
      <w:r>
        <w:rPr>
          <w:noProof/>
        </w:rPr>
        <w:drawing>
          <wp:inline distT="0" distB="0" distL="0" distR="0">
            <wp:extent cx="5428890" cy="4856672"/>
            <wp:effectExtent l="19050" t="0" r="360" b="0"/>
            <wp:docPr id="8" name="Obrázek 7" descr="vyzk. desig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yzk. design.PNG"/>
                    <pic:cNvPicPr/>
                  </pic:nvPicPr>
                  <pic:blipFill>
                    <a:blip r:embed="rId26" cstate="print"/>
                    <a:stretch>
                      <a:fillRect/>
                    </a:stretch>
                  </pic:blipFill>
                  <pic:spPr>
                    <a:xfrm>
                      <a:off x="0" y="0"/>
                      <a:ext cx="5431441" cy="4858954"/>
                    </a:xfrm>
                    <a:prstGeom prst="rect">
                      <a:avLst/>
                    </a:prstGeom>
                  </pic:spPr>
                </pic:pic>
              </a:graphicData>
            </a:graphic>
          </wp:inline>
        </w:drawing>
      </w:r>
    </w:p>
    <w:p w:rsidR="00111F2F" w:rsidRPr="001C1FE3" w:rsidRDefault="001C1FE3" w:rsidP="001E0A15">
      <w:pPr>
        <w:pStyle w:val="Titulek"/>
        <w:rPr>
          <w:b w:val="0"/>
          <w:sz w:val="24"/>
          <w:highlight w:val="yellow"/>
        </w:rPr>
      </w:pPr>
      <w:bookmarkStart w:id="78" w:name="_Toc399789153"/>
      <w:r w:rsidRPr="001C1FE3">
        <w:rPr>
          <w:b w:val="0"/>
          <w:i/>
          <w:sz w:val="24"/>
        </w:rPr>
        <w:t xml:space="preserve">Obrázek </w:t>
      </w:r>
      <w:r w:rsidR="003818A1" w:rsidRPr="001C1FE3">
        <w:rPr>
          <w:b w:val="0"/>
          <w:i/>
          <w:sz w:val="24"/>
        </w:rPr>
        <w:fldChar w:fldCharType="begin"/>
      </w:r>
      <w:r w:rsidRPr="001C1FE3">
        <w:rPr>
          <w:b w:val="0"/>
          <w:i/>
          <w:sz w:val="24"/>
        </w:rPr>
        <w:instrText xml:space="preserve"> SEQ Obrázek \* ARABIC </w:instrText>
      </w:r>
      <w:r w:rsidR="003818A1" w:rsidRPr="001C1FE3">
        <w:rPr>
          <w:b w:val="0"/>
          <w:i/>
          <w:sz w:val="24"/>
        </w:rPr>
        <w:fldChar w:fldCharType="separate"/>
      </w:r>
      <w:r w:rsidR="00FB20B9">
        <w:rPr>
          <w:b w:val="0"/>
          <w:i/>
          <w:noProof/>
          <w:sz w:val="24"/>
        </w:rPr>
        <w:t>15</w:t>
      </w:r>
      <w:r w:rsidR="003818A1" w:rsidRPr="001C1FE3">
        <w:rPr>
          <w:b w:val="0"/>
          <w:i/>
          <w:sz w:val="24"/>
        </w:rPr>
        <w:fldChar w:fldCharType="end"/>
      </w:r>
      <w:r>
        <w:rPr>
          <w:b w:val="0"/>
          <w:i/>
          <w:sz w:val="24"/>
        </w:rPr>
        <w:t xml:space="preserve">. </w:t>
      </w:r>
      <w:r>
        <w:rPr>
          <w:b w:val="0"/>
          <w:sz w:val="24"/>
        </w:rPr>
        <w:t>Schéma výzkumného designu.</w:t>
      </w:r>
      <w:bookmarkEnd w:id="78"/>
    </w:p>
    <w:p w:rsidR="001E0A15" w:rsidRDefault="001E0A15" w:rsidP="001E0A15">
      <w:pPr>
        <w:spacing w:after="120" w:line="276" w:lineRule="auto"/>
        <w:jc w:val="both"/>
      </w:pPr>
    </w:p>
    <w:p w:rsidR="00293D0B" w:rsidRPr="00C76B25" w:rsidRDefault="00111F2F" w:rsidP="00C76B25">
      <w:pPr>
        <w:spacing w:after="120" w:line="276" w:lineRule="auto"/>
        <w:jc w:val="both"/>
      </w:pPr>
      <w:r w:rsidRPr="00C76B25">
        <w:rPr>
          <w:i/>
          <w:iCs/>
        </w:rPr>
        <w:t>První fáze</w:t>
      </w:r>
      <w:r w:rsidRPr="00C76B25">
        <w:t xml:space="preserve"> je zaměřena na proniknutí do současného stavu poznání a </w:t>
      </w:r>
      <w:r w:rsidR="00EC365D" w:rsidRPr="00C76B25">
        <w:t xml:space="preserve">spočívá především v </w:t>
      </w:r>
      <w:r w:rsidRPr="00C76B25">
        <w:t xml:space="preserve">rešerši související literatury (teoretických prací i empirických výzkumů). </w:t>
      </w:r>
      <w:r w:rsidR="00EC365D" w:rsidRPr="00C76B25">
        <w:t xml:space="preserve">Cílem </w:t>
      </w:r>
      <w:r w:rsidRPr="00C76B25">
        <w:t xml:space="preserve">je </w:t>
      </w:r>
      <w:r w:rsidR="00293D0B" w:rsidRPr="00C76B25">
        <w:t>navrhnout teoretický model, s jehož využitím je možné identifikovat, popisovat a analyzovat vybrané kvality problémových učebních úloh.</w:t>
      </w:r>
    </w:p>
    <w:p w:rsidR="00111F2F" w:rsidRPr="00C76B25" w:rsidRDefault="00293D0B" w:rsidP="00C76B25">
      <w:pPr>
        <w:spacing w:after="120" w:line="276" w:lineRule="auto"/>
        <w:jc w:val="both"/>
      </w:pPr>
      <w:r w:rsidRPr="00C76B25">
        <w:rPr>
          <w:i/>
          <w:iCs/>
        </w:rPr>
        <w:t>Druhá fáze</w:t>
      </w:r>
      <w:r w:rsidRPr="00C76B25">
        <w:t xml:space="preserve"> spočívá v rozpracování teoretického modelu do kategoriálního systému</w:t>
      </w:r>
      <w:r w:rsidR="00E141CA" w:rsidRPr="00C76B25">
        <w:t>.</w:t>
      </w:r>
      <w:r w:rsidR="006C61C3">
        <w:t xml:space="preserve"> </w:t>
      </w:r>
      <w:r w:rsidR="00E141CA" w:rsidRPr="00C76B25">
        <w:t>Cílem je vytvořit kategoriální systém splňující kritéria validity a reliability definovaná metodologickými standardy.</w:t>
      </w:r>
      <w:r w:rsidR="006C61C3">
        <w:t xml:space="preserve"> </w:t>
      </w:r>
    </w:p>
    <w:p w:rsidR="00F52A50" w:rsidRPr="00C76B25" w:rsidRDefault="00111F2F" w:rsidP="00C76B25">
      <w:pPr>
        <w:spacing w:after="120" w:line="276" w:lineRule="auto"/>
        <w:jc w:val="both"/>
      </w:pPr>
      <w:r w:rsidRPr="00C76B25">
        <w:t xml:space="preserve">Ve </w:t>
      </w:r>
      <w:r w:rsidRPr="00C76B25">
        <w:rPr>
          <w:i/>
          <w:iCs/>
        </w:rPr>
        <w:t>třetí fázi</w:t>
      </w:r>
      <w:r w:rsidRPr="00C76B25">
        <w:t xml:space="preserve"> je uskutečňována analýza vybraných učebnic </w:t>
      </w:r>
      <w:r w:rsidR="00F52A50" w:rsidRPr="00C76B25">
        <w:t>fyzického</w:t>
      </w:r>
      <w:r w:rsidRPr="00C76B25">
        <w:t xml:space="preserve"> zeměpisu prostřednictvím navrženého kategoriálního systému. </w:t>
      </w:r>
      <w:r w:rsidR="00F52A50" w:rsidRPr="00C76B25">
        <w:t xml:space="preserve">Cílem je zjistit míru zastoupení problémových učebních úloh v učebnicích zeměpisu a zhodnotit jejich didaktický potenciál </w:t>
      </w:r>
      <w:r w:rsidR="00906DDF">
        <w:t xml:space="preserve">s ohledem na požadavek </w:t>
      </w:r>
      <w:r w:rsidR="00F503FF" w:rsidRPr="00C76B25">
        <w:t>utvářet a rozvíjet kompetenci k řešení problémů.</w:t>
      </w:r>
    </w:p>
    <w:p w:rsidR="00C76B25" w:rsidRPr="007E603F" w:rsidRDefault="00111F2F" w:rsidP="00C76B25">
      <w:pPr>
        <w:spacing w:after="120" w:line="276" w:lineRule="auto"/>
        <w:jc w:val="both"/>
      </w:pPr>
      <w:r w:rsidRPr="00C76B25">
        <w:rPr>
          <w:i/>
          <w:iCs/>
          <w:spacing w:val="-4"/>
        </w:rPr>
        <w:t>Čtvrtá fáze</w:t>
      </w:r>
      <w:r w:rsidR="00C76B25" w:rsidRPr="00C76B25">
        <w:rPr>
          <w:spacing w:val="-4"/>
        </w:rPr>
        <w:t xml:space="preserve"> výzkumného šetření je </w:t>
      </w:r>
      <w:r w:rsidRPr="00C76B25">
        <w:rPr>
          <w:spacing w:val="-4"/>
        </w:rPr>
        <w:t xml:space="preserve">zaměřena na zkoumání </w:t>
      </w:r>
      <w:r w:rsidR="00C76B25" w:rsidRPr="00C76B25">
        <w:rPr>
          <w:spacing w:val="-4"/>
        </w:rPr>
        <w:t>výuky. Cílem je n</w:t>
      </w:r>
      <w:r w:rsidR="00C76B25" w:rsidRPr="00C76B25">
        <w:t xml:space="preserve">a základě analýzy vybraných didaktických situací zhodnotit didaktický potenciál vybraných problémových učebních úloh ve výuce zeměpisu </w:t>
      </w:r>
      <w:r w:rsidR="007E2B2B">
        <w:t>s ohled</w:t>
      </w:r>
      <w:r w:rsidR="00906DDF">
        <w:t xml:space="preserve">em na požadavek </w:t>
      </w:r>
      <w:r w:rsidR="00C76B25" w:rsidRPr="00C76B25">
        <w:t>utvářet a rozvíjet kompetenci k řešení problémů.</w:t>
      </w:r>
    </w:p>
    <w:p w:rsidR="0039341A" w:rsidRPr="0039341A" w:rsidRDefault="0039341A" w:rsidP="0039341A">
      <w:pPr>
        <w:autoSpaceDE w:val="0"/>
        <w:autoSpaceDN w:val="0"/>
        <w:adjustRightInd w:val="0"/>
        <w:rPr>
          <w:bCs/>
        </w:rPr>
      </w:pPr>
    </w:p>
    <w:p w:rsidR="00BD7779" w:rsidRPr="00BD7779" w:rsidRDefault="00BB250E" w:rsidP="00AD17D7">
      <w:pPr>
        <w:pStyle w:val="Nadpis3"/>
        <w:spacing w:before="0" w:after="120"/>
        <w:rPr>
          <w:spacing w:val="-4"/>
        </w:rPr>
      </w:pPr>
      <w:bookmarkStart w:id="79" w:name="_Toc322983691"/>
      <w:bookmarkStart w:id="80" w:name="_Toc399775429"/>
      <w:r w:rsidRPr="00FB6CCC">
        <w:t xml:space="preserve">Výzkumné šetření 1: </w:t>
      </w:r>
      <w:bookmarkEnd w:id="79"/>
      <w:r w:rsidR="00B26430">
        <w:t>a</w:t>
      </w:r>
      <w:r w:rsidR="00BD7779">
        <w:t>nalýza učebnic</w:t>
      </w:r>
      <w:bookmarkEnd w:id="80"/>
    </w:p>
    <w:p w:rsidR="00D40A43" w:rsidRPr="00AD17D7" w:rsidRDefault="0009441D" w:rsidP="00AD17D7">
      <w:pPr>
        <w:spacing w:after="120" w:line="276" w:lineRule="auto"/>
        <w:jc w:val="both"/>
      </w:pPr>
      <w:r>
        <w:t>První část výzkumného šetření zaměřenou na zkoumání učebních úloh v učebnicích jsme p</w:t>
      </w:r>
      <w:r w:rsidR="00BB50E3">
        <w:t>oužili metodu obsahové analýzy, která spočívá v</w:t>
      </w:r>
      <w:r w:rsidR="00D40A43" w:rsidRPr="00AD17D7">
        <w:t xml:space="preserve"> přiřazování pozorovaných skutečností menšímu množství kategorií. Soubor všech kategorií použitých v rámci určitého výzkumného šetření vytváří kategoriální systém. V této kapitole námi použitý kategoriální systém </w:t>
      </w:r>
      <w:r w:rsidR="00AD17D7" w:rsidRPr="00AD17D7">
        <w:t xml:space="preserve">podrobně představujeme, </w:t>
      </w:r>
      <w:r w:rsidR="00FA06F3" w:rsidRPr="00AD17D7">
        <w:t>popisujeme</w:t>
      </w:r>
      <w:r w:rsidR="00D40A43" w:rsidRPr="00AD17D7">
        <w:t xml:space="preserve"> průběh jeho ověřování z hlediska </w:t>
      </w:r>
      <w:r w:rsidR="00FA06F3" w:rsidRPr="00AD17D7">
        <w:t xml:space="preserve">validity a </w:t>
      </w:r>
      <w:r w:rsidR="00AD17D7" w:rsidRPr="00AD17D7">
        <w:t>reliability a upozorňujeme</w:t>
      </w:r>
      <w:r w:rsidR="00FA06F3" w:rsidRPr="00AD17D7">
        <w:t xml:space="preserve"> </w:t>
      </w:r>
      <w:r w:rsidR="00AD17D7" w:rsidRPr="00AD17D7">
        <w:t xml:space="preserve">také </w:t>
      </w:r>
      <w:r w:rsidR="00FA06F3" w:rsidRPr="00AD17D7">
        <w:t>na některé limitace použité metodiky.</w:t>
      </w:r>
    </w:p>
    <w:p w:rsidR="00D40A43" w:rsidRDefault="00D40A43" w:rsidP="00AD17D7">
      <w:pPr>
        <w:spacing w:after="120" w:line="276" w:lineRule="auto"/>
        <w:jc w:val="both"/>
      </w:pPr>
    </w:p>
    <w:p w:rsidR="00032BAC" w:rsidRPr="00C3752D" w:rsidRDefault="00032BAC" w:rsidP="00426E58">
      <w:pPr>
        <w:pStyle w:val="Nadpis4"/>
        <w:numPr>
          <w:ilvl w:val="0"/>
          <w:numId w:val="0"/>
        </w:numPr>
        <w:spacing w:before="0" w:after="120"/>
      </w:pPr>
      <w:r w:rsidRPr="003F3311">
        <w:t xml:space="preserve">Kategoriální </w:t>
      </w:r>
      <w:r>
        <w:t>systé</w:t>
      </w:r>
      <w:r w:rsidRPr="003F3311">
        <w:t>m pro posuzování problémových učebních úloh v učebnicích</w:t>
      </w:r>
    </w:p>
    <w:p w:rsidR="00F97E69" w:rsidRDefault="00740E68" w:rsidP="00AD17D7">
      <w:pPr>
        <w:spacing w:after="120" w:line="276" w:lineRule="auto"/>
        <w:jc w:val="both"/>
      </w:pPr>
      <w:r w:rsidRPr="00C3752D">
        <w:t xml:space="preserve">Výchozí verzi kategoriálního systému představuje model, </w:t>
      </w:r>
      <w:r w:rsidR="007E079C" w:rsidRPr="00C3752D">
        <w:t>jejž</w:t>
      </w:r>
      <w:r w:rsidRPr="00C3752D">
        <w:t xml:space="preserve"> jsme popsali v kapitole </w:t>
      </w:r>
      <w:r w:rsidR="00C3752D" w:rsidRPr="00C3752D">
        <w:t>1.9.2</w:t>
      </w:r>
      <w:r w:rsidRPr="00C3752D">
        <w:t>.</w:t>
      </w:r>
      <w:r w:rsidR="006C61C3">
        <w:t xml:space="preserve"> </w:t>
      </w:r>
      <w:r w:rsidR="007D4012" w:rsidRPr="00EA628C">
        <w:t xml:space="preserve">Kategoriální systém vznikl deduktivním </w:t>
      </w:r>
      <w:r w:rsidR="000516FF">
        <w:t xml:space="preserve">(racionálním) </w:t>
      </w:r>
      <w:r w:rsidR="007D4012" w:rsidRPr="00EA628C">
        <w:t>postupem</w:t>
      </w:r>
      <w:r w:rsidR="007D4012">
        <w:t>,</w:t>
      </w:r>
      <w:r w:rsidR="007D4012" w:rsidRPr="00EA628C">
        <w:t xml:space="preserve"> </w:t>
      </w:r>
      <w:r w:rsidR="007D4012">
        <w:t>při jeho konstrukci se vycházelo především z do</w:t>
      </w:r>
      <w:r w:rsidR="003E5EC2">
        <w:t>stupných teoretických poznatků</w:t>
      </w:r>
      <w:r w:rsidR="00AA42A7">
        <w:t>, resp. předem definovaných teoretických kategorií</w:t>
      </w:r>
      <w:r w:rsidR="007D4012" w:rsidRPr="00EA628C">
        <w:t xml:space="preserve"> (</w:t>
      </w:r>
      <w:r w:rsidR="003E5EC2">
        <w:t xml:space="preserve">srov. </w:t>
      </w:r>
      <w:r w:rsidR="007D4012" w:rsidRPr="00EA628C">
        <w:t>Gläser-Zikuda 2008, s. 72</w:t>
      </w:r>
      <w:r w:rsidR="00AA42A7">
        <w:t>; Früh, 2004, s. 141–144</w:t>
      </w:r>
      <w:r w:rsidR="007D4012" w:rsidRPr="00EA628C">
        <w:t>)</w:t>
      </w:r>
      <w:r w:rsidR="007D4012">
        <w:t xml:space="preserve">. </w:t>
      </w:r>
    </w:p>
    <w:p w:rsidR="00F97E69" w:rsidRDefault="00F97E69" w:rsidP="00AD17D7">
      <w:pPr>
        <w:spacing w:after="120" w:line="276" w:lineRule="auto"/>
        <w:jc w:val="both"/>
      </w:pPr>
      <w:r>
        <w:t>Je</w:t>
      </w:r>
      <w:r w:rsidR="007E079C">
        <w:t>d</w:t>
      </w:r>
      <w:r>
        <w:t xml:space="preserve">notlivé dimenze modelu v různé míře reprezentují jednotlivé aspekty kompetence k řešení problémů. Kategoriální systém byl vytvořen tak, aby obsahoval </w:t>
      </w:r>
      <w:r w:rsidRPr="00B55C0C">
        <w:t>disjunktní kategorie</w:t>
      </w:r>
      <w:r>
        <w:t xml:space="preserve"> pro posuzování </w:t>
      </w:r>
      <w:r w:rsidR="00555BEB">
        <w:t>jednotlivých dimenzí problémových učebních úloh</w:t>
      </w:r>
      <w:r>
        <w:t xml:space="preserve"> (viz dále)</w:t>
      </w:r>
      <w:r w:rsidRPr="00B55C0C">
        <w:t xml:space="preserve">. </w:t>
      </w:r>
      <w:r>
        <w:t>P</w:t>
      </w:r>
      <w:r w:rsidRPr="00B55C0C">
        <w:t>osuzovan</w:t>
      </w:r>
      <w:r w:rsidR="00555BEB">
        <w:t>é</w:t>
      </w:r>
      <w:r w:rsidRPr="00B55C0C">
        <w:t xml:space="preserve"> </w:t>
      </w:r>
      <w:r w:rsidR="00555BEB">
        <w:t>uč</w:t>
      </w:r>
      <w:r w:rsidR="007E2B2B">
        <w:t>e</w:t>
      </w:r>
      <w:r w:rsidR="00555BEB">
        <w:t>bní úlohy</w:t>
      </w:r>
      <w:r w:rsidRPr="00B55C0C">
        <w:t xml:space="preserve"> </w:t>
      </w:r>
      <w:r>
        <w:t>tak mohl</w:t>
      </w:r>
      <w:r w:rsidR="00555BEB">
        <w:t>y</w:t>
      </w:r>
      <w:r w:rsidRPr="00B55C0C">
        <w:t xml:space="preserve"> být zařazen</w:t>
      </w:r>
      <w:r w:rsidR="00555BEB">
        <w:t>y</w:t>
      </w:r>
      <w:r w:rsidRPr="00B55C0C">
        <w:t xml:space="preserve"> </w:t>
      </w:r>
      <w:r>
        <w:t>vždy pouze do jedné kategorie</w:t>
      </w:r>
      <w:r w:rsidRPr="00B55C0C">
        <w:t xml:space="preserve"> </w:t>
      </w:r>
      <w:r w:rsidR="00555BEB">
        <w:t>v rámci jednotlivých dimenzí</w:t>
      </w:r>
      <w:r>
        <w:t xml:space="preserve"> (</w:t>
      </w:r>
      <w:r w:rsidR="00555BEB">
        <w:t>systémovost, komplexita, náročnost</w:t>
      </w:r>
      <w:r>
        <w:t>)</w:t>
      </w:r>
      <w:r w:rsidRPr="00B55C0C">
        <w:t xml:space="preserve">. </w:t>
      </w:r>
      <w:r>
        <w:rPr>
          <w:bCs/>
        </w:rPr>
        <w:t>P</w:t>
      </w:r>
      <w:r w:rsidRPr="00AB347C">
        <w:rPr>
          <w:bCs/>
        </w:rPr>
        <w:t xml:space="preserve">ro zpřesnění kódování </w:t>
      </w:r>
      <w:r>
        <w:rPr>
          <w:bCs/>
        </w:rPr>
        <w:t xml:space="preserve">byl </w:t>
      </w:r>
      <w:r w:rsidRPr="00AB347C">
        <w:rPr>
          <w:bCs/>
        </w:rPr>
        <w:t xml:space="preserve">popis kategorií </w:t>
      </w:r>
      <w:r w:rsidR="00555BEB">
        <w:rPr>
          <w:bCs/>
        </w:rPr>
        <w:t>v dimenz</w:t>
      </w:r>
      <w:r w:rsidR="007945B9">
        <w:rPr>
          <w:bCs/>
        </w:rPr>
        <w:t>ích</w:t>
      </w:r>
      <w:r w:rsidR="00555BEB">
        <w:rPr>
          <w:bCs/>
        </w:rPr>
        <w:t xml:space="preserve"> systémovosti a komplexity </w:t>
      </w:r>
      <w:r>
        <w:rPr>
          <w:bCs/>
        </w:rPr>
        <w:t xml:space="preserve">doplněn </w:t>
      </w:r>
      <w:r w:rsidR="007945B9">
        <w:rPr>
          <w:bCs/>
        </w:rPr>
        <w:t>konkrétními příklady</w:t>
      </w:r>
      <w:r w:rsidRPr="00AB347C">
        <w:rPr>
          <w:bCs/>
        </w:rPr>
        <w:t xml:space="preserve"> </w:t>
      </w:r>
      <w:r w:rsidR="007945B9">
        <w:rPr>
          <w:bCs/>
        </w:rPr>
        <w:t>učebních úloh z učebnic, v </w:t>
      </w:r>
      <w:r w:rsidR="007E2B2B">
        <w:rPr>
          <w:bCs/>
        </w:rPr>
        <w:t>dimenzi</w:t>
      </w:r>
      <w:r w:rsidR="007945B9">
        <w:rPr>
          <w:bCs/>
        </w:rPr>
        <w:t xml:space="preserve"> náročnosti byl kategoriální systém doplněn seznamem operátorů.</w:t>
      </w:r>
    </w:p>
    <w:p w:rsidR="00F97E69" w:rsidRPr="00D73CDE" w:rsidRDefault="00F97E69" w:rsidP="00AD17D7">
      <w:pPr>
        <w:spacing w:after="120" w:line="276" w:lineRule="auto"/>
        <w:jc w:val="both"/>
      </w:pPr>
      <w:r>
        <w:t xml:space="preserve">Při klasifikaci problémových učebních úloh </w:t>
      </w:r>
      <w:r w:rsidR="00145839">
        <w:t>jsme užívali názornou pomůck</w:t>
      </w:r>
      <w:r>
        <w:t>u, krychl</w:t>
      </w:r>
      <w:r w:rsidR="00145839">
        <w:t>i</w:t>
      </w:r>
      <w:r>
        <w:rPr>
          <w:rStyle w:val="Znakapoznpodarou"/>
        </w:rPr>
        <w:footnoteReference w:id="80"/>
      </w:r>
      <w:r>
        <w:t xml:space="preserve">, v níž každá ze tří rovin (definované osami x, y, z) představuje jednu dimenzi </w:t>
      </w:r>
      <w:r w:rsidR="00E77D1D">
        <w:t xml:space="preserve">problémové učební </w:t>
      </w:r>
      <w:r>
        <w:t xml:space="preserve">úlohy (systémovost, </w:t>
      </w:r>
      <w:r w:rsidR="007945B9">
        <w:t xml:space="preserve">komplexita, </w:t>
      </w:r>
      <w:r w:rsidR="00E77D1D">
        <w:t>náročnost</w:t>
      </w:r>
      <w:r>
        <w:t xml:space="preserve">). Každá z těchto dimenzí může dosahovat tří různých úrovní. Krychle umožňuje snadno vizualizovat </w:t>
      </w:r>
      <w:r w:rsidR="00E77D1D">
        <w:t>je</w:t>
      </w:r>
      <w:r>
        <w:t xml:space="preserve">dnotlivé učební úlohy. </w:t>
      </w:r>
      <w:r w:rsidRPr="008E446C">
        <w:t>Pro usnadnění práce jsme zavedli symbolický jazyk, jenž sestává z 27 různých kombinací písmen (</w:t>
      </w:r>
      <w:r w:rsidR="00C3752D" w:rsidRPr="008E446C">
        <w:t>jednotlivé</w:t>
      </w:r>
      <w:r w:rsidRPr="008E446C">
        <w:t xml:space="preserve"> dimenze) a číslic (3 číslice – pro n</w:t>
      </w:r>
      <w:r w:rsidR="00E77D1D">
        <w:t>e</w:t>
      </w:r>
      <w:r w:rsidRPr="008E446C">
        <w:t xml:space="preserve">jnižší </w:t>
      </w:r>
      <w:r w:rsidR="00E77D1D">
        <w:t>úrov</w:t>
      </w:r>
      <w:r w:rsidRPr="008E446C">
        <w:t xml:space="preserve">eň, 2 pro střední </w:t>
      </w:r>
      <w:r w:rsidR="00AB6C02">
        <w:t>úrov</w:t>
      </w:r>
      <w:r w:rsidR="00AB6C02" w:rsidRPr="008E446C">
        <w:t>eň</w:t>
      </w:r>
      <w:r w:rsidRPr="008E446C">
        <w:t xml:space="preserve">, 3 pro nejvyšší </w:t>
      </w:r>
      <w:r w:rsidR="00AB6C02">
        <w:t>úrov</w:t>
      </w:r>
      <w:r w:rsidR="00AB6C02" w:rsidRPr="008E446C">
        <w:t>eň</w:t>
      </w:r>
      <w:r w:rsidRPr="008E446C">
        <w:t>). Paralelním řazením těchto výrazů vznikají zápisy typu S</w:t>
      </w:r>
      <w:r w:rsidR="00AB6C02">
        <w:rPr>
          <w:vertAlign w:val="subscript"/>
        </w:rPr>
        <w:t>2</w:t>
      </w:r>
      <w:r w:rsidR="007945B9" w:rsidRPr="008E446C">
        <w:t>K</w:t>
      </w:r>
      <w:r w:rsidRPr="008E446C">
        <w:rPr>
          <w:vertAlign w:val="subscript"/>
        </w:rPr>
        <w:t>2</w:t>
      </w:r>
      <w:r w:rsidR="007945B9" w:rsidRPr="008E446C">
        <w:t>N</w:t>
      </w:r>
      <w:r w:rsidR="00AB6C02">
        <w:rPr>
          <w:vertAlign w:val="subscript"/>
        </w:rPr>
        <w:t>2</w:t>
      </w:r>
      <w:r w:rsidRPr="008E446C">
        <w:rPr>
          <w:vertAlign w:val="subscript"/>
        </w:rPr>
        <w:t xml:space="preserve"> </w:t>
      </w:r>
      <w:r w:rsidRPr="008E446C">
        <w:t xml:space="preserve">atd., které – přiřazeny k určité konkrétní učební úloze </w:t>
      </w:r>
      <w:r w:rsidR="00AB6C02">
        <w:t xml:space="preserve">– </w:t>
      </w:r>
      <w:r w:rsidRPr="008E446C">
        <w:t>vypovídají o jejím typu</w:t>
      </w:r>
      <w:r w:rsidR="00AB6C02">
        <w:t xml:space="preserve"> (srov. obr. </w:t>
      </w:r>
      <w:r w:rsidR="00DC1EB5">
        <w:t>16</w:t>
      </w:r>
      <w:r w:rsidR="00AB6C02">
        <w:t>)</w:t>
      </w:r>
      <w:r w:rsidRPr="008E446C">
        <w:t xml:space="preserve">. Např. zápis </w:t>
      </w:r>
      <w:r w:rsidR="007C4FD9" w:rsidRPr="008E446C">
        <w:t>S</w:t>
      </w:r>
      <w:r w:rsidR="007C4FD9">
        <w:rPr>
          <w:vertAlign w:val="subscript"/>
        </w:rPr>
        <w:t>2</w:t>
      </w:r>
      <w:r w:rsidR="007C4FD9" w:rsidRPr="008E446C">
        <w:t>K</w:t>
      </w:r>
      <w:r w:rsidR="007C4FD9" w:rsidRPr="008E446C">
        <w:rPr>
          <w:vertAlign w:val="subscript"/>
        </w:rPr>
        <w:t>2</w:t>
      </w:r>
      <w:r w:rsidR="007C4FD9" w:rsidRPr="008E446C">
        <w:t>N</w:t>
      </w:r>
      <w:r w:rsidR="007C4FD9">
        <w:rPr>
          <w:vertAlign w:val="subscript"/>
        </w:rPr>
        <w:t>2</w:t>
      </w:r>
      <w:r>
        <w:rPr>
          <w:vertAlign w:val="subscript"/>
        </w:rPr>
        <w:t xml:space="preserve"> </w:t>
      </w:r>
      <w:r>
        <w:t xml:space="preserve">ukazuje, že </w:t>
      </w:r>
      <w:r w:rsidR="00AB6C02">
        <w:t xml:space="preserve">posuzovaná učební úloha </w:t>
      </w:r>
      <w:r w:rsidR="00BE58ED">
        <w:t>ve všech svých dimenzích vykazuje teoretické znaky střední úrovně.</w:t>
      </w:r>
    </w:p>
    <w:p w:rsidR="003B5A1E" w:rsidRDefault="00032BAC" w:rsidP="00AD17D7">
      <w:pPr>
        <w:spacing w:after="120" w:line="276" w:lineRule="auto"/>
        <w:jc w:val="both"/>
      </w:pPr>
      <w:r w:rsidRPr="00EA628C">
        <w:t xml:space="preserve">Učební úlohy byly nejprve přepsány a následně </w:t>
      </w:r>
      <w:r>
        <w:t xml:space="preserve">kódovány. </w:t>
      </w:r>
      <w:r w:rsidR="00BE58ED">
        <w:t>Kódování neboli</w:t>
      </w:r>
      <w:r>
        <w:t xml:space="preserve"> proces přiřazování hodnocených učebních úloh jednotlivým kategoriím, probíhalo s využitím počítačového programu MS Excel. </w:t>
      </w:r>
      <w:r w:rsidR="007D4012">
        <w:t xml:space="preserve">Námi navržený kategoriální systém </w:t>
      </w:r>
      <w:r w:rsidR="00BB20DB">
        <w:t>je</w:t>
      </w:r>
      <w:r w:rsidR="007D4012">
        <w:t xml:space="preserve"> založen na přiřazování </w:t>
      </w:r>
      <w:r w:rsidR="00F46A19">
        <w:t>ordináln</w:t>
      </w:r>
      <w:r w:rsidR="007D4012">
        <w:t>ích dat do příslušných polytomních kategorií.</w:t>
      </w:r>
      <w:r w:rsidR="004E4D28">
        <w:rPr>
          <w:rStyle w:val="Znakapoznpodarou"/>
        </w:rPr>
        <w:footnoteReference w:id="81"/>
      </w:r>
      <w:r w:rsidR="007D4012">
        <w:t xml:space="preserve"> </w:t>
      </w:r>
      <w:r w:rsidR="00DA5A25">
        <w:t>Jednotlivé kategorie</w:t>
      </w:r>
      <w:r w:rsidR="00BB20DB">
        <w:t xml:space="preserve"> uvnitř dimenzí</w:t>
      </w:r>
      <w:r w:rsidR="00DA5A25">
        <w:t xml:space="preserve"> </w:t>
      </w:r>
      <w:r w:rsidR="00F46A19">
        <w:t>vyjadřují míru zastoupení určité dimenze příležitosti k utváření a rozvíjení kompetence k řešení problémů v určité uč</w:t>
      </w:r>
      <w:r w:rsidR="00C3752D">
        <w:t>e</w:t>
      </w:r>
      <w:r w:rsidR="00F46A19">
        <w:t>bní úloze</w:t>
      </w:r>
      <w:r w:rsidR="00DA5A25">
        <w:t xml:space="preserve">. </w:t>
      </w:r>
      <w:r w:rsidR="007D4012">
        <w:t xml:space="preserve">Každá </w:t>
      </w:r>
      <w:r w:rsidR="00145839">
        <w:t>učební úloha</w:t>
      </w:r>
      <w:r w:rsidR="007D4012">
        <w:t xml:space="preserve"> byla posouzena, </w:t>
      </w:r>
      <w:r w:rsidR="003E5EC2">
        <w:t>zda vykazuje</w:t>
      </w:r>
      <w:r w:rsidR="007D4012">
        <w:t xml:space="preserve"> znaky </w:t>
      </w:r>
      <w:r w:rsidR="00DA5A25">
        <w:t xml:space="preserve">typické pro jednotlivé </w:t>
      </w:r>
      <w:r w:rsidR="007D4012">
        <w:t>kategori</w:t>
      </w:r>
      <w:r w:rsidR="00DA5A25">
        <w:t xml:space="preserve">e a následně byla </w:t>
      </w:r>
      <w:r w:rsidR="003E5EC2">
        <w:t xml:space="preserve">k </w:t>
      </w:r>
      <w:r w:rsidR="00DA5A25">
        <w:t xml:space="preserve">určité kategorii přiřazena. Kategoriální systém poté umožnil srovnávat naměřené četnosti jednotlivých kategorií a zjištěné rozdíly dále interpretovat. </w:t>
      </w:r>
      <w:r w:rsidR="00591533">
        <w:t>Kategorie byly vyhodnocovány na základě jejich četnosti, c</w:t>
      </w:r>
      <w:r>
        <w:t>ož odpovídá výše</w:t>
      </w:r>
      <w:r w:rsidR="00591533">
        <w:t xml:space="preserve"> zmiňované první rovině obsahové analýzy. Následně byly kategorie vyhodnocovány na základě jejich kontingence s ka</w:t>
      </w:r>
      <w:r w:rsidR="00574D64">
        <w:t>tegoriemi, které byly ob</w:t>
      </w:r>
      <w:r w:rsidR="00C3752D">
        <w:t>s</w:t>
      </w:r>
      <w:r w:rsidR="00574D64">
        <w:t>aženy v jiných dimenzích kategoriálního systému.</w:t>
      </w:r>
      <w:r w:rsidR="00591533">
        <w:t xml:space="preserve"> Bylo především sledováno, zda určité kategorie asociují souvislost s jinými kategoriemi (např. </w:t>
      </w:r>
      <w:r w:rsidR="00574D64">
        <w:t>zda určitá míra náročnosti učební úlohy souvisí s</w:t>
      </w:r>
      <w:r w:rsidR="00D73089">
        <w:t> určitou mírou její komplexity</w:t>
      </w:r>
      <w:r w:rsidR="00574D64">
        <w:t xml:space="preserve"> a systémovosti</w:t>
      </w:r>
      <w:r w:rsidR="00591533">
        <w:t>).</w:t>
      </w:r>
    </w:p>
    <w:p w:rsidR="00BE58ED" w:rsidRDefault="00BE58ED" w:rsidP="00AD17D7">
      <w:pPr>
        <w:spacing w:after="120" w:line="276" w:lineRule="auto"/>
        <w:jc w:val="both"/>
      </w:pPr>
    </w:p>
    <w:p w:rsidR="003B5A1E" w:rsidRDefault="00C33879" w:rsidP="00AD17D7">
      <w:pPr>
        <w:spacing w:after="120" w:line="276" w:lineRule="auto"/>
      </w:pPr>
      <w:r>
        <w:rPr>
          <w:noProof/>
        </w:rPr>
        <w:drawing>
          <wp:inline distT="0" distB="0" distL="0" distR="0">
            <wp:extent cx="3806992" cy="3035940"/>
            <wp:effectExtent l="19050" t="0" r="3008" b="0"/>
            <wp:docPr id="25" name="Obrázek 24" descr="Obrázek 02_kostka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02_kostka 2.png"/>
                    <pic:cNvPicPr/>
                  </pic:nvPicPr>
                  <pic:blipFill>
                    <a:blip r:embed="rId27" cstate="print"/>
                    <a:stretch>
                      <a:fillRect/>
                    </a:stretch>
                  </pic:blipFill>
                  <pic:spPr>
                    <a:xfrm>
                      <a:off x="0" y="0"/>
                      <a:ext cx="3815400" cy="3042645"/>
                    </a:xfrm>
                    <a:prstGeom prst="rect">
                      <a:avLst/>
                    </a:prstGeom>
                  </pic:spPr>
                </pic:pic>
              </a:graphicData>
            </a:graphic>
          </wp:inline>
        </w:drawing>
      </w:r>
    </w:p>
    <w:p w:rsidR="003B5A1E" w:rsidRPr="001E0A15" w:rsidRDefault="001E0A15" w:rsidP="001E0A15">
      <w:pPr>
        <w:pStyle w:val="Titulek"/>
        <w:rPr>
          <w:b w:val="0"/>
          <w:sz w:val="24"/>
        </w:rPr>
      </w:pPr>
      <w:bookmarkStart w:id="81" w:name="_Toc399789154"/>
      <w:r w:rsidRPr="001E0A15">
        <w:rPr>
          <w:b w:val="0"/>
          <w:i/>
          <w:sz w:val="24"/>
        </w:rPr>
        <w:t xml:space="preserve">Obrázek </w:t>
      </w:r>
      <w:r w:rsidR="003818A1" w:rsidRPr="001E0A15">
        <w:rPr>
          <w:b w:val="0"/>
          <w:i/>
          <w:sz w:val="24"/>
        </w:rPr>
        <w:fldChar w:fldCharType="begin"/>
      </w:r>
      <w:r w:rsidRPr="001E0A15">
        <w:rPr>
          <w:b w:val="0"/>
          <w:i/>
          <w:sz w:val="24"/>
        </w:rPr>
        <w:instrText xml:space="preserve"> SEQ Obrázek \* ARABIC </w:instrText>
      </w:r>
      <w:r w:rsidR="003818A1" w:rsidRPr="001E0A15">
        <w:rPr>
          <w:b w:val="0"/>
          <w:i/>
          <w:sz w:val="24"/>
        </w:rPr>
        <w:fldChar w:fldCharType="separate"/>
      </w:r>
      <w:r w:rsidR="00FB20B9">
        <w:rPr>
          <w:b w:val="0"/>
          <w:i/>
          <w:noProof/>
          <w:sz w:val="24"/>
        </w:rPr>
        <w:t>16</w:t>
      </w:r>
      <w:r w:rsidR="003818A1" w:rsidRPr="001E0A15">
        <w:rPr>
          <w:b w:val="0"/>
          <w:i/>
          <w:sz w:val="24"/>
        </w:rPr>
        <w:fldChar w:fldCharType="end"/>
      </w:r>
      <w:r w:rsidRPr="001E0A15">
        <w:rPr>
          <w:b w:val="0"/>
          <w:i/>
          <w:sz w:val="24"/>
        </w:rPr>
        <w:t>.</w:t>
      </w:r>
      <w:r w:rsidR="003B5A1E" w:rsidRPr="001E0A15">
        <w:rPr>
          <w:b w:val="0"/>
          <w:sz w:val="24"/>
        </w:rPr>
        <w:t xml:space="preserve"> </w:t>
      </w:r>
      <w:r w:rsidR="005C3BBB" w:rsidRPr="001E0A15">
        <w:rPr>
          <w:b w:val="0"/>
          <w:sz w:val="24"/>
        </w:rPr>
        <w:t>Názorná pomůcka pro posuzování jednotlivých dimenzí problémových učebních úloh</w:t>
      </w:r>
      <w:r w:rsidR="00DC1EB5" w:rsidRPr="001E0A15">
        <w:rPr>
          <w:b w:val="0"/>
          <w:sz w:val="24"/>
        </w:rPr>
        <w:t>.</w:t>
      </w:r>
      <w:bookmarkEnd w:id="81"/>
      <w:r w:rsidR="003B5A1E" w:rsidRPr="001E0A15">
        <w:rPr>
          <w:b w:val="0"/>
          <w:sz w:val="24"/>
        </w:rPr>
        <w:t xml:space="preserve"> </w:t>
      </w:r>
    </w:p>
    <w:p w:rsidR="003F3311" w:rsidRPr="00734A8F" w:rsidRDefault="003F3311" w:rsidP="001654A8">
      <w:pPr>
        <w:spacing w:after="120" w:line="276" w:lineRule="auto"/>
        <w:jc w:val="both"/>
      </w:pPr>
    </w:p>
    <w:p w:rsidR="003F3311" w:rsidRPr="00426E58" w:rsidRDefault="003F3311" w:rsidP="00426E58">
      <w:pPr>
        <w:pStyle w:val="Nadpis5"/>
        <w:numPr>
          <w:ilvl w:val="0"/>
          <w:numId w:val="0"/>
        </w:numPr>
        <w:ind w:left="1008" w:hanging="1008"/>
        <w:rPr>
          <w:b/>
          <w:lang w:val="en-GB"/>
        </w:rPr>
      </w:pPr>
      <w:r w:rsidRPr="00426E58">
        <w:rPr>
          <w:b/>
          <w:lang w:val="en-GB"/>
        </w:rPr>
        <w:t>Systémovost</w:t>
      </w:r>
    </w:p>
    <w:p w:rsidR="009C385A" w:rsidRPr="009C385A" w:rsidRDefault="00194CFA" w:rsidP="009C385A">
      <w:pPr>
        <w:spacing w:line="276" w:lineRule="auto"/>
        <w:jc w:val="both"/>
      </w:pPr>
      <w:r>
        <w:t xml:space="preserve">Pro </w:t>
      </w:r>
      <w:r w:rsidR="007C4FD9">
        <w:t>posuzování</w:t>
      </w:r>
      <w:r>
        <w:t xml:space="preserve"> systémovosti učebních úloh v učebnicích jsme použili kategoriální systém uvedený v tabulce 4. </w:t>
      </w:r>
      <w:r w:rsidR="009C385A">
        <w:t xml:space="preserve">Jak podrobněji popisujeme v kap. </w:t>
      </w:r>
      <w:r w:rsidR="00845F73">
        <w:t>1.4.7</w:t>
      </w:r>
      <w:r w:rsidR="009C385A">
        <w:t>, geografická s</w:t>
      </w:r>
      <w:r w:rsidR="009C385A" w:rsidRPr="00F17C10">
        <w:t xml:space="preserve">ystémová kompetence pojímá Zemi jako systém interakce člověka a prostředí nahlížený z prostorové perspektivy. </w:t>
      </w:r>
      <w:r w:rsidR="009C385A">
        <w:t>Klíčovou součástí</w:t>
      </w:r>
      <w:r w:rsidR="009C385A" w:rsidRPr="00FA65DA">
        <w:t xml:space="preserve"> systémové kompetence jsou interakce mezi </w:t>
      </w:r>
      <w:r w:rsidR="007E079C">
        <w:t>humánně geografickými a fyzicko</w:t>
      </w:r>
      <w:r w:rsidR="009C385A" w:rsidRPr="00FA65DA">
        <w:t>geografickými (sub)systémy</w:t>
      </w:r>
      <w:r w:rsidR="009C385A">
        <w:t>.</w:t>
      </w:r>
      <w:r w:rsidR="009C385A" w:rsidRPr="009C385A">
        <w:t xml:space="preserve"> </w:t>
      </w:r>
      <w:r w:rsidR="009C385A">
        <w:rPr>
          <w:lang w:eastAsia="en-US"/>
        </w:rPr>
        <w:t>Dva</w:t>
      </w:r>
      <w:r w:rsidR="009C385A" w:rsidRPr="00FA65DA">
        <w:rPr>
          <w:lang w:eastAsia="en-US"/>
        </w:rPr>
        <w:t xml:space="preserve"> hlavní geografické subsystémy, fyzický a humánní, které jsou ve vzájemné interakci, lze dále analyzovat v systémových složkách (struktura, funkce a procesy)</w:t>
      </w:r>
      <w:r w:rsidR="009C385A">
        <w:rPr>
          <w:lang w:eastAsia="en-US"/>
        </w:rPr>
        <w:t>.</w:t>
      </w:r>
      <w:r w:rsidR="009C385A" w:rsidRPr="00FA65DA">
        <w:rPr>
          <w:lang w:eastAsia="en-US"/>
        </w:rPr>
        <w:t xml:space="preserve"> </w:t>
      </w:r>
      <w:r w:rsidR="009C385A" w:rsidRPr="00FA65DA">
        <w:t xml:space="preserve">To vytváří platformu pro </w:t>
      </w:r>
      <w:r w:rsidR="009C385A">
        <w:t>utváření</w:t>
      </w:r>
      <w:r w:rsidR="009C385A" w:rsidRPr="00FA65DA">
        <w:t xml:space="preserve"> didaktických situací, ve kterých je možné zohlednit multiperspektivní a multikauzální charakter geografických vzdělávacích obsahů. Na jejich základě je možné </w:t>
      </w:r>
      <w:r w:rsidR="00C3752D" w:rsidRPr="00FA65DA">
        <w:t>konstruovat</w:t>
      </w:r>
      <w:r w:rsidR="009C385A" w:rsidRPr="00FA65DA">
        <w:t xml:space="preserve"> problémové učební úlohy, k jejichž řešení je nezbytné, aby žáci prokázali schopnost systémového myšlení</w:t>
      </w:r>
      <w:r>
        <w:t xml:space="preserve">. </w:t>
      </w:r>
    </w:p>
    <w:p w:rsidR="00F13547" w:rsidRDefault="00F13547" w:rsidP="00F13547">
      <w:pPr>
        <w:pStyle w:val="Titulek"/>
        <w:spacing w:before="0"/>
        <w:rPr>
          <w:b w:val="0"/>
          <w:bCs w:val="0"/>
          <w:iCs/>
          <w:sz w:val="24"/>
          <w:szCs w:val="24"/>
        </w:rPr>
      </w:pPr>
    </w:p>
    <w:p w:rsidR="001E0A15" w:rsidRPr="001E0A15" w:rsidRDefault="001E0A15" w:rsidP="001E0A15">
      <w:pPr>
        <w:pStyle w:val="Titulek"/>
        <w:keepNext/>
        <w:rPr>
          <w:b w:val="0"/>
          <w:sz w:val="24"/>
        </w:rPr>
      </w:pPr>
      <w:bookmarkStart w:id="82" w:name="_Toc399013068"/>
      <w:r w:rsidRPr="001E0A15">
        <w:rPr>
          <w:b w:val="0"/>
          <w:sz w:val="24"/>
        </w:rPr>
        <w:t xml:space="preserve">Tabulka </w:t>
      </w:r>
      <w:r w:rsidR="003818A1" w:rsidRPr="001E0A15">
        <w:rPr>
          <w:b w:val="0"/>
          <w:sz w:val="24"/>
        </w:rPr>
        <w:fldChar w:fldCharType="begin"/>
      </w:r>
      <w:r w:rsidRPr="001E0A15">
        <w:rPr>
          <w:b w:val="0"/>
          <w:sz w:val="24"/>
        </w:rPr>
        <w:instrText xml:space="preserve"> SEQ Tabulka \* ARABIC </w:instrText>
      </w:r>
      <w:r w:rsidR="003818A1" w:rsidRPr="001E0A15">
        <w:rPr>
          <w:b w:val="0"/>
          <w:sz w:val="24"/>
        </w:rPr>
        <w:fldChar w:fldCharType="separate"/>
      </w:r>
      <w:r w:rsidR="00FB20B9">
        <w:rPr>
          <w:b w:val="0"/>
          <w:noProof/>
          <w:sz w:val="24"/>
        </w:rPr>
        <w:t>4</w:t>
      </w:r>
      <w:bookmarkEnd w:id="82"/>
      <w:r w:rsidR="003818A1" w:rsidRPr="001E0A15">
        <w:rPr>
          <w:b w:val="0"/>
          <w:sz w:val="24"/>
        </w:rPr>
        <w:fldChar w:fldCharType="end"/>
      </w:r>
    </w:p>
    <w:p w:rsidR="00F13547" w:rsidRDefault="00F13547" w:rsidP="00F13547">
      <w:pPr>
        <w:pStyle w:val="Titulek"/>
        <w:spacing w:before="0"/>
      </w:pPr>
      <w:r>
        <w:rPr>
          <w:b w:val="0"/>
          <w:i/>
          <w:sz w:val="24"/>
          <w:szCs w:val="24"/>
        </w:rPr>
        <w:t>Kategoriální</w:t>
      </w:r>
      <w:r w:rsidRPr="00A55E6B">
        <w:rPr>
          <w:b w:val="0"/>
          <w:i/>
          <w:sz w:val="24"/>
          <w:szCs w:val="24"/>
        </w:rPr>
        <w:t xml:space="preserve"> systém</w:t>
      </w:r>
      <w:r>
        <w:rPr>
          <w:b w:val="0"/>
          <w:i/>
          <w:sz w:val="24"/>
          <w:szCs w:val="24"/>
        </w:rPr>
        <w:t xml:space="preserve"> pro hodnocení systémovosti učebních úloh</w:t>
      </w:r>
    </w:p>
    <w:tbl>
      <w:tblPr>
        <w:tblW w:w="0" w:type="auto"/>
        <w:tblLook w:val="01E0" w:firstRow="1" w:lastRow="1" w:firstColumn="1" w:lastColumn="1" w:noHBand="0" w:noVBand="0"/>
      </w:tblPr>
      <w:tblGrid>
        <w:gridCol w:w="2093"/>
        <w:gridCol w:w="2410"/>
        <w:gridCol w:w="4677"/>
      </w:tblGrid>
      <w:tr w:rsidR="00F13547" w:rsidRPr="00CE5E1B" w:rsidTr="005E7AF7">
        <w:tc>
          <w:tcPr>
            <w:tcW w:w="2093" w:type="dxa"/>
            <w:tcBorders>
              <w:top w:val="single" w:sz="4" w:space="0" w:color="auto"/>
              <w:bottom w:val="single" w:sz="6" w:space="0" w:color="auto"/>
            </w:tcBorders>
          </w:tcPr>
          <w:p w:rsidR="00F13547" w:rsidRPr="00C37262" w:rsidRDefault="00F13547" w:rsidP="00844548">
            <w:pPr>
              <w:spacing w:before="120" w:after="120"/>
              <w:jc w:val="center"/>
              <w:rPr>
                <w:sz w:val="20"/>
                <w:szCs w:val="20"/>
              </w:rPr>
            </w:pPr>
            <w:r w:rsidRPr="00C37262">
              <w:rPr>
                <w:sz w:val="20"/>
                <w:szCs w:val="20"/>
              </w:rPr>
              <w:t>kategorie</w:t>
            </w:r>
          </w:p>
        </w:tc>
        <w:tc>
          <w:tcPr>
            <w:tcW w:w="2410" w:type="dxa"/>
            <w:tcBorders>
              <w:top w:val="single" w:sz="4" w:space="0" w:color="auto"/>
              <w:bottom w:val="single" w:sz="6" w:space="0" w:color="auto"/>
            </w:tcBorders>
          </w:tcPr>
          <w:p w:rsidR="00F13547" w:rsidRPr="00C37262" w:rsidRDefault="00F13547" w:rsidP="00844548">
            <w:pPr>
              <w:spacing w:before="120" w:after="120"/>
              <w:jc w:val="center"/>
              <w:rPr>
                <w:sz w:val="20"/>
                <w:szCs w:val="20"/>
              </w:rPr>
            </w:pPr>
            <w:r w:rsidRPr="00C37262">
              <w:rPr>
                <w:sz w:val="20"/>
                <w:szCs w:val="20"/>
              </w:rPr>
              <w:t>popis</w:t>
            </w:r>
          </w:p>
        </w:tc>
        <w:tc>
          <w:tcPr>
            <w:tcW w:w="4677" w:type="dxa"/>
            <w:tcBorders>
              <w:top w:val="single" w:sz="4" w:space="0" w:color="auto"/>
              <w:bottom w:val="single" w:sz="6" w:space="0" w:color="auto"/>
            </w:tcBorders>
          </w:tcPr>
          <w:p w:rsidR="00F13547" w:rsidRPr="00C37262" w:rsidRDefault="005E7AF7" w:rsidP="00844548">
            <w:pPr>
              <w:spacing w:before="120" w:after="120"/>
              <w:jc w:val="center"/>
              <w:rPr>
                <w:sz w:val="20"/>
                <w:szCs w:val="20"/>
              </w:rPr>
            </w:pPr>
            <w:r>
              <w:rPr>
                <w:sz w:val="20"/>
                <w:szCs w:val="20"/>
              </w:rPr>
              <w:t>příklady</w:t>
            </w:r>
          </w:p>
        </w:tc>
      </w:tr>
      <w:tr w:rsidR="00F13547" w:rsidRPr="00CE5E1B" w:rsidTr="005E7AF7">
        <w:trPr>
          <w:trHeight w:val="1009"/>
        </w:trPr>
        <w:tc>
          <w:tcPr>
            <w:tcW w:w="2093" w:type="dxa"/>
            <w:tcBorders>
              <w:top w:val="single" w:sz="6" w:space="0" w:color="auto"/>
            </w:tcBorders>
          </w:tcPr>
          <w:p w:rsidR="00F13547" w:rsidRPr="00C37262" w:rsidRDefault="00F13547" w:rsidP="00B53658">
            <w:pPr>
              <w:spacing w:before="120" w:after="120"/>
              <w:rPr>
                <w:sz w:val="20"/>
                <w:szCs w:val="20"/>
              </w:rPr>
            </w:pPr>
            <w:r w:rsidRPr="00C37262">
              <w:rPr>
                <w:sz w:val="20"/>
                <w:szCs w:val="20"/>
              </w:rPr>
              <w:t xml:space="preserve">Úroveň I. – </w:t>
            </w:r>
            <w:r w:rsidR="00B53658" w:rsidRPr="00C37262">
              <w:rPr>
                <w:sz w:val="20"/>
                <w:szCs w:val="20"/>
              </w:rPr>
              <w:t>struktura</w:t>
            </w:r>
          </w:p>
        </w:tc>
        <w:tc>
          <w:tcPr>
            <w:tcW w:w="2410" w:type="dxa"/>
            <w:tcBorders>
              <w:top w:val="single" w:sz="6" w:space="0" w:color="auto"/>
              <w:bottom w:val="single" w:sz="2" w:space="0" w:color="auto"/>
            </w:tcBorders>
          </w:tcPr>
          <w:p w:rsidR="00F13547" w:rsidRPr="00C37262" w:rsidRDefault="00B53658" w:rsidP="00F13547">
            <w:pPr>
              <w:spacing w:before="120" w:after="120"/>
              <w:rPr>
                <w:sz w:val="20"/>
                <w:szCs w:val="20"/>
              </w:rPr>
            </w:pPr>
            <w:r w:rsidRPr="00C37262">
              <w:rPr>
                <w:sz w:val="20"/>
                <w:szCs w:val="20"/>
              </w:rPr>
              <w:t>U</w:t>
            </w:r>
            <w:r w:rsidRPr="00C37262">
              <w:rPr>
                <w:sz w:val="20"/>
                <w:szCs w:val="20"/>
                <w:lang w:eastAsia="en-US"/>
              </w:rPr>
              <w:t>čební úlohy rozvíjející schopnost identifikovat a popsat jednotlivé prvky systému.</w:t>
            </w:r>
          </w:p>
        </w:tc>
        <w:tc>
          <w:tcPr>
            <w:tcW w:w="4677" w:type="dxa"/>
            <w:tcBorders>
              <w:top w:val="single" w:sz="6" w:space="0" w:color="auto"/>
              <w:bottom w:val="single" w:sz="2" w:space="0" w:color="auto"/>
            </w:tcBorders>
          </w:tcPr>
          <w:p w:rsidR="00F13547" w:rsidRPr="00194CFA" w:rsidRDefault="00194CFA" w:rsidP="00844548">
            <w:pPr>
              <w:spacing w:before="120" w:after="120"/>
              <w:rPr>
                <w:sz w:val="20"/>
                <w:szCs w:val="20"/>
              </w:rPr>
            </w:pPr>
            <w:r w:rsidRPr="00194CFA">
              <w:rPr>
                <w:sz w:val="20"/>
                <w:szCs w:val="20"/>
              </w:rPr>
              <w:t>Zjistěte, kolik je na obrázku zemských desek. Najděte, kde jejich rozhraní prochází pevninou a kde oceánem. Jaká hranice je častější?</w:t>
            </w:r>
          </w:p>
          <w:p w:rsidR="00194CFA" w:rsidRPr="00194CFA" w:rsidRDefault="00194CFA" w:rsidP="00844548">
            <w:pPr>
              <w:spacing w:before="120" w:after="120"/>
              <w:rPr>
                <w:sz w:val="20"/>
                <w:szCs w:val="20"/>
              </w:rPr>
            </w:pPr>
            <w:r w:rsidRPr="00194CFA">
              <w:rPr>
                <w:sz w:val="20"/>
                <w:szCs w:val="20"/>
              </w:rPr>
              <w:t>V jakém podnebném pásu se rozprostírají stepi?</w:t>
            </w:r>
          </w:p>
          <w:p w:rsidR="00194CFA" w:rsidRPr="00194CFA" w:rsidRDefault="00194CFA" w:rsidP="00844548">
            <w:pPr>
              <w:spacing w:before="120" w:after="120"/>
              <w:rPr>
                <w:sz w:val="20"/>
                <w:szCs w:val="20"/>
              </w:rPr>
            </w:pPr>
            <w:r w:rsidRPr="00194CFA">
              <w:rPr>
                <w:sz w:val="20"/>
                <w:szCs w:val="20"/>
              </w:rPr>
              <w:t>Které tvary oceánského dna znáte?</w:t>
            </w:r>
          </w:p>
        </w:tc>
      </w:tr>
      <w:tr w:rsidR="00F13547" w:rsidRPr="00CE5E1B" w:rsidTr="005E7AF7">
        <w:tc>
          <w:tcPr>
            <w:tcW w:w="2093" w:type="dxa"/>
          </w:tcPr>
          <w:p w:rsidR="00F13547" w:rsidRPr="00C37262" w:rsidRDefault="00F13547" w:rsidP="00B53658">
            <w:pPr>
              <w:spacing w:before="120" w:after="120"/>
              <w:rPr>
                <w:sz w:val="20"/>
                <w:szCs w:val="20"/>
              </w:rPr>
            </w:pPr>
            <w:r w:rsidRPr="00C37262">
              <w:rPr>
                <w:sz w:val="20"/>
                <w:szCs w:val="20"/>
              </w:rPr>
              <w:t>Úroveň II. –</w:t>
            </w:r>
            <w:r w:rsidR="00B53658" w:rsidRPr="00C37262">
              <w:rPr>
                <w:sz w:val="20"/>
                <w:szCs w:val="20"/>
              </w:rPr>
              <w:t xml:space="preserve"> funkce</w:t>
            </w:r>
          </w:p>
        </w:tc>
        <w:tc>
          <w:tcPr>
            <w:tcW w:w="2410" w:type="dxa"/>
            <w:tcBorders>
              <w:top w:val="single" w:sz="2" w:space="0" w:color="auto"/>
              <w:bottom w:val="single" w:sz="2" w:space="0" w:color="auto"/>
            </w:tcBorders>
          </w:tcPr>
          <w:p w:rsidR="00F13547" w:rsidRPr="00C37262" w:rsidRDefault="00B53658" w:rsidP="00844548">
            <w:pPr>
              <w:spacing w:before="120" w:after="120"/>
              <w:rPr>
                <w:sz w:val="20"/>
                <w:szCs w:val="20"/>
              </w:rPr>
            </w:pPr>
            <w:r w:rsidRPr="00C37262">
              <w:rPr>
                <w:sz w:val="20"/>
                <w:szCs w:val="20"/>
              </w:rPr>
              <w:t>U</w:t>
            </w:r>
            <w:r w:rsidRPr="00C37262">
              <w:rPr>
                <w:sz w:val="20"/>
                <w:szCs w:val="20"/>
                <w:lang w:eastAsia="en-US"/>
              </w:rPr>
              <w:t>čební úlohy rozvíjející schopnost identifikovat, popsat a porozumět a vztahům a souvislostem mezi jednotlivými prvky systému</w:t>
            </w:r>
            <w:r w:rsidR="009C385A">
              <w:rPr>
                <w:sz w:val="20"/>
                <w:szCs w:val="20"/>
                <w:lang w:eastAsia="en-US"/>
              </w:rPr>
              <w:t>.</w:t>
            </w:r>
          </w:p>
        </w:tc>
        <w:tc>
          <w:tcPr>
            <w:tcW w:w="4677" w:type="dxa"/>
            <w:tcBorders>
              <w:top w:val="single" w:sz="2" w:space="0" w:color="auto"/>
              <w:bottom w:val="single" w:sz="2" w:space="0" w:color="auto"/>
            </w:tcBorders>
          </w:tcPr>
          <w:p w:rsidR="00F13547" w:rsidRPr="00194CFA" w:rsidRDefault="00194CFA" w:rsidP="00844548">
            <w:pPr>
              <w:spacing w:before="120" w:after="120"/>
              <w:rPr>
                <w:sz w:val="20"/>
                <w:szCs w:val="20"/>
              </w:rPr>
            </w:pPr>
            <w:r w:rsidRPr="00194CFA">
              <w:rPr>
                <w:sz w:val="20"/>
                <w:szCs w:val="20"/>
              </w:rPr>
              <w:t>Vysvětlete, proč se zemské desky pohybují.</w:t>
            </w:r>
          </w:p>
          <w:p w:rsidR="00194CFA" w:rsidRPr="00194CFA" w:rsidRDefault="00194CFA" w:rsidP="00844548">
            <w:pPr>
              <w:spacing w:before="120" w:after="120"/>
              <w:rPr>
                <w:sz w:val="20"/>
                <w:szCs w:val="20"/>
              </w:rPr>
            </w:pPr>
            <w:r w:rsidRPr="00194CFA">
              <w:rPr>
                <w:sz w:val="20"/>
                <w:szCs w:val="20"/>
              </w:rPr>
              <w:t>Jakým způsobem vznikají pohoří?</w:t>
            </w:r>
          </w:p>
          <w:p w:rsidR="00194CFA" w:rsidRPr="00194CFA" w:rsidRDefault="00194CFA" w:rsidP="00844548">
            <w:pPr>
              <w:spacing w:before="120" w:after="120"/>
              <w:rPr>
                <w:sz w:val="20"/>
                <w:szCs w:val="20"/>
              </w:rPr>
            </w:pPr>
            <w:r w:rsidRPr="00194CFA">
              <w:rPr>
                <w:sz w:val="20"/>
                <w:szCs w:val="20"/>
              </w:rPr>
              <w:t>Proč je tundra více rozšířena na severní polokouli než na jižní?</w:t>
            </w:r>
          </w:p>
          <w:p w:rsidR="00194CFA" w:rsidRPr="00194CFA" w:rsidRDefault="00194CFA" w:rsidP="00844548">
            <w:pPr>
              <w:spacing w:before="120" w:after="120"/>
              <w:rPr>
                <w:sz w:val="20"/>
                <w:szCs w:val="20"/>
              </w:rPr>
            </w:pPr>
          </w:p>
        </w:tc>
      </w:tr>
      <w:tr w:rsidR="00F13547" w:rsidRPr="00CE5E1B" w:rsidTr="00194CFA">
        <w:trPr>
          <w:trHeight w:val="69"/>
        </w:trPr>
        <w:tc>
          <w:tcPr>
            <w:tcW w:w="2093" w:type="dxa"/>
            <w:tcBorders>
              <w:bottom w:val="single" w:sz="4" w:space="0" w:color="auto"/>
            </w:tcBorders>
          </w:tcPr>
          <w:p w:rsidR="00F13547" w:rsidRPr="00C37262" w:rsidRDefault="00F13547" w:rsidP="00B53658">
            <w:pPr>
              <w:spacing w:before="120" w:after="120"/>
              <w:rPr>
                <w:sz w:val="20"/>
                <w:szCs w:val="20"/>
              </w:rPr>
            </w:pPr>
            <w:r w:rsidRPr="00C37262">
              <w:rPr>
                <w:sz w:val="20"/>
                <w:szCs w:val="20"/>
              </w:rPr>
              <w:t xml:space="preserve">Úroveň III. – </w:t>
            </w:r>
            <w:r w:rsidR="00B53658" w:rsidRPr="00C37262">
              <w:rPr>
                <w:sz w:val="20"/>
                <w:szCs w:val="20"/>
              </w:rPr>
              <w:t>procesy</w:t>
            </w:r>
          </w:p>
        </w:tc>
        <w:tc>
          <w:tcPr>
            <w:tcW w:w="2410" w:type="dxa"/>
            <w:tcBorders>
              <w:top w:val="single" w:sz="2" w:space="0" w:color="auto"/>
              <w:bottom w:val="single" w:sz="4" w:space="0" w:color="auto"/>
            </w:tcBorders>
          </w:tcPr>
          <w:p w:rsidR="00F13547" w:rsidRPr="00C37262" w:rsidRDefault="00B53658" w:rsidP="00844548">
            <w:pPr>
              <w:spacing w:before="120" w:after="120"/>
              <w:rPr>
                <w:sz w:val="20"/>
                <w:szCs w:val="20"/>
              </w:rPr>
            </w:pPr>
            <w:r w:rsidRPr="00C37262">
              <w:rPr>
                <w:sz w:val="20"/>
                <w:szCs w:val="20"/>
              </w:rPr>
              <w:t>Učební úlohy rozvíjející schopnost identifikovat, popsat, interpretovat a zdůvodňovat procesy odehrávající se v systému (zdůvodnění příčiny a následku).</w:t>
            </w:r>
          </w:p>
        </w:tc>
        <w:tc>
          <w:tcPr>
            <w:tcW w:w="4677" w:type="dxa"/>
            <w:tcBorders>
              <w:top w:val="single" w:sz="2" w:space="0" w:color="auto"/>
              <w:bottom w:val="single" w:sz="2" w:space="0" w:color="auto"/>
            </w:tcBorders>
          </w:tcPr>
          <w:p w:rsidR="00F13547" w:rsidRPr="00194CFA" w:rsidRDefault="00194CFA" w:rsidP="005D78A6">
            <w:pPr>
              <w:spacing w:before="120" w:after="120"/>
              <w:rPr>
                <w:sz w:val="20"/>
                <w:szCs w:val="20"/>
              </w:rPr>
            </w:pPr>
            <w:r w:rsidRPr="00194CFA">
              <w:rPr>
                <w:sz w:val="20"/>
                <w:szCs w:val="20"/>
              </w:rPr>
              <w:t xml:space="preserve">Představte si, že by se ve vaší obci (vesnici nebo městě): </w:t>
            </w:r>
            <w:r w:rsidR="005D78A6">
              <w:rPr>
                <w:sz w:val="20"/>
                <w:szCs w:val="20"/>
              </w:rPr>
              <w:t>A</w:t>
            </w:r>
            <w:r w:rsidRPr="00194CFA">
              <w:rPr>
                <w:sz w:val="20"/>
                <w:szCs w:val="20"/>
              </w:rPr>
              <w:t>. Měla vybudovat velká továrna na výrobu plastických hmot; B. Měla v těsné blízkosti postavit dálnice; C. Měl vystavět velký supermarket. Diskutujte nad mapou místní oblasti o tom, zda by to bylo vhodné nebo ne. Pokud by bylo nutné tyto tavby postavit, ve kterých místech by to bylo nejvhodnější a proč? Co by to přineslo dobrého a co špatného pro život místních obyvatel? Jakým způsobem by tyto stavby zasáhly do přírody místní oblasti?</w:t>
            </w:r>
          </w:p>
        </w:tc>
      </w:tr>
    </w:tbl>
    <w:p w:rsidR="00F13547" w:rsidRPr="00CE5E1B" w:rsidRDefault="00F13547" w:rsidP="00F13547">
      <w:pPr>
        <w:rPr>
          <w:sz w:val="20"/>
          <w:szCs w:val="20"/>
        </w:rPr>
      </w:pPr>
    </w:p>
    <w:p w:rsidR="00F13547" w:rsidRDefault="00F13547" w:rsidP="00F13547"/>
    <w:p w:rsidR="00734A8F" w:rsidRPr="00F13547" w:rsidRDefault="00734A8F" w:rsidP="00734A8F"/>
    <w:p w:rsidR="007D4012" w:rsidRPr="00426E58" w:rsidRDefault="003F3311" w:rsidP="00426E58">
      <w:pPr>
        <w:pStyle w:val="Nadpis5"/>
        <w:numPr>
          <w:ilvl w:val="0"/>
          <w:numId w:val="0"/>
        </w:numPr>
        <w:ind w:left="1008" w:hanging="1008"/>
        <w:rPr>
          <w:b/>
          <w:lang w:val="en-GB"/>
        </w:rPr>
      </w:pPr>
      <w:r w:rsidRPr="00426E58">
        <w:rPr>
          <w:b/>
          <w:lang w:val="en-GB"/>
        </w:rPr>
        <w:t>Komplexita</w:t>
      </w:r>
    </w:p>
    <w:p w:rsidR="008D39A5" w:rsidRPr="00D96DAA" w:rsidRDefault="00F35A39" w:rsidP="008D39A5">
      <w:pPr>
        <w:autoSpaceDE w:val="0"/>
        <w:autoSpaceDN w:val="0"/>
        <w:adjustRightInd w:val="0"/>
        <w:spacing w:after="120" w:line="276" w:lineRule="auto"/>
        <w:jc w:val="both"/>
      </w:pPr>
      <w:r w:rsidRPr="008D39A5">
        <w:rPr>
          <w:bCs/>
          <w:iCs/>
        </w:rPr>
        <w:t>Pro kategorizaci komplexity</w:t>
      </w:r>
      <w:r w:rsidR="00C52D3C" w:rsidRPr="008D39A5">
        <w:rPr>
          <w:rStyle w:val="Znakapoznpodarou"/>
          <w:bCs/>
          <w:iCs/>
        </w:rPr>
        <w:footnoteReference w:id="82"/>
      </w:r>
      <w:r w:rsidRPr="008D39A5">
        <w:rPr>
          <w:bCs/>
          <w:iCs/>
        </w:rPr>
        <w:t xml:space="preserve"> učebních</w:t>
      </w:r>
      <w:r w:rsidR="00194CFA" w:rsidRPr="008D39A5">
        <w:rPr>
          <w:bCs/>
        </w:rPr>
        <w:t xml:space="preserve"> </w:t>
      </w:r>
      <w:r w:rsidR="00194CFA" w:rsidRPr="008D39A5">
        <w:rPr>
          <w:iCs/>
        </w:rPr>
        <w:t xml:space="preserve">úloh v učebnicích jsme použili kategoriální systém uvedený v tabulce </w:t>
      </w:r>
      <w:r w:rsidR="00194CFA" w:rsidRPr="008D39A5">
        <w:rPr>
          <w:bCs/>
          <w:iCs/>
        </w:rPr>
        <w:t>5</w:t>
      </w:r>
      <w:r w:rsidR="00194CFA" w:rsidRPr="008D39A5">
        <w:rPr>
          <w:iCs/>
        </w:rPr>
        <w:t>.</w:t>
      </w:r>
      <w:r w:rsidR="00194CFA" w:rsidRPr="008D39A5">
        <w:rPr>
          <w:bCs/>
          <w:iCs/>
        </w:rPr>
        <w:t xml:space="preserve"> </w:t>
      </w:r>
      <w:r w:rsidR="00A40159">
        <w:t xml:space="preserve">Kategoriální systém vychází z poznatku, že znalosti získané na nižších úrovních komplexity </w:t>
      </w:r>
      <w:r w:rsidR="00A40159" w:rsidRPr="00D96DAA">
        <w:t xml:space="preserve">tvoří základnu potřebnou pro úspěšné řešení </w:t>
      </w:r>
      <w:r w:rsidR="00A40159">
        <w:t xml:space="preserve">učebních </w:t>
      </w:r>
      <w:r w:rsidR="00A40159" w:rsidRPr="00D96DAA">
        <w:t xml:space="preserve">úloh na </w:t>
      </w:r>
      <w:r w:rsidR="00A40159">
        <w:t>úrovních</w:t>
      </w:r>
      <w:r w:rsidR="00A40159" w:rsidRPr="00D96DAA">
        <w:t xml:space="preserve"> vyšších</w:t>
      </w:r>
      <w:r w:rsidR="00A40159">
        <w:t xml:space="preserve">. </w:t>
      </w:r>
      <w:r w:rsidR="00194CFA" w:rsidRPr="008D39A5">
        <w:rPr>
          <w:iCs/>
        </w:rPr>
        <w:t>Jak</w:t>
      </w:r>
      <w:r w:rsidR="00194CFA" w:rsidRPr="00194CFA">
        <w:rPr>
          <w:iCs/>
        </w:rPr>
        <w:t xml:space="preserve"> </w:t>
      </w:r>
      <w:r w:rsidR="00A40159">
        <w:rPr>
          <w:iCs/>
        </w:rPr>
        <w:t xml:space="preserve">s odkazem na Gagného </w:t>
      </w:r>
      <w:r w:rsidR="00194CFA" w:rsidRPr="00194CFA">
        <w:rPr>
          <w:iCs/>
        </w:rPr>
        <w:t xml:space="preserve">podrobněji popisujeme v kap. </w:t>
      </w:r>
      <w:r w:rsidR="00F257AE">
        <w:rPr>
          <w:iCs/>
        </w:rPr>
        <w:t>1.8.3</w:t>
      </w:r>
      <w:r w:rsidR="008D39A5">
        <w:rPr>
          <w:iCs/>
        </w:rPr>
        <w:t>,</w:t>
      </w:r>
      <w:r w:rsidR="008D39A5" w:rsidRPr="008D39A5">
        <w:t xml:space="preserve"> </w:t>
      </w:r>
      <w:r w:rsidR="008D39A5">
        <w:t>n</w:t>
      </w:r>
      <w:r w:rsidR="008D39A5" w:rsidRPr="00D96DAA">
        <w:t>ejvy</w:t>
      </w:r>
      <w:r w:rsidR="008D39A5">
        <w:t>šším druhem učení je</w:t>
      </w:r>
      <w:r w:rsidR="008D39A5" w:rsidRPr="00D96DAA">
        <w:t xml:space="preserve"> </w:t>
      </w:r>
      <w:r w:rsidR="008D39A5" w:rsidRPr="00D96DAA">
        <w:rPr>
          <w:i/>
        </w:rPr>
        <w:t>řešení problémů.</w:t>
      </w:r>
      <w:r w:rsidR="008D39A5" w:rsidRPr="00D96DAA">
        <w:rPr>
          <w:b/>
        </w:rPr>
        <w:t xml:space="preserve"> </w:t>
      </w:r>
      <w:r w:rsidR="008D39A5" w:rsidRPr="00D96DAA">
        <w:t>Řešení problémů vyžaduje zpětné vybavení si jednodušších</w:t>
      </w:r>
      <w:r w:rsidR="008D39A5">
        <w:t xml:space="preserve"> i složitějších </w:t>
      </w:r>
      <w:r w:rsidR="008D39A5" w:rsidRPr="00D96DAA">
        <w:t>pravidel</w:t>
      </w:r>
      <w:r w:rsidR="00A40159">
        <w:t xml:space="preserve">, přičemž znalost pravidel není možná bez znalosti faktů a </w:t>
      </w:r>
      <w:r w:rsidR="008D39A5" w:rsidRPr="00D96DAA">
        <w:t xml:space="preserve">konceptů. </w:t>
      </w:r>
    </w:p>
    <w:p w:rsidR="005E7AF7" w:rsidRDefault="005E7AF7" w:rsidP="00F13547">
      <w:pPr>
        <w:pStyle w:val="Titulek"/>
        <w:spacing w:before="0"/>
        <w:rPr>
          <w:b w:val="0"/>
          <w:bCs w:val="0"/>
          <w:iCs/>
          <w:sz w:val="24"/>
          <w:szCs w:val="24"/>
        </w:rPr>
      </w:pPr>
    </w:p>
    <w:p w:rsidR="001E0A15" w:rsidRPr="001E0A15" w:rsidRDefault="001E0A15" w:rsidP="001E0A15">
      <w:pPr>
        <w:pStyle w:val="Titulek"/>
        <w:keepNext/>
        <w:rPr>
          <w:b w:val="0"/>
          <w:sz w:val="24"/>
        </w:rPr>
      </w:pPr>
      <w:bookmarkStart w:id="83" w:name="_Toc399013069"/>
      <w:r w:rsidRPr="001E0A15">
        <w:rPr>
          <w:b w:val="0"/>
          <w:sz w:val="24"/>
        </w:rPr>
        <w:t xml:space="preserve">Tabulka </w:t>
      </w:r>
      <w:r w:rsidR="003818A1" w:rsidRPr="001E0A15">
        <w:rPr>
          <w:b w:val="0"/>
          <w:sz w:val="24"/>
        </w:rPr>
        <w:fldChar w:fldCharType="begin"/>
      </w:r>
      <w:r w:rsidRPr="001E0A15">
        <w:rPr>
          <w:b w:val="0"/>
          <w:sz w:val="24"/>
        </w:rPr>
        <w:instrText xml:space="preserve"> SEQ Tabulka \* ARABIC </w:instrText>
      </w:r>
      <w:r w:rsidR="003818A1" w:rsidRPr="001E0A15">
        <w:rPr>
          <w:b w:val="0"/>
          <w:sz w:val="24"/>
        </w:rPr>
        <w:fldChar w:fldCharType="separate"/>
      </w:r>
      <w:r w:rsidR="00FB20B9">
        <w:rPr>
          <w:b w:val="0"/>
          <w:noProof/>
          <w:sz w:val="24"/>
        </w:rPr>
        <w:t>5</w:t>
      </w:r>
      <w:bookmarkEnd w:id="83"/>
      <w:r w:rsidR="003818A1" w:rsidRPr="001E0A15">
        <w:rPr>
          <w:b w:val="0"/>
          <w:sz w:val="24"/>
        </w:rPr>
        <w:fldChar w:fldCharType="end"/>
      </w:r>
    </w:p>
    <w:p w:rsidR="00F13547" w:rsidRDefault="00F13547" w:rsidP="00F13547">
      <w:pPr>
        <w:pStyle w:val="Titulek"/>
        <w:spacing w:before="0"/>
      </w:pPr>
      <w:r>
        <w:rPr>
          <w:b w:val="0"/>
          <w:i/>
          <w:sz w:val="24"/>
          <w:szCs w:val="24"/>
        </w:rPr>
        <w:t>Kategoriální</w:t>
      </w:r>
      <w:r w:rsidRPr="00A55E6B">
        <w:rPr>
          <w:b w:val="0"/>
          <w:i/>
          <w:sz w:val="24"/>
          <w:szCs w:val="24"/>
        </w:rPr>
        <w:t xml:space="preserve"> systém</w:t>
      </w:r>
      <w:r>
        <w:rPr>
          <w:b w:val="0"/>
          <w:i/>
          <w:sz w:val="24"/>
          <w:szCs w:val="24"/>
        </w:rPr>
        <w:t xml:space="preserve"> pro hodnocení komplexity učebních úloh</w:t>
      </w:r>
    </w:p>
    <w:tbl>
      <w:tblPr>
        <w:tblW w:w="0" w:type="auto"/>
        <w:tblLook w:val="01E0" w:firstRow="1" w:lastRow="1" w:firstColumn="1" w:lastColumn="1" w:noHBand="0" w:noVBand="0"/>
      </w:tblPr>
      <w:tblGrid>
        <w:gridCol w:w="2518"/>
        <w:gridCol w:w="3402"/>
        <w:gridCol w:w="3260"/>
      </w:tblGrid>
      <w:tr w:rsidR="00F13547" w:rsidRPr="00CE5E1B" w:rsidTr="005E7AF7">
        <w:tc>
          <w:tcPr>
            <w:tcW w:w="2518" w:type="dxa"/>
            <w:tcBorders>
              <w:top w:val="single" w:sz="4" w:space="0" w:color="auto"/>
              <w:bottom w:val="single" w:sz="6" w:space="0" w:color="auto"/>
            </w:tcBorders>
          </w:tcPr>
          <w:p w:rsidR="00F13547" w:rsidRPr="00CE5E1B" w:rsidRDefault="00F13547" w:rsidP="00844548">
            <w:pPr>
              <w:spacing w:before="120" w:after="120"/>
              <w:jc w:val="center"/>
              <w:rPr>
                <w:sz w:val="20"/>
                <w:szCs w:val="20"/>
              </w:rPr>
            </w:pPr>
            <w:r w:rsidRPr="00CE5E1B">
              <w:rPr>
                <w:sz w:val="20"/>
                <w:szCs w:val="20"/>
              </w:rPr>
              <w:t>kategorie</w:t>
            </w:r>
          </w:p>
        </w:tc>
        <w:tc>
          <w:tcPr>
            <w:tcW w:w="3402" w:type="dxa"/>
            <w:tcBorders>
              <w:top w:val="single" w:sz="4" w:space="0" w:color="auto"/>
              <w:bottom w:val="single" w:sz="6" w:space="0" w:color="auto"/>
            </w:tcBorders>
          </w:tcPr>
          <w:p w:rsidR="00F13547" w:rsidRPr="00CE5E1B" w:rsidRDefault="00F13547" w:rsidP="00844548">
            <w:pPr>
              <w:spacing w:before="120" w:after="120"/>
              <w:jc w:val="center"/>
              <w:rPr>
                <w:sz w:val="20"/>
                <w:szCs w:val="20"/>
              </w:rPr>
            </w:pPr>
            <w:r>
              <w:rPr>
                <w:sz w:val="20"/>
                <w:szCs w:val="20"/>
              </w:rPr>
              <w:t>popis</w:t>
            </w:r>
          </w:p>
        </w:tc>
        <w:tc>
          <w:tcPr>
            <w:tcW w:w="3260" w:type="dxa"/>
            <w:tcBorders>
              <w:top w:val="single" w:sz="4" w:space="0" w:color="auto"/>
              <w:bottom w:val="single" w:sz="6" w:space="0" w:color="auto"/>
            </w:tcBorders>
          </w:tcPr>
          <w:p w:rsidR="00F13547" w:rsidRPr="00CE5E1B" w:rsidRDefault="005E7AF7" w:rsidP="00844548">
            <w:pPr>
              <w:spacing w:before="120" w:after="120"/>
              <w:jc w:val="center"/>
              <w:rPr>
                <w:sz w:val="20"/>
                <w:szCs w:val="20"/>
              </w:rPr>
            </w:pPr>
            <w:r>
              <w:rPr>
                <w:sz w:val="20"/>
                <w:szCs w:val="20"/>
              </w:rPr>
              <w:t>příklady</w:t>
            </w:r>
          </w:p>
        </w:tc>
      </w:tr>
      <w:tr w:rsidR="00F13547" w:rsidRPr="00CE5E1B" w:rsidTr="005E7AF7">
        <w:trPr>
          <w:trHeight w:val="411"/>
        </w:trPr>
        <w:tc>
          <w:tcPr>
            <w:tcW w:w="2518" w:type="dxa"/>
            <w:tcBorders>
              <w:top w:val="single" w:sz="6" w:space="0" w:color="auto"/>
            </w:tcBorders>
          </w:tcPr>
          <w:p w:rsidR="00F13547" w:rsidRPr="005E7AF7" w:rsidRDefault="00F13547" w:rsidP="005E7AF7">
            <w:pPr>
              <w:spacing w:before="120" w:after="120"/>
              <w:ind w:left="993" w:hanging="993"/>
              <w:rPr>
                <w:sz w:val="20"/>
                <w:szCs w:val="20"/>
              </w:rPr>
            </w:pPr>
            <w:r w:rsidRPr="005E7AF7">
              <w:rPr>
                <w:sz w:val="20"/>
                <w:szCs w:val="20"/>
              </w:rPr>
              <w:t xml:space="preserve">Úroveň I. – </w:t>
            </w:r>
            <w:r w:rsidR="005E7AF7" w:rsidRPr="005E7AF7">
              <w:rPr>
                <w:sz w:val="20"/>
                <w:szCs w:val="20"/>
              </w:rPr>
              <w:t>znalost faktů a konceptů</w:t>
            </w:r>
          </w:p>
        </w:tc>
        <w:tc>
          <w:tcPr>
            <w:tcW w:w="3402" w:type="dxa"/>
            <w:tcBorders>
              <w:top w:val="single" w:sz="6" w:space="0" w:color="auto"/>
              <w:bottom w:val="single" w:sz="2" w:space="0" w:color="auto"/>
            </w:tcBorders>
          </w:tcPr>
          <w:p w:rsidR="00F13547" w:rsidRPr="005E7AF7" w:rsidRDefault="005E7AF7" w:rsidP="005E7AF7">
            <w:pPr>
              <w:spacing w:before="120" w:after="120"/>
              <w:rPr>
                <w:sz w:val="20"/>
                <w:szCs w:val="20"/>
              </w:rPr>
            </w:pPr>
            <w:r w:rsidRPr="005E7AF7">
              <w:rPr>
                <w:sz w:val="20"/>
              </w:rPr>
              <w:t>Jedná se o uzavřené (konvergentní) dobře strukturované učební úlohy, které jsou jednoznačně zadány, je hledán jeden způsob řešení/jedna odpověď. Žák by měl prokázat faktickou nebo konceptuální znalost.</w:t>
            </w:r>
          </w:p>
        </w:tc>
        <w:tc>
          <w:tcPr>
            <w:tcW w:w="3260" w:type="dxa"/>
            <w:tcBorders>
              <w:top w:val="single" w:sz="6" w:space="0" w:color="auto"/>
              <w:bottom w:val="single" w:sz="2" w:space="0" w:color="auto"/>
            </w:tcBorders>
          </w:tcPr>
          <w:p w:rsidR="00F13547" w:rsidRPr="005D78A6" w:rsidRDefault="00DA694F" w:rsidP="00844548">
            <w:pPr>
              <w:spacing w:before="120" w:after="120"/>
              <w:rPr>
                <w:sz w:val="20"/>
                <w:szCs w:val="20"/>
              </w:rPr>
            </w:pPr>
            <w:r w:rsidRPr="005D78A6">
              <w:rPr>
                <w:sz w:val="20"/>
                <w:szCs w:val="20"/>
              </w:rPr>
              <w:t>Co to je ornice?</w:t>
            </w:r>
          </w:p>
          <w:p w:rsidR="00DA694F" w:rsidRPr="005D78A6" w:rsidRDefault="00DA694F" w:rsidP="00844548">
            <w:pPr>
              <w:spacing w:before="120" w:after="120"/>
              <w:rPr>
                <w:sz w:val="20"/>
                <w:szCs w:val="20"/>
              </w:rPr>
            </w:pPr>
            <w:r w:rsidRPr="005D78A6">
              <w:rPr>
                <w:sz w:val="20"/>
                <w:szCs w:val="20"/>
              </w:rPr>
              <w:t>Co jsou oceánské proudy?</w:t>
            </w:r>
          </w:p>
          <w:p w:rsidR="00DA694F" w:rsidRPr="005D78A6" w:rsidRDefault="00DA694F" w:rsidP="00844548">
            <w:pPr>
              <w:spacing w:before="120" w:after="120"/>
              <w:rPr>
                <w:sz w:val="20"/>
                <w:szCs w:val="20"/>
              </w:rPr>
            </w:pPr>
            <w:r w:rsidRPr="005D78A6">
              <w:rPr>
                <w:sz w:val="20"/>
                <w:szCs w:val="20"/>
              </w:rPr>
              <w:t xml:space="preserve">Ukažte na </w:t>
            </w:r>
            <w:r w:rsidR="00F257AE" w:rsidRPr="005D78A6">
              <w:rPr>
                <w:sz w:val="20"/>
                <w:szCs w:val="20"/>
              </w:rPr>
              <w:t>globusu</w:t>
            </w:r>
            <w:r w:rsidRPr="005D78A6">
              <w:rPr>
                <w:sz w:val="20"/>
                <w:szCs w:val="20"/>
              </w:rPr>
              <w:t xml:space="preserve"> severní a jižní pól.</w:t>
            </w:r>
          </w:p>
          <w:p w:rsidR="00DA694F" w:rsidRPr="005D78A6" w:rsidRDefault="00DA694F" w:rsidP="00844548">
            <w:pPr>
              <w:spacing w:before="120" w:after="120"/>
              <w:rPr>
                <w:sz w:val="20"/>
                <w:szCs w:val="20"/>
              </w:rPr>
            </w:pPr>
            <w:r w:rsidRPr="005D78A6">
              <w:rPr>
                <w:sz w:val="20"/>
                <w:szCs w:val="20"/>
              </w:rPr>
              <w:t>Vysvětlete rozdíl mezi obnovitelnými a neobnovitelnými přírodními zdroji.</w:t>
            </w:r>
          </w:p>
        </w:tc>
      </w:tr>
      <w:tr w:rsidR="00F13547" w:rsidRPr="00CE5E1B" w:rsidTr="005E7AF7">
        <w:tc>
          <w:tcPr>
            <w:tcW w:w="2518" w:type="dxa"/>
          </w:tcPr>
          <w:p w:rsidR="00F13547" w:rsidRPr="005E7AF7" w:rsidRDefault="00F13547" w:rsidP="005E7AF7">
            <w:pPr>
              <w:spacing w:before="120" w:after="120"/>
              <w:ind w:left="993" w:hanging="993"/>
              <w:rPr>
                <w:sz w:val="20"/>
                <w:szCs w:val="20"/>
              </w:rPr>
            </w:pPr>
            <w:r w:rsidRPr="005E7AF7">
              <w:rPr>
                <w:sz w:val="20"/>
                <w:szCs w:val="20"/>
              </w:rPr>
              <w:t xml:space="preserve">Úroveň II. – </w:t>
            </w:r>
            <w:r w:rsidR="005E7AF7" w:rsidRPr="005E7AF7">
              <w:rPr>
                <w:sz w:val="20"/>
                <w:szCs w:val="20"/>
              </w:rPr>
              <w:t>znalost pravidel</w:t>
            </w:r>
          </w:p>
        </w:tc>
        <w:tc>
          <w:tcPr>
            <w:tcW w:w="3402" w:type="dxa"/>
            <w:tcBorders>
              <w:top w:val="single" w:sz="2" w:space="0" w:color="auto"/>
              <w:bottom w:val="single" w:sz="2" w:space="0" w:color="auto"/>
            </w:tcBorders>
          </w:tcPr>
          <w:p w:rsidR="00F13547" w:rsidRPr="005E7AF7" w:rsidRDefault="005E7AF7" w:rsidP="00844548">
            <w:pPr>
              <w:spacing w:before="120" w:after="120"/>
              <w:rPr>
                <w:sz w:val="20"/>
                <w:szCs w:val="20"/>
              </w:rPr>
            </w:pPr>
            <w:r w:rsidRPr="005E7AF7">
              <w:rPr>
                <w:sz w:val="20"/>
                <w:szCs w:val="20"/>
              </w:rPr>
              <w:t>Jedná se o uzavřené (konvergentní) dobře strukturované učební úlohy podporující učení se pravidlům (algoritmům, principům). Úlohy jsou jednoznačně zadány, je hledán jeden způsob řešení/jedna odpověď. Žák by měl prokázat znalost nějakého naučeného pravidla, postupu, vztahu.</w:t>
            </w:r>
          </w:p>
        </w:tc>
        <w:tc>
          <w:tcPr>
            <w:tcW w:w="3260" w:type="dxa"/>
            <w:tcBorders>
              <w:top w:val="single" w:sz="2" w:space="0" w:color="auto"/>
              <w:bottom w:val="single" w:sz="2" w:space="0" w:color="auto"/>
            </w:tcBorders>
          </w:tcPr>
          <w:p w:rsidR="00F13547" w:rsidRPr="005D78A6" w:rsidRDefault="00DA694F" w:rsidP="00844548">
            <w:pPr>
              <w:spacing w:before="120" w:after="120"/>
              <w:rPr>
                <w:sz w:val="20"/>
                <w:szCs w:val="20"/>
              </w:rPr>
            </w:pPr>
            <w:r w:rsidRPr="005D78A6">
              <w:rPr>
                <w:sz w:val="20"/>
                <w:szCs w:val="20"/>
              </w:rPr>
              <w:t>Jak vznikají monzuny?</w:t>
            </w:r>
          </w:p>
          <w:p w:rsidR="00DA694F" w:rsidRPr="005D78A6" w:rsidRDefault="00DA694F" w:rsidP="00DA694F">
            <w:pPr>
              <w:spacing w:before="120" w:after="120"/>
              <w:rPr>
                <w:sz w:val="20"/>
                <w:szCs w:val="20"/>
              </w:rPr>
            </w:pPr>
            <w:r w:rsidRPr="005D78A6">
              <w:rPr>
                <w:sz w:val="20"/>
                <w:szCs w:val="20"/>
              </w:rPr>
              <w:t>Vysvětlete, jak se rostliny a živočichové v tundře přizpůsobují zdejším podmínkám.</w:t>
            </w:r>
          </w:p>
          <w:p w:rsidR="00DA694F" w:rsidRPr="005D78A6" w:rsidRDefault="00DA694F" w:rsidP="00DA694F">
            <w:pPr>
              <w:spacing w:before="120" w:after="120"/>
              <w:rPr>
                <w:sz w:val="20"/>
                <w:szCs w:val="20"/>
              </w:rPr>
            </w:pPr>
            <w:r w:rsidRPr="005D78A6">
              <w:rPr>
                <w:sz w:val="20"/>
                <w:szCs w:val="20"/>
              </w:rPr>
              <w:t>Vysvětlete, jak závisí vzhled krajiny na složení půdy.</w:t>
            </w:r>
          </w:p>
        </w:tc>
      </w:tr>
      <w:tr w:rsidR="00F13547" w:rsidRPr="00CE5E1B" w:rsidTr="005E7AF7">
        <w:tc>
          <w:tcPr>
            <w:tcW w:w="2518" w:type="dxa"/>
            <w:tcBorders>
              <w:bottom w:val="single" w:sz="4" w:space="0" w:color="auto"/>
            </w:tcBorders>
          </w:tcPr>
          <w:p w:rsidR="00F13547" w:rsidRPr="005E7AF7" w:rsidRDefault="00F13547" w:rsidP="005E7AF7">
            <w:pPr>
              <w:spacing w:before="120" w:after="120"/>
              <w:ind w:left="1134" w:hanging="1134"/>
              <w:rPr>
                <w:sz w:val="20"/>
                <w:szCs w:val="20"/>
              </w:rPr>
            </w:pPr>
            <w:r w:rsidRPr="005E7AF7">
              <w:rPr>
                <w:sz w:val="20"/>
                <w:szCs w:val="20"/>
              </w:rPr>
              <w:t>Úroveň III. –</w:t>
            </w:r>
            <w:r w:rsidR="005E7AF7" w:rsidRPr="005E7AF7">
              <w:rPr>
                <w:sz w:val="20"/>
                <w:szCs w:val="20"/>
              </w:rPr>
              <w:t xml:space="preserve"> </w:t>
            </w:r>
            <w:r w:rsidRPr="005E7AF7">
              <w:rPr>
                <w:sz w:val="20"/>
                <w:szCs w:val="20"/>
              </w:rPr>
              <w:t>řešení problémů</w:t>
            </w:r>
          </w:p>
        </w:tc>
        <w:tc>
          <w:tcPr>
            <w:tcW w:w="3402" w:type="dxa"/>
            <w:tcBorders>
              <w:top w:val="single" w:sz="2" w:space="0" w:color="auto"/>
              <w:bottom w:val="single" w:sz="4" w:space="0" w:color="auto"/>
            </w:tcBorders>
          </w:tcPr>
          <w:p w:rsidR="00F13547" w:rsidRPr="005E7AF7" w:rsidRDefault="005E7AF7" w:rsidP="00844548">
            <w:pPr>
              <w:spacing w:before="120" w:after="120"/>
              <w:rPr>
                <w:sz w:val="20"/>
                <w:szCs w:val="20"/>
              </w:rPr>
            </w:pPr>
            <w:r w:rsidRPr="005E7AF7">
              <w:rPr>
                <w:sz w:val="20"/>
                <w:szCs w:val="20"/>
              </w:rPr>
              <w:t xml:space="preserve">Jedná se o otevřené (divergentní) učební úlohy podporující problémové učení. Úlohy a) jsou jednoznačně zadány, ale mohou mít více možných způsobů řešení (dobře strukturované otevřené učební úlohy) nebo b) úlohy žáky informují o určitém problému, není ovšem položena jednoznačná otázka nebo pokyn k jednání (neúplně strukturované otevřené učební úlohy). Tyto úlohy v sobě implicitně obsahují více možných otázek a </w:t>
            </w:r>
            <w:r>
              <w:rPr>
                <w:sz w:val="20"/>
                <w:szCs w:val="20"/>
              </w:rPr>
              <w:t xml:space="preserve">nastolená </w:t>
            </w:r>
            <w:r w:rsidRPr="005E7AF7">
              <w:rPr>
                <w:sz w:val="20"/>
                <w:szCs w:val="20"/>
              </w:rPr>
              <w:t>problémová situace je výzvou k jednání. Z toho vyplývá více možných řešení/odpovědí. Žák by měl prokázat schopnost samostatně vytvářet nová a originální řešení problémových situací, příp. schopnost propojit jedno pravidlo s dalším pravidlem nebo více pravidly.</w:t>
            </w:r>
          </w:p>
        </w:tc>
        <w:tc>
          <w:tcPr>
            <w:tcW w:w="3260" w:type="dxa"/>
            <w:tcBorders>
              <w:top w:val="single" w:sz="2" w:space="0" w:color="auto"/>
              <w:bottom w:val="single" w:sz="2" w:space="0" w:color="auto"/>
            </w:tcBorders>
          </w:tcPr>
          <w:p w:rsidR="00F13547" w:rsidRPr="005D78A6" w:rsidRDefault="00DA694F" w:rsidP="00844548">
            <w:pPr>
              <w:spacing w:before="120" w:after="120"/>
              <w:rPr>
                <w:sz w:val="20"/>
                <w:szCs w:val="20"/>
              </w:rPr>
            </w:pPr>
            <w:r w:rsidRPr="005D78A6">
              <w:rPr>
                <w:sz w:val="20"/>
                <w:szCs w:val="20"/>
              </w:rPr>
              <w:t>Navrhněte možná řešení, jak předcházet půdní erozi.</w:t>
            </w:r>
          </w:p>
          <w:p w:rsidR="00DA694F" w:rsidRPr="005D78A6" w:rsidRDefault="00DA694F" w:rsidP="00844548">
            <w:pPr>
              <w:spacing w:before="120" w:after="120"/>
              <w:rPr>
                <w:sz w:val="20"/>
                <w:szCs w:val="20"/>
              </w:rPr>
            </w:pPr>
            <w:r w:rsidRPr="005D78A6">
              <w:rPr>
                <w:sz w:val="20"/>
                <w:szCs w:val="20"/>
              </w:rPr>
              <w:t>Určete si ve třídě dvojici, která navštíví obecní úřad, kde pomocí kroniky nebo místních novin a jiného materiálu zjistí dobu, průběh a následky největších povodní, které zasáhly obec. Do jednoduché mapky pak zakreslete rizikové oblasti, kde dochází nejčastěji k povodním. Pokuste se po skupinách navrhnout preventivní opatření proti ničivým následkům povodní. O svých návrzích pak diskutujte a porovnejte je s návrhy obecního krizového plánu v případě povodní.</w:t>
            </w:r>
          </w:p>
          <w:p w:rsidR="005C7A9B" w:rsidRPr="005D78A6" w:rsidRDefault="005C7A9B" w:rsidP="00844548">
            <w:pPr>
              <w:spacing w:before="120" w:after="120"/>
              <w:rPr>
                <w:sz w:val="20"/>
                <w:szCs w:val="20"/>
              </w:rPr>
            </w:pPr>
            <w:r w:rsidRPr="005D78A6">
              <w:rPr>
                <w:sz w:val="20"/>
                <w:szCs w:val="20"/>
              </w:rPr>
              <w:t>Mohou vědci předpovídat zemětřesení a sopečnou činnost? Co je pro člověka nebezpečnější, jak se může chránit?</w:t>
            </w:r>
          </w:p>
        </w:tc>
      </w:tr>
    </w:tbl>
    <w:p w:rsidR="00F13547" w:rsidRPr="00CE5E1B" w:rsidRDefault="00F13547" w:rsidP="00F13547">
      <w:pPr>
        <w:rPr>
          <w:sz w:val="20"/>
          <w:szCs w:val="20"/>
        </w:rPr>
      </w:pPr>
    </w:p>
    <w:p w:rsidR="00F13547" w:rsidRDefault="00F13547" w:rsidP="00F13547"/>
    <w:p w:rsidR="00734A8F" w:rsidRPr="00F13547" w:rsidRDefault="00734A8F" w:rsidP="00D973FD">
      <w:pPr>
        <w:spacing w:after="120" w:line="360" w:lineRule="auto"/>
        <w:jc w:val="both"/>
      </w:pPr>
    </w:p>
    <w:p w:rsidR="003F3311" w:rsidRDefault="003F3311" w:rsidP="00426E58">
      <w:pPr>
        <w:pStyle w:val="Nadpis5"/>
        <w:numPr>
          <w:ilvl w:val="0"/>
          <w:numId w:val="0"/>
        </w:numPr>
        <w:spacing w:line="276" w:lineRule="auto"/>
        <w:ind w:left="1008" w:hanging="1008"/>
        <w:rPr>
          <w:lang w:val="en-GB"/>
        </w:rPr>
      </w:pPr>
      <w:r>
        <w:rPr>
          <w:lang w:val="en-GB"/>
        </w:rPr>
        <w:t>Náročnost</w:t>
      </w:r>
    </w:p>
    <w:p w:rsidR="00131378" w:rsidRPr="00154542" w:rsidRDefault="00734A8F" w:rsidP="00605BA8">
      <w:pPr>
        <w:spacing w:after="120" w:line="276" w:lineRule="auto"/>
        <w:jc w:val="both"/>
      </w:pPr>
      <w:r w:rsidRPr="00734A8F">
        <w:t>Pro kategorizaci náročnosti učebních úloh používáme systém operátorů</w:t>
      </w:r>
      <w:r w:rsidR="005D78A6">
        <w:t xml:space="preserve"> vycházející z dimenze kognitivního procesu zjednodušené Bloomovy taxonomie (srov. kap. </w:t>
      </w:r>
      <w:r w:rsidR="00C3752D">
        <w:t>1.8.4</w:t>
      </w:r>
      <w:r w:rsidR="005D78A6">
        <w:t>).</w:t>
      </w:r>
      <w:r w:rsidRPr="00734A8F">
        <w:t xml:space="preserve"> Zejména v německy hovořící oblasti jsou aktuálně diskutovány možnosti využití didaktických operátorů jako jedné z komponent nové kultury vyučování a učení orientované na rozvíjení kompetencí (</w:t>
      </w:r>
      <w:r w:rsidR="00F257AE">
        <w:t xml:space="preserve">srov. </w:t>
      </w:r>
      <w:r w:rsidRPr="00734A8F">
        <w:t>Mittelstädt, 2010, 2012; Keller, 2012). Didaktické operátory je možné definovat jako jednotky a útvary, zpravidla ve formě návodů a instrukcí, navozujících a řídících učební a poznávací činnosti (srov. Kulič, 1992, s. 75).</w:t>
      </w:r>
      <w:r w:rsidRPr="00734A8F">
        <w:rPr>
          <w:vertAlign w:val="superscript"/>
        </w:rPr>
        <w:footnoteReference w:id="83"/>
      </w:r>
      <w:r w:rsidRPr="00734A8F">
        <w:t xml:space="preserve"> Analyzujeme-li regulativní působení učebnice nebo učitele, setkáváme se s jednotlivými návody a instrukcemi navozujícími různé typické výukové situace. V závislosti na použitém didaktickém operátoru je možné hovořit o učebních úlohách a výukových situacích </w:t>
      </w:r>
      <w:r w:rsidR="007C4FD9">
        <w:t>určité úrovně náročnosti</w:t>
      </w:r>
      <w:r w:rsidRPr="00734A8F">
        <w:t>. Didaktické operátory se od sebe liší svojí jednoduchostí či složitostí činností či úkolových situací, jež vyvolávají. Operátory mají většinou podobu typizovaných sloves iniciujících jednání žáků a aktivizující jejich předdefinované a naučené způsoby chování (</w:t>
      </w:r>
      <w:r w:rsidR="005D78A6">
        <w:t xml:space="preserve">podrobněji viz </w:t>
      </w:r>
      <w:r w:rsidRPr="00734A8F">
        <w:t>Keller, 2009, s. 29). Porozumění slovesům navozujícím očekávané jednání je klíčovým předpokladem pro úspěšné řešení učebních úloh.</w:t>
      </w:r>
      <w:r w:rsidRPr="00734A8F">
        <w:rPr>
          <w:vertAlign w:val="superscript"/>
        </w:rPr>
        <w:footnoteReference w:id="84"/>
      </w:r>
      <w:r w:rsidRPr="00734A8F">
        <w:t xml:space="preserve"> Většinu operátorů je možné přiřadit k jedné ze tří úrovní </w:t>
      </w:r>
      <w:r w:rsidR="007C4FD9">
        <w:t xml:space="preserve">kognitivní </w:t>
      </w:r>
      <w:r w:rsidRPr="00734A8F">
        <w:t>náročnosti</w:t>
      </w:r>
      <w:r w:rsidR="005D78A6">
        <w:t xml:space="preserve"> (srov. tab. 6)</w:t>
      </w:r>
      <w:r w:rsidRPr="00734A8F">
        <w:t xml:space="preserve">. </w:t>
      </w:r>
      <w:r w:rsidR="00131378" w:rsidRPr="00131378">
        <w:rPr>
          <w:color w:val="FF0000"/>
        </w:rPr>
        <w:tab/>
      </w:r>
    </w:p>
    <w:p w:rsidR="00A720FB" w:rsidRDefault="00A720FB">
      <w:pPr>
        <w:rPr>
          <w:iCs/>
        </w:rPr>
      </w:pPr>
      <w:bookmarkStart w:id="84" w:name="_Toc322984178"/>
      <w:bookmarkStart w:id="85" w:name="_Toc323982015"/>
      <w:r>
        <w:rPr>
          <w:b/>
          <w:bCs/>
          <w:iCs/>
        </w:rPr>
        <w:br w:type="page"/>
      </w:r>
    </w:p>
    <w:p w:rsidR="00AC4D5B" w:rsidRDefault="00AC4D5B" w:rsidP="008B26CE">
      <w:pPr>
        <w:pStyle w:val="Titulek"/>
        <w:spacing w:before="0"/>
        <w:rPr>
          <w:b w:val="0"/>
          <w:bCs w:val="0"/>
          <w:iCs/>
          <w:sz w:val="24"/>
          <w:szCs w:val="24"/>
        </w:rPr>
      </w:pPr>
    </w:p>
    <w:p w:rsidR="001E0A15" w:rsidRPr="001E0A15" w:rsidRDefault="001E0A15" w:rsidP="001E0A15">
      <w:pPr>
        <w:pStyle w:val="Titulek"/>
        <w:rPr>
          <w:b w:val="0"/>
          <w:bCs w:val="0"/>
          <w:iCs/>
          <w:sz w:val="32"/>
          <w:szCs w:val="24"/>
        </w:rPr>
      </w:pPr>
      <w:bookmarkStart w:id="86" w:name="_Toc399013070"/>
      <w:r w:rsidRPr="001E0A15">
        <w:rPr>
          <w:b w:val="0"/>
          <w:sz w:val="24"/>
        </w:rPr>
        <w:t xml:space="preserve">Tabulka </w:t>
      </w:r>
      <w:r w:rsidR="003818A1" w:rsidRPr="001E0A15">
        <w:rPr>
          <w:b w:val="0"/>
          <w:sz w:val="24"/>
        </w:rPr>
        <w:fldChar w:fldCharType="begin"/>
      </w:r>
      <w:r w:rsidRPr="001E0A15">
        <w:rPr>
          <w:b w:val="0"/>
          <w:sz w:val="24"/>
        </w:rPr>
        <w:instrText xml:space="preserve"> SEQ Tabulka \* ARABIC </w:instrText>
      </w:r>
      <w:r w:rsidR="003818A1" w:rsidRPr="001E0A15">
        <w:rPr>
          <w:b w:val="0"/>
          <w:sz w:val="24"/>
        </w:rPr>
        <w:fldChar w:fldCharType="separate"/>
      </w:r>
      <w:r w:rsidR="00FB20B9">
        <w:rPr>
          <w:b w:val="0"/>
          <w:noProof/>
          <w:sz w:val="24"/>
        </w:rPr>
        <w:t>6</w:t>
      </w:r>
      <w:bookmarkEnd w:id="86"/>
      <w:r w:rsidR="003818A1" w:rsidRPr="001E0A15">
        <w:rPr>
          <w:b w:val="0"/>
          <w:sz w:val="24"/>
        </w:rPr>
        <w:fldChar w:fldCharType="end"/>
      </w:r>
    </w:p>
    <w:p w:rsidR="00BB250E" w:rsidRDefault="00CE5E1B" w:rsidP="008B26CE">
      <w:pPr>
        <w:pStyle w:val="Titulek"/>
        <w:spacing w:before="0"/>
      </w:pPr>
      <w:r>
        <w:rPr>
          <w:b w:val="0"/>
          <w:i/>
          <w:sz w:val="24"/>
          <w:szCs w:val="24"/>
        </w:rPr>
        <w:t>K</w:t>
      </w:r>
      <w:r w:rsidR="00F13547">
        <w:rPr>
          <w:b w:val="0"/>
          <w:i/>
          <w:sz w:val="24"/>
          <w:szCs w:val="24"/>
        </w:rPr>
        <w:t>ategoriální</w:t>
      </w:r>
      <w:r w:rsidR="00BB250E" w:rsidRPr="00A55E6B">
        <w:rPr>
          <w:b w:val="0"/>
          <w:i/>
          <w:sz w:val="24"/>
          <w:szCs w:val="24"/>
        </w:rPr>
        <w:t xml:space="preserve"> systém</w:t>
      </w:r>
      <w:bookmarkEnd w:id="84"/>
      <w:bookmarkEnd w:id="85"/>
      <w:r>
        <w:rPr>
          <w:b w:val="0"/>
          <w:i/>
          <w:sz w:val="24"/>
          <w:szCs w:val="24"/>
        </w:rPr>
        <w:t xml:space="preserve"> pro hodnocení kognitivní náročnosti učebních úloh</w:t>
      </w:r>
    </w:p>
    <w:tbl>
      <w:tblPr>
        <w:tblW w:w="0" w:type="auto"/>
        <w:tblLook w:val="01E0" w:firstRow="1" w:lastRow="1" w:firstColumn="1" w:lastColumn="1" w:noHBand="0" w:noVBand="0"/>
      </w:tblPr>
      <w:tblGrid>
        <w:gridCol w:w="2660"/>
        <w:gridCol w:w="2977"/>
        <w:gridCol w:w="3543"/>
      </w:tblGrid>
      <w:tr w:rsidR="00BB250E" w:rsidRPr="00CE5E1B" w:rsidTr="005E7AF7">
        <w:tc>
          <w:tcPr>
            <w:tcW w:w="2660" w:type="dxa"/>
            <w:tcBorders>
              <w:top w:val="single" w:sz="4" w:space="0" w:color="auto"/>
              <w:bottom w:val="single" w:sz="6" w:space="0" w:color="auto"/>
            </w:tcBorders>
          </w:tcPr>
          <w:p w:rsidR="00BB250E" w:rsidRPr="00CE5E1B" w:rsidRDefault="00BE7153" w:rsidP="008B26CE">
            <w:pPr>
              <w:spacing w:before="120" w:after="120"/>
              <w:jc w:val="center"/>
              <w:rPr>
                <w:sz w:val="20"/>
                <w:szCs w:val="20"/>
              </w:rPr>
            </w:pPr>
            <w:r w:rsidRPr="00CE5E1B">
              <w:rPr>
                <w:sz w:val="20"/>
                <w:szCs w:val="20"/>
              </w:rPr>
              <w:t>kategorie</w:t>
            </w:r>
          </w:p>
        </w:tc>
        <w:tc>
          <w:tcPr>
            <w:tcW w:w="2977" w:type="dxa"/>
            <w:tcBorders>
              <w:top w:val="single" w:sz="4" w:space="0" w:color="auto"/>
              <w:bottom w:val="single" w:sz="6" w:space="0" w:color="auto"/>
            </w:tcBorders>
          </w:tcPr>
          <w:p w:rsidR="00BB250E" w:rsidRPr="00CE5E1B" w:rsidRDefault="00786B51" w:rsidP="008B26CE">
            <w:pPr>
              <w:spacing w:before="120" w:after="120"/>
              <w:jc w:val="center"/>
              <w:rPr>
                <w:sz w:val="20"/>
                <w:szCs w:val="20"/>
              </w:rPr>
            </w:pPr>
            <w:r>
              <w:rPr>
                <w:sz w:val="20"/>
                <w:szCs w:val="20"/>
              </w:rPr>
              <w:t>popis</w:t>
            </w:r>
          </w:p>
        </w:tc>
        <w:tc>
          <w:tcPr>
            <w:tcW w:w="3543" w:type="dxa"/>
            <w:tcBorders>
              <w:top w:val="single" w:sz="4" w:space="0" w:color="auto"/>
              <w:bottom w:val="single" w:sz="6" w:space="0" w:color="auto"/>
            </w:tcBorders>
          </w:tcPr>
          <w:p w:rsidR="00BB250E" w:rsidRPr="00CE5E1B" w:rsidRDefault="00786B51" w:rsidP="001654A8">
            <w:pPr>
              <w:spacing w:before="120" w:after="120"/>
              <w:jc w:val="center"/>
              <w:rPr>
                <w:sz w:val="20"/>
                <w:szCs w:val="20"/>
              </w:rPr>
            </w:pPr>
            <w:r>
              <w:rPr>
                <w:sz w:val="20"/>
                <w:szCs w:val="20"/>
              </w:rPr>
              <w:t xml:space="preserve">ideálně typické </w:t>
            </w:r>
            <w:r w:rsidR="00BE7153" w:rsidRPr="00CE5E1B">
              <w:rPr>
                <w:sz w:val="20"/>
                <w:szCs w:val="20"/>
              </w:rPr>
              <w:t>operátor</w:t>
            </w:r>
            <w:r>
              <w:rPr>
                <w:sz w:val="20"/>
                <w:szCs w:val="20"/>
              </w:rPr>
              <w:t>y</w:t>
            </w:r>
            <w:r w:rsidR="005E7AF7">
              <w:rPr>
                <w:sz w:val="20"/>
                <w:szCs w:val="20"/>
              </w:rPr>
              <w:t xml:space="preserve"> </w:t>
            </w:r>
          </w:p>
        </w:tc>
      </w:tr>
      <w:tr w:rsidR="00BB250E" w:rsidRPr="00CE5E1B" w:rsidTr="005E7AF7">
        <w:trPr>
          <w:trHeight w:val="1009"/>
        </w:trPr>
        <w:tc>
          <w:tcPr>
            <w:tcW w:w="2660" w:type="dxa"/>
            <w:tcBorders>
              <w:top w:val="single" w:sz="6" w:space="0" w:color="auto"/>
            </w:tcBorders>
          </w:tcPr>
          <w:p w:rsidR="00BB250E" w:rsidRPr="00CE5E1B" w:rsidRDefault="00BE7153" w:rsidP="008B26CE">
            <w:pPr>
              <w:spacing w:before="120" w:after="120"/>
              <w:rPr>
                <w:sz w:val="20"/>
                <w:szCs w:val="20"/>
              </w:rPr>
            </w:pPr>
            <w:r w:rsidRPr="00CE5E1B">
              <w:rPr>
                <w:sz w:val="20"/>
                <w:szCs w:val="20"/>
              </w:rPr>
              <w:t>Úroveň I. – reprodukce</w:t>
            </w:r>
          </w:p>
        </w:tc>
        <w:tc>
          <w:tcPr>
            <w:tcW w:w="2977" w:type="dxa"/>
            <w:tcBorders>
              <w:top w:val="single" w:sz="6" w:space="0" w:color="auto"/>
              <w:bottom w:val="single" w:sz="2" w:space="0" w:color="auto"/>
            </w:tcBorders>
          </w:tcPr>
          <w:p w:rsidR="00BB250E" w:rsidRPr="00CE5E1B" w:rsidRDefault="00CE5E1B" w:rsidP="008B26CE">
            <w:pPr>
              <w:spacing w:before="120" w:after="120"/>
              <w:rPr>
                <w:sz w:val="20"/>
                <w:szCs w:val="20"/>
              </w:rPr>
            </w:pPr>
            <w:r w:rsidRPr="00CE5E1B">
              <w:rPr>
                <w:sz w:val="20"/>
              </w:rPr>
              <w:t>Zahrnuje učební úlohy nižší kognitivní náročnosti, jejichž řešení spočívá především v získávání informací (z paměti či z dostupných informačních materiálů, např. učebnic). Jedná se o úlohy, které vyžadují především popis a reprodukci geografických obsahů.</w:t>
            </w:r>
          </w:p>
        </w:tc>
        <w:tc>
          <w:tcPr>
            <w:tcW w:w="3543" w:type="dxa"/>
            <w:tcBorders>
              <w:top w:val="single" w:sz="6" w:space="0" w:color="auto"/>
              <w:bottom w:val="single" w:sz="2" w:space="0" w:color="auto"/>
            </w:tcBorders>
          </w:tcPr>
          <w:p w:rsidR="00BB250E" w:rsidRPr="00CE5E1B" w:rsidRDefault="00786B51" w:rsidP="00786B51">
            <w:pPr>
              <w:spacing w:before="120" w:after="120"/>
              <w:rPr>
                <w:sz w:val="20"/>
                <w:szCs w:val="20"/>
              </w:rPr>
            </w:pPr>
            <w:r w:rsidRPr="00786B51">
              <w:rPr>
                <w:sz w:val="20"/>
                <w:szCs w:val="20"/>
              </w:rPr>
              <w:t xml:space="preserve">Vzpomeňte si, ukažte, zaneste (do mapy), zjistěte (informace), </w:t>
            </w:r>
            <w:r w:rsidR="00DF6910">
              <w:rPr>
                <w:sz w:val="20"/>
                <w:szCs w:val="20"/>
              </w:rPr>
              <w:t xml:space="preserve">vyhledejte, </w:t>
            </w:r>
            <w:r w:rsidRPr="00786B51">
              <w:rPr>
                <w:sz w:val="20"/>
                <w:szCs w:val="20"/>
              </w:rPr>
              <w:t>určete, zapište, uveďte, označte, vyberte, popište</w:t>
            </w:r>
            <w:r>
              <w:rPr>
                <w:sz w:val="20"/>
                <w:szCs w:val="20"/>
              </w:rPr>
              <w:t xml:space="preserve"> (podle obrázku)</w:t>
            </w:r>
            <w:r w:rsidRPr="00786B51">
              <w:rPr>
                <w:sz w:val="20"/>
                <w:szCs w:val="20"/>
              </w:rPr>
              <w:t xml:space="preserve">, </w:t>
            </w:r>
            <w:r w:rsidR="000A2F3E">
              <w:rPr>
                <w:sz w:val="20"/>
                <w:szCs w:val="20"/>
              </w:rPr>
              <w:t>urč</w:t>
            </w:r>
            <w:r w:rsidR="001654A8">
              <w:rPr>
                <w:sz w:val="20"/>
                <w:szCs w:val="20"/>
              </w:rPr>
              <w:t>e</w:t>
            </w:r>
            <w:r w:rsidR="000A2F3E">
              <w:rPr>
                <w:sz w:val="20"/>
                <w:szCs w:val="20"/>
              </w:rPr>
              <w:t xml:space="preserve">te (podle obrázku), </w:t>
            </w:r>
            <w:r w:rsidRPr="00786B51">
              <w:rPr>
                <w:sz w:val="20"/>
                <w:szCs w:val="20"/>
              </w:rPr>
              <w:t xml:space="preserve">shrňte, proveďte, lokalizujte, jmenujte, pojmenujte, </w:t>
            </w:r>
            <w:r w:rsidR="000A2F3E">
              <w:rPr>
                <w:sz w:val="20"/>
                <w:szCs w:val="20"/>
              </w:rPr>
              <w:t xml:space="preserve">volně </w:t>
            </w:r>
            <w:r w:rsidRPr="00786B51">
              <w:rPr>
                <w:sz w:val="20"/>
                <w:szCs w:val="20"/>
              </w:rPr>
              <w:t>vyprávějte, shrňte</w:t>
            </w:r>
            <w:r w:rsidR="000A2F3E">
              <w:rPr>
                <w:sz w:val="20"/>
                <w:szCs w:val="20"/>
              </w:rPr>
              <w:t>, překreslete</w:t>
            </w:r>
            <w:r>
              <w:rPr>
                <w:sz w:val="20"/>
                <w:szCs w:val="20"/>
              </w:rPr>
              <w:t>.</w:t>
            </w:r>
          </w:p>
        </w:tc>
      </w:tr>
      <w:tr w:rsidR="00BB250E" w:rsidRPr="00CE5E1B" w:rsidTr="005E7AF7">
        <w:tc>
          <w:tcPr>
            <w:tcW w:w="2660" w:type="dxa"/>
          </w:tcPr>
          <w:p w:rsidR="00BB250E" w:rsidRPr="00CE5E1B" w:rsidRDefault="00BE7153" w:rsidP="008B26CE">
            <w:pPr>
              <w:spacing w:before="120" w:after="120"/>
              <w:rPr>
                <w:sz w:val="20"/>
                <w:szCs w:val="20"/>
              </w:rPr>
            </w:pPr>
            <w:r w:rsidRPr="00CE5E1B">
              <w:rPr>
                <w:sz w:val="20"/>
                <w:szCs w:val="20"/>
              </w:rPr>
              <w:t>Úroveň II. – reorganizace</w:t>
            </w:r>
          </w:p>
        </w:tc>
        <w:tc>
          <w:tcPr>
            <w:tcW w:w="2977" w:type="dxa"/>
            <w:tcBorders>
              <w:top w:val="single" w:sz="2" w:space="0" w:color="auto"/>
              <w:bottom w:val="single" w:sz="2" w:space="0" w:color="auto"/>
            </w:tcBorders>
          </w:tcPr>
          <w:p w:rsidR="00BB250E" w:rsidRPr="00CE5E1B" w:rsidRDefault="00CE5E1B" w:rsidP="008B26CE">
            <w:pPr>
              <w:spacing w:before="120" w:after="120"/>
              <w:rPr>
                <w:sz w:val="20"/>
                <w:szCs w:val="20"/>
              </w:rPr>
            </w:pPr>
            <w:r w:rsidRPr="00CE5E1B">
              <w:rPr>
                <w:sz w:val="20"/>
                <w:szCs w:val="20"/>
              </w:rPr>
              <w:t>Zahrnuje učební úlohy střední kognitivní náročnosti, které vyžadují schopnost samostatně vysvětlit, zpracovat, porovnat a seřadit známé geografické obsahy, metody nebo postupy a aplikovat je v kontextu jiných (obdobných, příbuzných, souvisejících) geografických obsahů.</w:t>
            </w:r>
          </w:p>
        </w:tc>
        <w:tc>
          <w:tcPr>
            <w:tcW w:w="3543" w:type="dxa"/>
            <w:tcBorders>
              <w:top w:val="single" w:sz="2" w:space="0" w:color="auto"/>
              <w:bottom w:val="single" w:sz="2" w:space="0" w:color="auto"/>
            </w:tcBorders>
          </w:tcPr>
          <w:p w:rsidR="00BB250E" w:rsidRPr="00CE5E1B" w:rsidRDefault="00786B51" w:rsidP="00DF6910">
            <w:pPr>
              <w:spacing w:before="120" w:after="120"/>
              <w:rPr>
                <w:sz w:val="20"/>
                <w:szCs w:val="20"/>
              </w:rPr>
            </w:pPr>
            <w:r>
              <w:rPr>
                <w:sz w:val="20"/>
                <w:szCs w:val="20"/>
              </w:rPr>
              <w:t>U</w:t>
            </w:r>
            <w:r w:rsidRPr="00786B51">
              <w:rPr>
                <w:sz w:val="20"/>
                <w:szCs w:val="20"/>
              </w:rPr>
              <w:t xml:space="preserve">veďte příklad, popište vztah, roztřiďte, na základě dostupných materiálů vypracujte, seřaďte, zařaďte, aplikujte, nalezněte, vyberte, vypočítejte, porovnejte, analyzujte, aplikujte, rozdělte, rozčleňte, vysvětlete, ukažte, naplánujte, interpretujte, reflektujte, přezkoumejte, potvrďte, vlastními slovy… charakterizujte, formulujte, prezentujte, přiřaďte, nakreslete schéma, </w:t>
            </w:r>
            <w:r w:rsidR="000A2F3E">
              <w:rPr>
                <w:sz w:val="20"/>
                <w:szCs w:val="20"/>
              </w:rPr>
              <w:t>náčrt, d</w:t>
            </w:r>
            <w:r w:rsidRPr="00786B51">
              <w:rPr>
                <w:sz w:val="20"/>
                <w:szCs w:val="20"/>
              </w:rPr>
              <w:t>iagram, myšlenkovou mapu (převod obsahu do grafické podoby)</w:t>
            </w:r>
            <w:r>
              <w:rPr>
                <w:sz w:val="20"/>
                <w:szCs w:val="20"/>
              </w:rPr>
              <w:t>.</w:t>
            </w:r>
          </w:p>
        </w:tc>
      </w:tr>
      <w:tr w:rsidR="00BB250E" w:rsidRPr="00CE5E1B" w:rsidTr="005E7AF7">
        <w:tc>
          <w:tcPr>
            <w:tcW w:w="2660" w:type="dxa"/>
            <w:tcBorders>
              <w:bottom w:val="single" w:sz="4" w:space="0" w:color="auto"/>
            </w:tcBorders>
          </w:tcPr>
          <w:p w:rsidR="00BB250E" w:rsidRPr="00CE5E1B" w:rsidRDefault="00BE7153" w:rsidP="005E7AF7">
            <w:pPr>
              <w:spacing w:before="120" w:after="120"/>
              <w:ind w:left="1134" w:hanging="1134"/>
              <w:rPr>
                <w:sz w:val="20"/>
                <w:szCs w:val="20"/>
              </w:rPr>
            </w:pPr>
            <w:r w:rsidRPr="00CE5E1B">
              <w:rPr>
                <w:sz w:val="20"/>
                <w:szCs w:val="20"/>
              </w:rPr>
              <w:t>Úroveň III. – reflexe a řešení problémů</w:t>
            </w:r>
          </w:p>
        </w:tc>
        <w:tc>
          <w:tcPr>
            <w:tcW w:w="2977" w:type="dxa"/>
            <w:tcBorders>
              <w:top w:val="single" w:sz="2" w:space="0" w:color="auto"/>
              <w:bottom w:val="single" w:sz="4" w:space="0" w:color="auto"/>
            </w:tcBorders>
          </w:tcPr>
          <w:p w:rsidR="00BB250E" w:rsidRPr="00CE5E1B" w:rsidRDefault="00CE5E1B" w:rsidP="008B26CE">
            <w:pPr>
              <w:spacing w:before="120" w:after="120"/>
              <w:rPr>
                <w:sz w:val="20"/>
                <w:szCs w:val="20"/>
              </w:rPr>
            </w:pPr>
            <w:r w:rsidRPr="00CE5E1B">
              <w:rPr>
                <w:sz w:val="20"/>
                <w:szCs w:val="20"/>
              </w:rPr>
              <w:t>Zahrnuje učební úlohy vyšší kognitivní náročnosti, k jejichž zvládnutí je nutná schopnost reflektivního posouzení neznámých situací, získaných poznatků, metod a postupů za účelem zdůvodnění, zhodnocení, nalezení jejich (z pohledu žáka nových) významů a souvislostí relevantních pro řešení nastíněných geografických problémů.</w:t>
            </w:r>
          </w:p>
        </w:tc>
        <w:tc>
          <w:tcPr>
            <w:tcW w:w="3543" w:type="dxa"/>
            <w:tcBorders>
              <w:top w:val="single" w:sz="2" w:space="0" w:color="auto"/>
              <w:bottom w:val="single" w:sz="2" w:space="0" w:color="auto"/>
            </w:tcBorders>
          </w:tcPr>
          <w:p w:rsidR="00BB250E" w:rsidRPr="00CE5E1B" w:rsidRDefault="00786B51" w:rsidP="00DF6910">
            <w:pPr>
              <w:spacing w:before="120" w:after="120"/>
              <w:rPr>
                <w:sz w:val="20"/>
                <w:szCs w:val="20"/>
              </w:rPr>
            </w:pPr>
            <w:r>
              <w:rPr>
                <w:sz w:val="20"/>
                <w:szCs w:val="20"/>
              </w:rPr>
              <w:t>R</w:t>
            </w:r>
            <w:r w:rsidRPr="00786B51">
              <w:rPr>
                <w:sz w:val="20"/>
                <w:szCs w:val="20"/>
              </w:rPr>
              <w:t>ozhodněte, navrhněte řešení, vytvořte, předneste, stanovte, předpovězte, zaujměte stanovisko, zdůvodněte</w:t>
            </w:r>
            <w:r w:rsidR="00DF6910">
              <w:rPr>
                <w:sz w:val="20"/>
                <w:szCs w:val="20"/>
              </w:rPr>
              <w:t xml:space="preserve"> (ale ne ve významu „vysvětlete“)</w:t>
            </w:r>
            <w:r w:rsidRPr="00786B51">
              <w:rPr>
                <w:sz w:val="20"/>
                <w:szCs w:val="20"/>
              </w:rPr>
              <w:t xml:space="preserve">, </w:t>
            </w:r>
            <w:r w:rsidR="00154542">
              <w:rPr>
                <w:sz w:val="20"/>
                <w:szCs w:val="20"/>
              </w:rPr>
              <w:t xml:space="preserve">dokažte, </w:t>
            </w:r>
            <w:r w:rsidRPr="00786B51">
              <w:rPr>
                <w:sz w:val="20"/>
                <w:szCs w:val="20"/>
              </w:rPr>
              <w:t xml:space="preserve">ohodnoťte, zaujměte stanovisko, diskutujte, rozveďte, </w:t>
            </w:r>
            <w:r w:rsidR="000A2F3E">
              <w:rPr>
                <w:sz w:val="20"/>
                <w:szCs w:val="20"/>
              </w:rPr>
              <w:t xml:space="preserve">názorně předveďte, </w:t>
            </w:r>
            <w:r w:rsidRPr="00786B51">
              <w:rPr>
                <w:sz w:val="20"/>
                <w:szCs w:val="20"/>
              </w:rPr>
              <w:t>vytvořte/</w:t>
            </w:r>
            <w:r w:rsidR="00DF6910">
              <w:rPr>
                <w:sz w:val="20"/>
                <w:szCs w:val="20"/>
              </w:rPr>
              <w:t xml:space="preserve">sestavte </w:t>
            </w:r>
            <w:r w:rsidRPr="00786B51">
              <w:rPr>
                <w:sz w:val="20"/>
                <w:szCs w:val="20"/>
              </w:rPr>
              <w:t>originální schéma, model, náčrt</w:t>
            </w:r>
            <w:r w:rsidR="00DF6910">
              <w:rPr>
                <w:sz w:val="20"/>
                <w:szCs w:val="20"/>
              </w:rPr>
              <w:t xml:space="preserve"> (obsluhující z pohledu žáka nové informace)</w:t>
            </w:r>
            <w:r>
              <w:rPr>
                <w:sz w:val="20"/>
                <w:szCs w:val="20"/>
              </w:rPr>
              <w:t>.</w:t>
            </w:r>
          </w:p>
        </w:tc>
      </w:tr>
    </w:tbl>
    <w:p w:rsidR="00FB7694" w:rsidRPr="00CE5E1B" w:rsidRDefault="00FB7694" w:rsidP="00A43B20">
      <w:pPr>
        <w:rPr>
          <w:sz w:val="20"/>
          <w:szCs w:val="20"/>
        </w:rPr>
      </w:pPr>
      <w:bookmarkStart w:id="87" w:name="_Toc322983694"/>
    </w:p>
    <w:p w:rsidR="003D50DD" w:rsidRDefault="003D50DD" w:rsidP="00426E58">
      <w:pPr>
        <w:pStyle w:val="Nadpis4"/>
        <w:numPr>
          <w:ilvl w:val="0"/>
          <w:numId w:val="0"/>
        </w:numPr>
      </w:pPr>
      <w:r>
        <w:t>Metodika analýzy dat</w:t>
      </w:r>
    </w:p>
    <w:p w:rsidR="003D50DD" w:rsidRPr="003D50DD" w:rsidRDefault="00F40528" w:rsidP="00CC6E6D">
      <w:pPr>
        <w:spacing w:after="120" w:line="276" w:lineRule="auto"/>
        <w:jc w:val="both"/>
      </w:pPr>
      <w:r>
        <w:t>Vzhledem k nenormálnímu rozložení dat jsme taktéž pracovali se statistickými technikami vhodnými pro statistickou analýzu ordinálních neparametrických dat. S</w:t>
      </w:r>
      <w:r w:rsidR="003D50DD">
        <w:t>počíta</w:t>
      </w:r>
      <w:r>
        <w:t>li jsme</w:t>
      </w:r>
      <w:r w:rsidR="00CC6E6D">
        <w:t xml:space="preserve"> mediány a</w:t>
      </w:r>
      <w:r w:rsidR="003D50DD">
        <w:t xml:space="preserve"> absolutní </w:t>
      </w:r>
      <w:r w:rsidR="000A19C3">
        <w:t xml:space="preserve">a relativní </w:t>
      </w:r>
      <w:r w:rsidR="003D50DD">
        <w:t>četnosti prvků v každé z</w:t>
      </w:r>
      <w:r w:rsidR="000A19C3">
        <w:t> </w:t>
      </w:r>
      <w:r w:rsidR="003D50DD">
        <w:t>kategorií</w:t>
      </w:r>
      <w:r w:rsidR="000A19C3">
        <w:t xml:space="preserve">. </w:t>
      </w:r>
      <w:r w:rsidR="00D3228B">
        <w:t xml:space="preserve">V jedné z deskriptivních analýz jsme z důvodu vizualizace dat počítali také </w:t>
      </w:r>
      <w:r w:rsidR="00CC6E6D">
        <w:t xml:space="preserve">aritmetické </w:t>
      </w:r>
      <w:r w:rsidR="00D3228B">
        <w:t xml:space="preserve">průměry, ačkoliv jsme si vědomi, že průměr je jednou z technik parametrického měření. </w:t>
      </w:r>
      <w:r w:rsidR="000A19C3">
        <w:t xml:space="preserve">Pro zjištění odlišností jednotlivých dimenzí jsme </w:t>
      </w:r>
      <w:r w:rsidR="00D3228B">
        <w:t xml:space="preserve">použili </w:t>
      </w:r>
      <w:r w:rsidR="000A19C3" w:rsidRPr="00265040">
        <w:t>neparametrickou analýzu rozptylu</w:t>
      </w:r>
      <w:r w:rsidR="00D3228B">
        <w:t xml:space="preserve"> </w:t>
      </w:r>
      <w:r w:rsidR="00D3228B" w:rsidRPr="00265040">
        <w:t>(Friedmanova ANOVA</w:t>
      </w:r>
      <w:r w:rsidR="00D3228B">
        <w:t xml:space="preserve"> pro více než dva závislé výběry</w:t>
      </w:r>
      <w:r w:rsidR="000A19C3">
        <w:t>)</w:t>
      </w:r>
      <w:r w:rsidR="00D3228B">
        <w:t xml:space="preserve"> a </w:t>
      </w:r>
      <w:r w:rsidR="009C3C33">
        <w:t xml:space="preserve">následný </w:t>
      </w:r>
      <w:r w:rsidR="00D3228B" w:rsidRPr="00265040">
        <w:t xml:space="preserve">dvouvýběrový Wilcoxonův </w:t>
      </w:r>
      <w:r w:rsidR="00CC6E6D">
        <w:t xml:space="preserve">pořadový </w:t>
      </w:r>
      <w:r w:rsidR="00D3228B" w:rsidRPr="00265040">
        <w:t xml:space="preserve">test </w:t>
      </w:r>
      <w:r w:rsidR="00D3228B">
        <w:t>(</w:t>
      </w:r>
      <w:r w:rsidR="00D3228B" w:rsidRPr="00265040">
        <w:t>s Bonferroniho korekcí</w:t>
      </w:r>
      <w:r w:rsidR="00D3228B">
        <w:t xml:space="preserve">). </w:t>
      </w:r>
      <w:r w:rsidR="001A4A35">
        <w:t>St</w:t>
      </w:r>
      <w:r w:rsidR="00CC6E6D">
        <w:t>ati</w:t>
      </w:r>
      <w:r w:rsidR="001A4A35">
        <w:t>st</w:t>
      </w:r>
      <w:r w:rsidR="00CC6E6D">
        <w:t>i</w:t>
      </w:r>
      <w:r w:rsidR="001A4A35">
        <w:t>cké závislosti</w:t>
      </w:r>
      <w:r w:rsidR="000A19C3">
        <w:t xml:space="preserve"> mezi jednotlivými dimenzemi jsme analyzovali pomocí Spea</w:t>
      </w:r>
      <w:r w:rsidR="00D3228B">
        <w:t xml:space="preserve">rmanova korelačního koeficientu. </w:t>
      </w:r>
    </w:p>
    <w:p w:rsidR="003D50DD" w:rsidRPr="00FB7694" w:rsidRDefault="003D50DD" w:rsidP="00A43B20"/>
    <w:p w:rsidR="00FB7694" w:rsidRDefault="00FB7694" w:rsidP="00426E58">
      <w:pPr>
        <w:pStyle w:val="Nadpis4"/>
        <w:numPr>
          <w:ilvl w:val="0"/>
          <w:numId w:val="0"/>
        </w:numPr>
      </w:pPr>
      <w:r>
        <w:t>Limitace použité metodiky a jejich řešení</w:t>
      </w:r>
    </w:p>
    <w:p w:rsidR="003674E1" w:rsidRDefault="00FB7694" w:rsidP="00FF6C64">
      <w:pPr>
        <w:spacing w:after="120" w:line="276" w:lineRule="auto"/>
        <w:jc w:val="both"/>
      </w:pPr>
      <w:r>
        <w:t>Je-li učební úloha blízká těm, které má již žák osvojeny, pak klade menší nároky na myšlenkové úsilí žáků než úlohy, ve kterých žáci řadí jejich prvky nově a uvědom</w:t>
      </w:r>
      <w:r w:rsidR="00BB4D3E">
        <w:t>u</w:t>
      </w:r>
      <w:r>
        <w:t xml:space="preserve">jí si doposud neznámé vztahy a souvislosti. </w:t>
      </w:r>
      <w:r w:rsidR="003674E1">
        <w:t xml:space="preserve">Tyto myšlenkové procesy vyžadují vyšší úroveň analýzy, abstrakce, samostatného hledání, kladení dílčích otázek, ověřování hypotéz apod. </w:t>
      </w:r>
      <w:r w:rsidR="00262921">
        <w:t xml:space="preserve">Skutečnost, zda určitá učební úloha klade na žáka zcela nové nároky, bohužel nelze </w:t>
      </w:r>
      <w:r w:rsidR="003674E1">
        <w:t xml:space="preserve">s využitím námi vyvinutého výzkumného nástroje zjišťovat. </w:t>
      </w:r>
    </w:p>
    <w:p w:rsidR="003674E1" w:rsidRDefault="00FB7694" w:rsidP="00FF6C64">
      <w:pPr>
        <w:spacing w:after="120" w:line="276" w:lineRule="auto"/>
        <w:jc w:val="both"/>
      </w:pPr>
      <w:r>
        <w:t xml:space="preserve">Přiřazování jednotlivých učebních úloh do jednotlivých úrovní není možné zcela objektivizovat, ale závisí na subjektivně nastavených kritériích. </w:t>
      </w:r>
      <w:r w:rsidR="00262921" w:rsidRPr="00EC6EC8">
        <w:t xml:space="preserve">Skalková (2007, s. 157–158) rozlišuje složitost </w:t>
      </w:r>
      <w:r w:rsidR="00262921">
        <w:t xml:space="preserve">(komplexitu) </w:t>
      </w:r>
      <w:r w:rsidR="00262921" w:rsidRPr="00EC6EC8">
        <w:t>a obtížnost problémové úlohy. Zatímco složitost problémové úlohy je objektivní kategorií podmíněnou strukturou a obsahem vyžadujících určitou soustavu poznávacích činností, obtížnost problémové úlohy je subjektivní kategorií vztaženou k intelektuálním možnostem žáků.</w:t>
      </w:r>
      <w:r w:rsidR="00262921">
        <w:t xml:space="preserve"> </w:t>
      </w:r>
    </w:p>
    <w:p w:rsidR="00FB7694" w:rsidRDefault="00FB7694" w:rsidP="00FF6C64">
      <w:pPr>
        <w:spacing w:after="120" w:line="276" w:lineRule="auto"/>
        <w:jc w:val="both"/>
      </w:pPr>
      <w:r>
        <w:t xml:space="preserve">Nezanedbatelnou roli hraje pochopitelně také kontext. Otázka kontextového zařazení učebních úloh by vydala na samostatnou metodologickou studii. Po zvážení všech pro a proti jsme se v případě učebních úloh v učebnicích rozhodli úmyslně zacházet se zkoumanými učebními úlohami jako s „texty bez kontextu“. Pokud bychom se rozhodli pro hlubší kontextové zařazení jednotlivých úloh, hledání jejich míry propojení s výkladovým textem, </w:t>
      </w:r>
      <w:r w:rsidR="00C3752D">
        <w:t>širší</w:t>
      </w:r>
      <w:r>
        <w:t xml:space="preserve"> popis okolností, dohledávání (potenciálních i reálných) cílů a intencí autorů, jednalo by se o výzkum, který by v mnohém metodologicky překračoval hranice obsahové analýzy</w:t>
      </w:r>
      <w:r w:rsidR="00222339">
        <w:t xml:space="preserve"> i našich výzkumných možností.</w:t>
      </w:r>
      <w:r>
        <w:t xml:space="preserve"> </w:t>
      </w:r>
    </w:p>
    <w:p w:rsidR="00FB7694" w:rsidRDefault="00FB7694" w:rsidP="00FF6C64">
      <w:pPr>
        <w:spacing w:after="120" w:line="276" w:lineRule="auto"/>
        <w:jc w:val="both"/>
      </w:pPr>
      <w:r>
        <w:t>Jelikož nezanedbatelná část zkoumaných učebních úloh byla formulována mnohoznačně, používali výzkumníci pro přiřazování učebních úloh k jednotlivým dimenzím operátory, které sloužily ke zpřesnění zadání a zdůvodnění subjektivního úsudku výzkumníka (např. polysémantická učební úloha „Kde leží Sahel?“ byla doplněna operátorem „Ukaž na mapě.“</w:t>
      </w:r>
      <w:r w:rsidR="00C3752D">
        <w:t>).</w:t>
      </w:r>
    </w:p>
    <w:p w:rsidR="005746F8" w:rsidRDefault="00FB7694" w:rsidP="00FF6C64">
      <w:pPr>
        <w:spacing w:after="120" w:line="276" w:lineRule="auto"/>
        <w:jc w:val="both"/>
      </w:pPr>
      <w:r>
        <w:t>Pokud učební úlohy byly složeny z více otázek nebo úkolů, byly tyto úlohy posuzovány komplexně a byly hodnoceny na základě nejvyšší požadované úrovně myšlení. V případě, že učební úloha obsahovala různé typy podotázek (uzavřené, otevřené) uvozené operátory spadajícími do všech tří úrovní, byly tyto úlohy kódovány jako úlohy nejvyšší náročnosti.</w:t>
      </w:r>
      <w:r w:rsidR="007C4FD9">
        <w:t xml:space="preserve"> Již dřív</w:t>
      </w:r>
      <w:r w:rsidR="00222339">
        <w:t>e</w:t>
      </w:r>
      <w:r w:rsidR="007C4FD9">
        <w:t xml:space="preserve"> jsme uvedli, že </w:t>
      </w:r>
      <w:r w:rsidR="005746F8">
        <w:t xml:space="preserve">Švaříček (2011, s. </w:t>
      </w:r>
      <w:r w:rsidR="008E453D">
        <w:t>21</w:t>
      </w:r>
      <w:r w:rsidR="005C4A68">
        <w:t>–</w:t>
      </w:r>
      <w:r w:rsidR="008E453D">
        <w:t>23)</w:t>
      </w:r>
      <w:r w:rsidR="005746F8">
        <w:t xml:space="preserve"> připouští existenci otevřených</w:t>
      </w:r>
      <w:r w:rsidR="00CD5356">
        <w:t>, zdánlivě komplexních</w:t>
      </w:r>
      <w:r w:rsidR="005746F8">
        <w:t xml:space="preserve"> učebních úloh, jež nemusí </w:t>
      </w:r>
      <w:r w:rsidR="008E453D">
        <w:t xml:space="preserve">přímo souviset s učivem </w:t>
      </w:r>
      <w:r w:rsidR="005746F8">
        <w:t>(dotazy na osobní život žáků, jehož reálie je možné následně propojit s učivem, apod.).</w:t>
      </w:r>
      <w:r w:rsidR="008E453D">
        <w:t xml:space="preserve"> Navzdory tomu, že se jedná o otevřené učební úlohy, byly tyto úlohy </w:t>
      </w:r>
      <w:r w:rsidR="00CD5356">
        <w:t>posuzovány nejnižším stupněm systémovosti, komplexity a náročnosti.</w:t>
      </w:r>
      <w:r w:rsidR="002E6EA8">
        <w:t xml:space="preserve"> </w:t>
      </w:r>
    </w:p>
    <w:p w:rsidR="00BB4D3E" w:rsidRPr="00D42D2E" w:rsidRDefault="00BB4D3E" w:rsidP="00BB4D3E">
      <w:pPr>
        <w:spacing w:after="120" w:line="276" w:lineRule="auto"/>
        <w:jc w:val="both"/>
      </w:pPr>
      <w:r w:rsidRPr="00D42D2E">
        <w:t>Je důležité připomenout, že jednotkou analýzy v první fázi výzkum</w:t>
      </w:r>
      <w:r>
        <w:t>u</w:t>
      </w:r>
      <w:r w:rsidRPr="00D42D2E">
        <w:t xml:space="preserve"> byly otázky a úkoly v učebnicích. Jakékoliv další prvky didaktického aparátu učebnic </w:t>
      </w:r>
      <w:r w:rsidR="00222339">
        <w:t xml:space="preserve">(například vizuálie) </w:t>
      </w:r>
      <w:r w:rsidRPr="00D42D2E">
        <w:t xml:space="preserve">byly v případě tohoto výzkumu považovány za nerelevantní, byť jsme si vědomi, že jejich zahrnutí do námi prováděné analýzy by zprostředkovalo komplexnější informace o didaktické kvalitě zkoumaných učebnic. </w:t>
      </w:r>
    </w:p>
    <w:p w:rsidR="00FB7694" w:rsidRDefault="00FB7694" w:rsidP="00FF6C64">
      <w:pPr>
        <w:spacing w:after="120" w:line="276" w:lineRule="auto"/>
      </w:pPr>
    </w:p>
    <w:p w:rsidR="00114AB0" w:rsidRDefault="000A7048" w:rsidP="00A720FB">
      <w:pPr>
        <w:pStyle w:val="Nadpis4"/>
        <w:numPr>
          <w:ilvl w:val="0"/>
          <w:numId w:val="0"/>
        </w:numPr>
        <w:spacing w:before="0" w:after="120"/>
      </w:pPr>
      <w:r>
        <w:t>V</w:t>
      </w:r>
      <w:r w:rsidR="007A2F69">
        <w:t>alidit</w:t>
      </w:r>
      <w:r>
        <w:t>a</w:t>
      </w:r>
      <w:r w:rsidR="007A2F69">
        <w:t xml:space="preserve"> </w:t>
      </w:r>
      <w:r w:rsidR="00114AB0" w:rsidRPr="00F81539">
        <w:t>výzkumného nástroje</w:t>
      </w:r>
      <w:bookmarkEnd w:id="87"/>
    </w:p>
    <w:p w:rsidR="00BA35C5" w:rsidRPr="00C3752D" w:rsidRDefault="0059608C" w:rsidP="00FF6C64">
      <w:pPr>
        <w:spacing w:after="120" w:line="276" w:lineRule="auto"/>
        <w:jc w:val="both"/>
        <w:rPr>
          <w:color w:val="0070C0"/>
        </w:rPr>
      </w:pPr>
      <w:r>
        <w:t>Obsahová analýza jako výzkumná metoda implikuje pouze omezené možnosti kontroly validity kategoriálních systémů.</w:t>
      </w:r>
      <w:r w:rsidR="00496763">
        <w:t xml:space="preserve"> </w:t>
      </w:r>
      <w:r w:rsidR="00F8713E">
        <w:t>Vnitřní validita výzkumného nástroje je vysoká, pokud je možné výsledná zjiš</w:t>
      </w:r>
      <w:r w:rsidR="002417AA">
        <w:t xml:space="preserve">tění jednoznačně a konzistentně interpretovat (v ideálním případě by měly být interpretace výzkumných zjištění z pohledu výzkumníka, zúčastněných kódovatelů i nezúčastněných expertů identické, resp. významově velmi blízké). </w:t>
      </w:r>
      <w:r w:rsidR="00BA35C5">
        <w:t>Způsob konstrukce použitého výzkumného nástroje, jeho logika i jeho praktické použití zakládá jeho vysokou vnitřní validitu, neboť umožňují poměrně hluboko proniknout do podstaty zkoumaného problému a učinit tak přesný popis a následnou interpretaci výzkumných zjištění.</w:t>
      </w:r>
    </w:p>
    <w:p w:rsidR="00BA35C5" w:rsidRDefault="00F8713E" w:rsidP="00FF6C64">
      <w:pPr>
        <w:spacing w:after="120" w:line="276" w:lineRule="auto"/>
        <w:jc w:val="both"/>
      </w:pPr>
      <w:r>
        <w:t xml:space="preserve">Vysokou vnější validitu výzkumného nástroje zaručuje možnost generalizovat výsledná zjištění. </w:t>
      </w:r>
      <w:r w:rsidR="00770A31">
        <w:t>Ideálního stavu, kdy použitý výzkumný nástroj vykazuje vysokou interní i externí validitu, se v empirických výzkumech vzdělávání daří velmi výjimečně (</w:t>
      </w:r>
      <w:r w:rsidR="00222339">
        <w:t xml:space="preserve">podrobněji viz </w:t>
      </w:r>
      <w:r w:rsidR="00770A31">
        <w:t>Böhm-Kasper, Schuchart, &amp; Weishaupt, 2009, s. 39). Z</w:t>
      </w:r>
      <w:r>
        <w:t>působ výběru výzkumného vzorku, zúžení pouze na nižší sekundární vzdě</w:t>
      </w:r>
      <w:r w:rsidR="00770A31">
        <w:t>lávání a jeden tematický celek učiva a skutečnost, že geogra</w:t>
      </w:r>
      <w:r>
        <w:t>ﬁcké vzdělávací obsahy mohou být zastoupen</w:t>
      </w:r>
      <w:r w:rsidR="00770A31">
        <w:t xml:space="preserve">y kromě zeměpisu také v jiných </w:t>
      </w:r>
      <w:r>
        <w:t>vyučovacích předmětech, neumožňuje širší z</w:t>
      </w:r>
      <w:r w:rsidR="00770A31">
        <w:t>obecnění prezentovaných zjiště</w:t>
      </w:r>
      <w:r>
        <w:t>ní</w:t>
      </w:r>
      <w:r w:rsidR="00770A31">
        <w:t xml:space="preserve">. To </w:t>
      </w:r>
      <w:r w:rsidR="00851E0A">
        <w:t>zakládá</w:t>
      </w:r>
      <w:r w:rsidR="00770A31">
        <w:t xml:space="preserve"> nízkou externí validitu </w:t>
      </w:r>
      <w:r w:rsidR="00301891">
        <w:t xml:space="preserve">námi použitého </w:t>
      </w:r>
      <w:r w:rsidR="00770A31">
        <w:t xml:space="preserve">výzkumného nástroje. </w:t>
      </w:r>
    </w:p>
    <w:p w:rsidR="00296494" w:rsidRDefault="00BA35C5" w:rsidP="00FF6C64">
      <w:pPr>
        <w:spacing w:after="120" w:line="276" w:lineRule="auto"/>
        <w:jc w:val="both"/>
      </w:pPr>
      <w:r>
        <w:t>Obsahová validita</w:t>
      </w:r>
      <w:r w:rsidR="005161B8">
        <w:t xml:space="preserve"> byla zaručena deduktivním postupem </w:t>
      </w:r>
      <w:r w:rsidR="00B072B5">
        <w:t>tvorby výzkumného nástroje</w:t>
      </w:r>
      <w:r w:rsidR="005100D2">
        <w:t xml:space="preserve"> (vycházející</w:t>
      </w:r>
      <w:r w:rsidR="002417AA">
        <w:t>m</w:t>
      </w:r>
      <w:r w:rsidR="005100D2">
        <w:t xml:space="preserve"> z teorie), </w:t>
      </w:r>
      <w:r w:rsidR="005777DD">
        <w:t xml:space="preserve">postupným </w:t>
      </w:r>
      <w:r w:rsidR="005100D2">
        <w:t xml:space="preserve">zpřesňováním obsahového vymezení jednotlivých kategorií </w:t>
      </w:r>
      <w:r w:rsidR="00B072B5">
        <w:t>a několikerým opo</w:t>
      </w:r>
      <w:r w:rsidR="004E0B73">
        <w:t>nen</w:t>
      </w:r>
      <w:r w:rsidR="00B072B5">
        <w:t>tním posouzením výzkumného nástroje experty v</w:t>
      </w:r>
      <w:r w:rsidR="000516FF">
        <w:t xml:space="preserve"> obecné </w:t>
      </w:r>
      <w:r w:rsidR="004E0B73">
        <w:t xml:space="preserve">didaktice </w:t>
      </w:r>
      <w:r w:rsidR="000516FF">
        <w:t>i oborové</w:t>
      </w:r>
      <w:r w:rsidR="00B072B5">
        <w:t> didaktice geografie</w:t>
      </w:r>
      <w:r w:rsidR="004E0B73">
        <w:t xml:space="preserve"> se zkušenostmi s výzkumem učebnic a výzkumem školní výuky</w:t>
      </w:r>
      <w:r w:rsidR="00B072B5">
        <w:t>.</w:t>
      </w:r>
      <w:r w:rsidR="00172E06">
        <w:rPr>
          <w:rStyle w:val="Znakapoznpodarou"/>
        </w:rPr>
        <w:footnoteReference w:id="85"/>
      </w:r>
      <w:r w:rsidR="00B072B5">
        <w:t xml:space="preserve"> Stejní experti také deklarovali relevan</w:t>
      </w:r>
      <w:r w:rsidR="000516FF">
        <w:t>ci</w:t>
      </w:r>
      <w:r w:rsidR="00B072B5">
        <w:t xml:space="preserve"> výzkumného šetření</w:t>
      </w:r>
      <w:r w:rsidR="000516FF">
        <w:t>, neboli jeho závažnost, užitečnost a přínosnost pro teorii a praxi</w:t>
      </w:r>
      <w:r w:rsidR="00B072B5">
        <w:t xml:space="preserve"> </w:t>
      </w:r>
      <w:r w:rsidR="000516FF">
        <w:t>(nejen geografického) vz</w:t>
      </w:r>
      <w:r w:rsidR="00B072B5">
        <w:t xml:space="preserve">dělávání. </w:t>
      </w:r>
    </w:p>
    <w:p w:rsidR="00F8713E" w:rsidRDefault="00194470" w:rsidP="00FF6C64">
      <w:pPr>
        <w:spacing w:after="120" w:line="276" w:lineRule="auto"/>
        <w:jc w:val="both"/>
      </w:pPr>
      <w:r>
        <w:t>Někteří autoři uvádějí, že obsahovou validitu výzkumného nástroje je možné zaručit také tím, že sami výzkumníci co nejvíce porozumí předmětu výzkumu</w:t>
      </w:r>
      <w:r w:rsidR="00D810DE">
        <w:t xml:space="preserve"> </w:t>
      </w:r>
      <w:r w:rsidR="00851E0A">
        <w:t xml:space="preserve">(Bortz &amp; Döring, 1995, s. 142). Autor předkládané práce figuroval v roli koordinátora výzkumu a </w:t>
      </w:r>
      <w:r w:rsidR="007E079C">
        <w:t>implicitně</w:t>
      </w:r>
      <w:r w:rsidR="00851E0A">
        <w:t xml:space="preserve"> se předpokládalo, že je nejvíce obeznámen s cíli výzkumu a jednotlivými výzkumnými postupy.</w:t>
      </w:r>
      <w:r w:rsidR="00496763">
        <w:t xml:space="preserve"> </w:t>
      </w:r>
      <w:r w:rsidR="00851E0A">
        <w:t xml:space="preserve">Byl to právě koordinátor výzkumu, který vykonával supervizi dílčích výzkumných kroků a usiloval s ohledem na svůj vhled do problematiky </w:t>
      </w:r>
      <w:r w:rsidR="00101F06">
        <w:t xml:space="preserve">o dosažení nejvyšší možné obsahové validity výzkumného nástroje. </w:t>
      </w:r>
      <w:r w:rsidR="009D5967" w:rsidRPr="0049586E">
        <w:t>Naším cílem bylo co nejvěrněji zachy</w:t>
      </w:r>
      <w:r w:rsidR="0049586E" w:rsidRPr="0049586E">
        <w:t>tit</w:t>
      </w:r>
      <w:r w:rsidR="009D5967" w:rsidRPr="0049586E">
        <w:t xml:space="preserve"> </w:t>
      </w:r>
      <w:r w:rsidR="0049586E" w:rsidRPr="0049586E">
        <w:t>reálný stav</w:t>
      </w:r>
      <w:r w:rsidR="009D5967" w:rsidRPr="0049586E">
        <w:t xml:space="preserve"> zkoumaných fenoménů z pohledu všech zúčastněných výzkumníků a zprostředkovaně také čtenářů výsledné výzkumné zprávy (tzv. </w:t>
      </w:r>
      <w:r w:rsidR="009D5967" w:rsidRPr="008921EC">
        <w:rPr>
          <w:i/>
        </w:rPr>
        <w:t>common meeting ground</w:t>
      </w:r>
      <w:r w:rsidR="009D5967" w:rsidRPr="0049586E">
        <w:t xml:space="preserve"> – srov. Berelson, 1952, s. 19).</w:t>
      </w:r>
      <w:r w:rsidR="00101F06">
        <w:t xml:space="preserve"> </w:t>
      </w:r>
    </w:p>
    <w:p w:rsidR="00BA35C5" w:rsidRDefault="00BA35C5" w:rsidP="00FF6C64">
      <w:pPr>
        <w:spacing w:after="120" w:line="276" w:lineRule="auto"/>
        <w:jc w:val="both"/>
      </w:pPr>
    </w:p>
    <w:p w:rsidR="00740E68" w:rsidRDefault="005B7144" w:rsidP="00426E58">
      <w:pPr>
        <w:pStyle w:val="Nadpis4"/>
        <w:numPr>
          <w:ilvl w:val="0"/>
          <w:numId w:val="0"/>
        </w:numPr>
      </w:pPr>
      <w:r>
        <w:t>Reliabilita</w:t>
      </w:r>
      <w:r w:rsidR="008921EC">
        <w:t xml:space="preserve"> výzkumného nástroje</w:t>
      </w:r>
    </w:p>
    <w:p w:rsidR="00671E66" w:rsidRDefault="00671E66" w:rsidP="00FF6C64">
      <w:pPr>
        <w:spacing w:after="120" w:line="276" w:lineRule="auto"/>
        <w:jc w:val="both"/>
      </w:pPr>
      <w:r>
        <w:t xml:space="preserve">Reliabilitu kategoriálních systémů nejčastěji charakterizuje dosažená míra shody mezi více kódovateli (měřená v %), resp. inter-rater-reliabilita (měřená prostř. koeficientů </w:t>
      </w:r>
      <w:r w:rsidRPr="009B705D">
        <w:rPr>
          <w:i/>
        </w:rPr>
        <w:t>Cohenovo κ</w:t>
      </w:r>
      <w:r>
        <w:t xml:space="preserve"> nebo </w:t>
      </w:r>
      <w:r w:rsidRPr="009B705D">
        <w:rPr>
          <w:i/>
        </w:rPr>
        <w:t>Scottovo π</w:t>
      </w:r>
      <w:r>
        <w:t>).</w:t>
      </w:r>
      <w:r>
        <w:rPr>
          <w:rStyle w:val="Znakapoznpodarou"/>
        </w:rPr>
        <w:footnoteReference w:id="86"/>
      </w:r>
      <w:r>
        <w:t xml:space="preserve"> Smyslem těchto měření je zjistit, jak se odlišují úsudky různých kódovatelů využívajících stejný kategoriální systému. Pokud hodnoty přímé shody, resp. inter-rater-reliability odpovídají doporučovaným metodologickým standardům (viz níže), je možné konstatovat, že za dodržení stejných výchozích podmínek úsudek jednoho z kódovatelů zrcadlí také úsudek ostatních kódovatelů. </w:t>
      </w:r>
    </w:p>
    <w:p w:rsidR="005B7144" w:rsidRDefault="00671E66" w:rsidP="00FF6C64">
      <w:pPr>
        <w:spacing w:after="120" w:line="276" w:lineRule="auto"/>
        <w:jc w:val="both"/>
      </w:pPr>
      <w:r>
        <w:t>Nutno podotknout, že v</w:t>
      </w:r>
      <w:r w:rsidR="005B7144">
        <w:t xml:space="preserve">ýzkumy založené na kategorizaci učebních úloh </w:t>
      </w:r>
      <w:r>
        <w:t xml:space="preserve">(typicky např. dle Bloomovy taxonomie) </w:t>
      </w:r>
      <w:r w:rsidR="005B7144">
        <w:t xml:space="preserve">zpravidla nedosahují vysoké reliability, resp. reliabilita měření zpravidla není zjišťována. Tato skutečnost bývá častým terčem kritiky, neboť je velmi pravděpodobné, že měření zastoupení nějakého jevu podle určité typologie může být značně subjektivní. </w:t>
      </w:r>
      <w:r>
        <w:t>Jelikož</w:t>
      </w:r>
      <w:r w:rsidR="00653559">
        <w:t xml:space="preserve"> kategoriální systémy pro analýzu nominálních dat zpravidla vykazují </w:t>
      </w:r>
      <w:r w:rsidR="00653559" w:rsidRPr="00897C8B">
        <w:t>časté neshody při kódován</w:t>
      </w:r>
      <w:r w:rsidR="00653559">
        <w:t xml:space="preserve">í mezi více kódovateli </w:t>
      </w:r>
      <w:r w:rsidR="00653559" w:rsidRPr="00C83E20">
        <w:rPr>
          <w:bCs/>
          <w:iCs/>
        </w:rPr>
        <w:t>(</w:t>
      </w:r>
      <w:r>
        <w:t>Wirtz &amp; Caspar, 2002, s. 247), nedochází k hlubšímu objasnění zkoumaných jevů.</w:t>
      </w:r>
    </w:p>
    <w:p w:rsidR="006904D1" w:rsidRPr="002821F1" w:rsidRDefault="00B13369" w:rsidP="00FF6C64">
      <w:pPr>
        <w:spacing w:after="120" w:line="276" w:lineRule="auto"/>
        <w:jc w:val="both"/>
        <w:rPr>
          <w:bCs/>
        </w:rPr>
      </w:pPr>
      <w:r w:rsidRPr="00F152BD">
        <w:rPr>
          <w:bCs/>
        </w:rPr>
        <w:t xml:space="preserve">Na ověřování reliability </w:t>
      </w:r>
      <w:r w:rsidR="00671E66">
        <w:rPr>
          <w:bCs/>
        </w:rPr>
        <w:t xml:space="preserve">námi použitého </w:t>
      </w:r>
      <w:r w:rsidRPr="00F152BD">
        <w:rPr>
          <w:bCs/>
        </w:rPr>
        <w:t xml:space="preserve">výzkumného nástroje se podíleli dva kódovatelé. </w:t>
      </w:r>
      <w:r w:rsidR="003A1981" w:rsidRPr="00F152BD">
        <w:t>Samotný</w:t>
      </w:r>
      <w:r w:rsidR="003A1981">
        <w:t xml:space="preserve"> proces kódování probíhal </w:t>
      </w:r>
      <w:r w:rsidR="00173959">
        <w:t xml:space="preserve">zprvu </w:t>
      </w:r>
      <w:r w:rsidR="003A1981">
        <w:t xml:space="preserve">odděleně – během kódování neměli kódovatelné možnost spolu komunikovat. </w:t>
      </w:r>
      <w:r w:rsidR="006904D1">
        <w:rPr>
          <w:bCs/>
        </w:rPr>
        <w:t xml:space="preserve">Ke zjištění míry shody mezi kódovateli byl v programu </w:t>
      </w:r>
      <w:r w:rsidR="006904D1" w:rsidRPr="001134D2">
        <w:rPr>
          <w:bCs/>
          <w:i/>
          <w:iCs/>
        </w:rPr>
        <w:t>SPSS S</w:t>
      </w:r>
      <w:r w:rsidR="006904D1">
        <w:rPr>
          <w:bCs/>
          <w:i/>
          <w:iCs/>
        </w:rPr>
        <w:t>t</w:t>
      </w:r>
      <w:r w:rsidR="006904D1" w:rsidRPr="001134D2">
        <w:rPr>
          <w:bCs/>
          <w:i/>
          <w:iCs/>
        </w:rPr>
        <w:t>atistics</w:t>
      </w:r>
      <w:r w:rsidR="006904D1">
        <w:rPr>
          <w:bCs/>
        </w:rPr>
        <w:t xml:space="preserve"> (ver. 18) vypočítán koeficient shody </w:t>
      </w:r>
      <w:r w:rsidR="006904D1" w:rsidRPr="00A42300">
        <w:rPr>
          <w:bCs/>
        </w:rPr>
        <w:t>–</w:t>
      </w:r>
      <w:r w:rsidR="006904D1">
        <w:rPr>
          <w:bCs/>
        </w:rPr>
        <w:t xml:space="preserve"> </w:t>
      </w:r>
      <w:r w:rsidR="006904D1" w:rsidRPr="00550B99">
        <w:rPr>
          <w:bCs/>
          <w:i/>
          <w:iCs/>
        </w:rPr>
        <w:t>Cohenovo Kappa (κ)</w:t>
      </w:r>
      <w:r w:rsidR="006904D1">
        <w:rPr>
          <w:bCs/>
        </w:rPr>
        <w:t xml:space="preserve">. Koeficient </w:t>
      </w:r>
      <w:r w:rsidR="006904D1" w:rsidRPr="00576C22">
        <w:rPr>
          <w:bCs/>
          <w:iCs/>
        </w:rPr>
        <w:t>κ</w:t>
      </w:r>
      <w:r w:rsidR="006904D1">
        <w:rPr>
          <w:bCs/>
          <w:iCs/>
        </w:rPr>
        <w:t xml:space="preserve"> je v současnosti nejčastěji používaným nástrojem k měření inter-rater-reliability. </w:t>
      </w:r>
      <w:r w:rsidR="006904D1">
        <w:rPr>
          <w:bCs/>
        </w:rPr>
        <w:t>Jako doplňující ukazatel byly vypočítány také hodnoty přímé shody.</w:t>
      </w:r>
      <w:r w:rsidR="00173959">
        <w:rPr>
          <w:rStyle w:val="Znakapoznpodarou"/>
          <w:bCs/>
        </w:rPr>
        <w:footnoteReference w:id="87"/>
      </w:r>
      <w:r w:rsidR="006904D1">
        <w:rPr>
          <w:bCs/>
        </w:rPr>
        <w:t xml:space="preserve"> </w:t>
      </w:r>
      <w:r w:rsidR="006904D1" w:rsidRPr="009A4821">
        <w:rPr>
          <w:bCs/>
        </w:rPr>
        <w:t>Koeficient Kappa (κ) ve srovnání s hodnotou přímé shody umožňuje korigovat možnost dosažení náhodné shody mezi kódovateli. Hodnota κ nabýv</w:t>
      </w:r>
      <w:r w:rsidR="006904D1">
        <w:rPr>
          <w:bCs/>
        </w:rPr>
        <w:t>á</w:t>
      </w:r>
      <w:r w:rsidR="006904D1" w:rsidRPr="009A4821">
        <w:rPr>
          <w:bCs/>
        </w:rPr>
        <w:t xml:space="preserve"> hodnoty 1,0 při úplné shodě a -1,0 při absolutní neshodě mezi kódovateli. Nulové hodnoty koeficient nabývá, pokud počet shod mezi kódovateli odpovídá náhodné shodě obou kódovatelů. Za přesvědčivou míru shody je přitom považována hodnota Cohenova Kappa </w:t>
      </w:r>
      <w:r w:rsidR="006904D1" w:rsidRPr="009A4821">
        <w:rPr>
          <w:bCs/>
          <w:iCs/>
        </w:rPr>
        <w:t>0,7 a více</w:t>
      </w:r>
      <w:r w:rsidR="006904D1" w:rsidRPr="009A4821">
        <w:rPr>
          <w:bCs/>
        </w:rPr>
        <w:t>.</w:t>
      </w:r>
      <w:r w:rsidR="006904D1" w:rsidRPr="009A4821">
        <w:rPr>
          <w:rStyle w:val="Znakapoznpodarou"/>
          <w:bCs/>
        </w:rPr>
        <w:footnoteReference w:id="88"/>
      </w:r>
      <w:r w:rsidR="006904D1" w:rsidRPr="009A4821">
        <w:rPr>
          <w:bCs/>
        </w:rPr>
        <w:t xml:space="preserve"> Za přijatelné je možné považovat i hodnoty Cohenova Kappa mezi </w:t>
      </w:r>
      <w:r w:rsidR="006904D1" w:rsidRPr="009A4821">
        <w:rPr>
          <w:bCs/>
          <w:iCs/>
        </w:rPr>
        <w:t xml:space="preserve">0,7 </w:t>
      </w:r>
      <w:r w:rsidR="006904D1" w:rsidRPr="009A4821">
        <w:rPr>
          <w:bCs/>
        </w:rPr>
        <w:t>a</w:t>
      </w:r>
      <w:r w:rsidR="006904D1" w:rsidRPr="009A4821">
        <w:rPr>
          <w:bCs/>
          <w:iCs/>
        </w:rPr>
        <w:t xml:space="preserve"> 0,4</w:t>
      </w:r>
      <w:r w:rsidR="006904D1" w:rsidRPr="009A4821">
        <w:t>.</w:t>
      </w:r>
      <w:r w:rsidR="006904D1">
        <w:t xml:space="preserve"> </w:t>
      </w:r>
      <w:r w:rsidR="006904D1">
        <w:rPr>
          <w:bCs/>
        </w:rPr>
        <w:t>T</w:t>
      </w:r>
      <w:r w:rsidR="002821F1">
        <w:rPr>
          <w:bCs/>
        </w:rPr>
        <w:t>aké hodnoty Kappa nižší než</w:t>
      </w:r>
      <w:r w:rsidR="006904D1" w:rsidRPr="009A4821">
        <w:rPr>
          <w:bCs/>
        </w:rPr>
        <w:t xml:space="preserve"> </w:t>
      </w:r>
      <w:r w:rsidR="006904D1" w:rsidRPr="009A4821">
        <w:rPr>
          <w:bCs/>
          <w:iCs/>
        </w:rPr>
        <w:t>0,4</w:t>
      </w:r>
      <w:r w:rsidR="006904D1" w:rsidRPr="009A4821">
        <w:rPr>
          <w:bCs/>
        </w:rPr>
        <w:t xml:space="preserve"> mohou </w:t>
      </w:r>
      <w:r w:rsidR="006904D1">
        <w:rPr>
          <w:bCs/>
        </w:rPr>
        <w:t>indikova</w:t>
      </w:r>
      <w:r w:rsidR="006904D1" w:rsidRPr="009A4821">
        <w:rPr>
          <w:bCs/>
        </w:rPr>
        <w:t>t přijatelnou míru shody</w:t>
      </w:r>
      <w:r w:rsidR="006904D1">
        <w:rPr>
          <w:bCs/>
        </w:rPr>
        <w:t xml:space="preserve">. Týká se to případů, kdy </w:t>
      </w:r>
      <w:r w:rsidR="006904D1" w:rsidRPr="009A4821">
        <w:rPr>
          <w:bCs/>
        </w:rPr>
        <w:t>ka</w:t>
      </w:r>
      <w:r w:rsidR="002821F1">
        <w:rPr>
          <w:bCs/>
        </w:rPr>
        <w:t>tegoriální systém obsahuje vyšší</w:t>
      </w:r>
      <w:r w:rsidR="006904D1" w:rsidRPr="009A4821">
        <w:rPr>
          <w:bCs/>
        </w:rPr>
        <w:t xml:space="preserve"> </w:t>
      </w:r>
      <w:r w:rsidR="006904D1">
        <w:rPr>
          <w:bCs/>
        </w:rPr>
        <w:t>počet kategori</w:t>
      </w:r>
      <w:r w:rsidR="006904D1" w:rsidRPr="009A4821">
        <w:rPr>
          <w:bCs/>
        </w:rPr>
        <w:t xml:space="preserve">í, případně když </w:t>
      </w:r>
      <w:r w:rsidR="006904D1">
        <w:rPr>
          <w:bCs/>
        </w:rPr>
        <w:t xml:space="preserve">větší množství </w:t>
      </w:r>
      <w:r w:rsidR="006904D1" w:rsidRPr="009A4821">
        <w:rPr>
          <w:bCs/>
        </w:rPr>
        <w:t xml:space="preserve">kategorií </w:t>
      </w:r>
      <w:r w:rsidR="006904D1">
        <w:rPr>
          <w:bCs/>
        </w:rPr>
        <w:t xml:space="preserve">zůstává prázdných </w:t>
      </w:r>
      <w:r w:rsidR="006904D1" w:rsidRPr="009A4821">
        <w:rPr>
          <w:bCs/>
        </w:rPr>
        <w:t>(</w:t>
      </w:r>
      <w:r w:rsidR="006904D1" w:rsidRPr="009A4821">
        <w:t xml:space="preserve">podrobněji viz Wirtz &amp; Caspar, 2002, s. 59). </w:t>
      </w:r>
      <w:r w:rsidR="006904D1">
        <w:t xml:space="preserve">Jinými slovy, pro kategoriální systémy hodnotící obtížně operacionalizovatelné konstrukty může být hodnota </w:t>
      </w:r>
      <w:r w:rsidR="006904D1" w:rsidRPr="00576C22">
        <w:rPr>
          <w:bCs/>
          <w:iCs/>
        </w:rPr>
        <w:t>κ &gt; 0,7</w:t>
      </w:r>
      <w:r w:rsidR="006904D1">
        <w:rPr>
          <w:bCs/>
          <w:iCs/>
        </w:rPr>
        <w:t xml:space="preserve"> téměř nedosažitelná. Oproti tomu pro některé jednodušší kategoriální systémy může být i hodnota </w:t>
      </w:r>
      <w:r w:rsidR="006904D1" w:rsidRPr="00576C22">
        <w:rPr>
          <w:bCs/>
          <w:iCs/>
        </w:rPr>
        <w:t>κ &gt; 0,</w:t>
      </w:r>
      <w:r w:rsidR="006904D1">
        <w:rPr>
          <w:bCs/>
          <w:iCs/>
        </w:rPr>
        <w:t xml:space="preserve">8 posuzována jako nedostatečná. </w:t>
      </w:r>
    </w:p>
    <w:p w:rsidR="003A1981" w:rsidRDefault="001605FF" w:rsidP="00FF6C64">
      <w:pPr>
        <w:spacing w:after="120" w:line="276" w:lineRule="auto"/>
        <w:jc w:val="both"/>
      </w:pPr>
      <w:r w:rsidRPr="00453421">
        <w:t xml:space="preserve">Zkušebnímu kódování jsme podrobili </w:t>
      </w:r>
      <w:r w:rsidR="007038B6">
        <w:t xml:space="preserve">254 učebních úloh. Jednalo se přibližně o </w:t>
      </w:r>
      <w:r w:rsidR="004C4DED" w:rsidRPr="004C4DED">
        <w:t>20 %</w:t>
      </w:r>
      <w:r w:rsidRPr="004C4DED">
        <w:t xml:space="preserve"> </w:t>
      </w:r>
      <w:r w:rsidR="007038B6">
        <w:t xml:space="preserve">učebních </w:t>
      </w:r>
      <w:r w:rsidRPr="004C4DED">
        <w:t>úloh</w:t>
      </w:r>
      <w:r w:rsidRPr="00453421">
        <w:t xml:space="preserve"> z každé </w:t>
      </w:r>
      <w:r w:rsidR="007038B6">
        <w:t xml:space="preserve">zkoumané </w:t>
      </w:r>
      <w:r w:rsidRPr="00453421">
        <w:t>učebnice.</w:t>
      </w:r>
      <w:r w:rsidR="00D810DE" w:rsidRPr="00453421">
        <w:rPr>
          <w:rStyle w:val="Znakapoznpodarou"/>
        </w:rPr>
        <w:footnoteReference w:id="89"/>
      </w:r>
      <w:r w:rsidRPr="00453421">
        <w:t xml:space="preserve"> S ohledem na výsledky zkušebního kódování </w:t>
      </w:r>
      <w:r w:rsidR="00DC1EB5">
        <w:t xml:space="preserve">(srov. tab. 7) </w:t>
      </w:r>
      <w:r w:rsidRPr="00453421">
        <w:t>n</w:t>
      </w:r>
      <w:r w:rsidR="00D6739C">
        <w:t>emusel být</w:t>
      </w:r>
      <w:r w:rsidRPr="00453421">
        <w:t xml:space="preserve"> kategoriální systém revidován. Přesto jsme </w:t>
      </w:r>
      <w:r w:rsidR="003A1981" w:rsidRPr="00453421">
        <w:t>se rozhodli reflektovat problémy, které se v </w:t>
      </w:r>
      <w:r w:rsidR="003A1981" w:rsidRPr="00AA0607">
        <w:t>průběhu kódování objevily</w:t>
      </w:r>
      <w:r w:rsidR="006904D1" w:rsidRPr="00AA0607">
        <w:t>, a pokusili se formou dodatečného školení kódovatelů reliabilitu k</w:t>
      </w:r>
      <w:r w:rsidR="00B13369" w:rsidRPr="00AA0607">
        <w:rPr>
          <w:bCs/>
        </w:rPr>
        <w:t>ategoriálního systému</w:t>
      </w:r>
      <w:r w:rsidR="006904D1" w:rsidRPr="00AA0607">
        <w:rPr>
          <w:bCs/>
        </w:rPr>
        <w:t xml:space="preserve"> </w:t>
      </w:r>
      <w:r w:rsidR="00F8769E" w:rsidRPr="00AA0607">
        <w:rPr>
          <w:bCs/>
        </w:rPr>
        <w:t>ještě zvýšit.</w:t>
      </w:r>
      <w:r w:rsidR="00F8769E" w:rsidRPr="00AA0607">
        <w:t xml:space="preserve"> </w:t>
      </w:r>
      <w:r w:rsidR="008575B2" w:rsidRPr="00AA0607">
        <w:rPr>
          <w:rFonts w:eastAsia="Calibri"/>
          <w:lang w:eastAsia="en-US"/>
        </w:rPr>
        <w:t xml:space="preserve">Postup této druhé, konsenzuální fáze kódování byl založen nejprve na práci s kontingenčními tabulkami kódů prvního a druhého posuzovatele. Na jejich základě byly identifikovány vzájemné neshody, které nejčastěji </w:t>
      </w:r>
      <w:r w:rsidR="008575B2" w:rsidRPr="00AA0607">
        <w:rPr>
          <w:lang w:eastAsia="en-US"/>
        </w:rPr>
        <w:t>vyplývaly z odlišného chápání</w:t>
      </w:r>
      <w:r w:rsidR="00D6739C">
        <w:rPr>
          <w:lang w:eastAsia="en-US"/>
        </w:rPr>
        <w:t>/pojetí</w:t>
      </w:r>
      <w:r w:rsidR="008575B2" w:rsidRPr="00AA0607">
        <w:rPr>
          <w:lang w:eastAsia="en-US"/>
        </w:rPr>
        <w:t xml:space="preserve"> kódovaných jevů v rámci jednotlivých kategorií. </w:t>
      </w:r>
      <w:r w:rsidR="00AA0607" w:rsidRPr="00AA0607">
        <w:t xml:space="preserve">Poté jsme </w:t>
      </w:r>
      <w:r w:rsidR="00F8769E" w:rsidRPr="00812D01">
        <w:t xml:space="preserve">postupovali dle doporučení Mayringa (2008, s. 13), který </w:t>
      </w:r>
      <w:r w:rsidR="00AA0607">
        <w:t xml:space="preserve">staví na předpokladu, </w:t>
      </w:r>
      <w:r w:rsidR="00F8769E" w:rsidRPr="00812D01">
        <w:t xml:space="preserve">že </w:t>
      </w:r>
      <w:r w:rsidR="00F8769E" w:rsidRPr="00453421">
        <w:t>při</w:t>
      </w:r>
      <w:r w:rsidR="00F8769E" w:rsidRPr="00812D01">
        <w:t xml:space="preserve"> kódování je klíčový názor prvního kódovatele. Ten je vždy podrobněji seznámen s výzkumným vzorkem a větší mírou se podílí na tvorbě kategoriálního systému. Druhý kódovatel také kóduje vybraná data, v diskuzi nad případnými odchylkami má však větší váhu názor prvního kódovatele. Pokud ovšem druhý kódovatel svou věcně podloženou argumentací přesvědčí prvního kódovatele, že posoudil výzkumný materiál v rozporu se stanovenými pravidly, je tato skutečnost hodnocena jako neshoda mezi kódovateli. Při takto zvoleném postupu jsme postupně dosáhli </w:t>
      </w:r>
      <w:r w:rsidR="00F8769E" w:rsidRPr="00453421">
        <w:t>vysokých hodnot reali</w:t>
      </w:r>
      <w:r w:rsidR="007E079C">
        <w:t>a</w:t>
      </w:r>
      <w:r w:rsidR="00F8769E" w:rsidRPr="00453421">
        <w:t>bility.</w:t>
      </w:r>
      <w:r w:rsidR="00AD3390" w:rsidRPr="00453421">
        <w:rPr>
          <w:rStyle w:val="Znakapoznpodarou"/>
        </w:rPr>
        <w:footnoteReference w:id="90"/>
      </w:r>
    </w:p>
    <w:p w:rsidR="008921EC" w:rsidRPr="00173959" w:rsidRDefault="008921EC" w:rsidP="00FF6C64">
      <w:pPr>
        <w:spacing w:after="120" w:line="276" w:lineRule="auto"/>
        <w:jc w:val="both"/>
      </w:pPr>
    </w:p>
    <w:p w:rsidR="008921EC" w:rsidRPr="001E0A15" w:rsidRDefault="008921EC" w:rsidP="008921EC">
      <w:pPr>
        <w:pStyle w:val="Titulek"/>
        <w:keepNext/>
        <w:rPr>
          <w:b w:val="0"/>
          <w:sz w:val="24"/>
        </w:rPr>
      </w:pPr>
      <w:bookmarkStart w:id="88" w:name="_Toc399013071"/>
      <w:r w:rsidRPr="001E0A15">
        <w:rPr>
          <w:b w:val="0"/>
          <w:sz w:val="24"/>
        </w:rPr>
        <w:t xml:space="preserve">Tabulka </w:t>
      </w:r>
      <w:r w:rsidR="003818A1" w:rsidRPr="001E0A15">
        <w:rPr>
          <w:b w:val="0"/>
          <w:sz w:val="24"/>
        </w:rPr>
        <w:fldChar w:fldCharType="begin"/>
      </w:r>
      <w:r w:rsidRPr="001E0A15">
        <w:rPr>
          <w:b w:val="0"/>
          <w:sz w:val="24"/>
        </w:rPr>
        <w:instrText xml:space="preserve"> SEQ Tabulka \* ARABIC </w:instrText>
      </w:r>
      <w:r w:rsidR="003818A1" w:rsidRPr="001E0A15">
        <w:rPr>
          <w:b w:val="0"/>
          <w:sz w:val="24"/>
        </w:rPr>
        <w:fldChar w:fldCharType="separate"/>
      </w:r>
      <w:r>
        <w:rPr>
          <w:b w:val="0"/>
          <w:noProof/>
          <w:sz w:val="24"/>
        </w:rPr>
        <w:t>7</w:t>
      </w:r>
      <w:bookmarkEnd w:id="88"/>
      <w:r w:rsidR="003818A1" w:rsidRPr="001E0A15">
        <w:rPr>
          <w:b w:val="0"/>
          <w:sz w:val="24"/>
        </w:rPr>
        <w:fldChar w:fldCharType="end"/>
      </w:r>
    </w:p>
    <w:p w:rsidR="008921EC" w:rsidRPr="00DC1EB5" w:rsidRDefault="008921EC" w:rsidP="009D6DC8">
      <w:pPr>
        <w:spacing w:after="120"/>
        <w:rPr>
          <w:i/>
        </w:rPr>
      </w:pPr>
      <w:r w:rsidRPr="00DC1EB5">
        <w:rPr>
          <w:i/>
        </w:rPr>
        <w:t>Hodnoty reliability kategoriálního systému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1134"/>
        <w:gridCol w:w="992"/>
        <w:gridCol w:w="851"/>
        <w:gridCol w:w="939"/>
        <w:gridCol w:w="1187"/>
        <w:gridCol w:w="992"/>
      </w:tblGrid>
      <w:tr w:rsidR="009D6DC8" w:rsidRPr="00956331" w:rsidTr="00CF544B">
        <w:trPr>
          <w:trHeight w:val="269"/>
          <w:jc w:val="center"/>
        </w:trPr>
        <w:tc>
          <w:tcPr>
            <w:tcW w:w="3085" w:type="dxa"/>
          </w:tcPr>
          <w:p w:rsidR="009D6DC8" w:rsidRPr="00956331" w:rsidRDefault="009D6DC8" w:rsidP="00CF544B">
            <w:pPr>
              <w:spacing w:before="60" w:after="60"/>
              <w:rPr>
                <w:sz w:val="20"/>
              </w:rPr>
            </w:pPr>
          </w:p>
        </w:tc>
        <w:tc>
          <w:tcPr>
            <w:tcW w:w="2126" w:type="dxa"/>
            <w:gridSpan w:val="2"/>
          </w:tcPr>
          <w:p w:rsidR="009D6DC8" w:rsidRPr="00956331" w:rsidRDefault="009D6DC8" w:rsidP="00A74542">
            <w:pPr>
              <w:spacing w:before="60" w:after="60"/>
              <w:jc w:val="center"/>
              <w:rPr>
                <w:sz w:val="20"/>
              </w:rPr>
            </w:pPr>
            <w:r w:rsidRPr="00956331">
              <w:rPr>
                <w:sz w:val="20"/>
              </w:rPr>
              <w:t>Systémovost</w:t>
            </w:r>
          </w:p>
        </w:tc>
        <w:tc>
          <w:tcPr>
            <w:tcW w:w="1790" w:type="dxa"/>
            <w:gridSpan w:val="2"/>
          </w:tcPr>
          <w:p w:rsidR="009D6DC8" w:rsidRPr="00956331" w:rsidRDefault="009D6DC8" w:rsidP="00A74542">
            <w:pPr>
              <w:spacing w:before="60" w:after="60"/>
              <w:jc w:val="center"/>
              <w:rPr>
                <w:sz w:val="20"/>
              </w:rPr>
            </w:pPr>
            <w:r w:rsidRPr="00956331">
              <w:rPr>
                <w:sz w:val="20"/>
              </w:rPr>
              <w:t>Komplexita</w:t>
            </w:r>
          </w:p>
        </w:tc>
        <w:tc>
          <w:tcPr>
            <w:tcW w:w="2179" w:type="dxa"/>
            <w:gridSpan w:val="2"/>
          </w:tcPr>
          <w:p w:rsidR="009D6DC8" w:rsidRPr="00956331" w:rsidRDefault="009D6DC8" w:rsidP="00A74542">
            <w:pPr>
              <w:spacing w:before="60" w:after="60"/>
              <w:jc w:val="center"/>
              <w:rPr>
                <w:sz w:val="20"/>
              </w:rPr>
            </w:pPr>
            <w:r w:rsidRPr="00956331">
              <w:rPr>
                <w:sz w:val="20"/>
              </w:rPr>
              <w:t>Náročnost</w:t>
            </w:r>
          </w:p>
        </w:tc>
      </w:tr>
      <w:tr w:rsidR="009D6DC8" w:rsidRPr="00956331" w:rsidTr="00CF544B">
        <w:trPr>
          <w:trHeight w:val="269"/>
          <w:jc w:val="center"/>
        </w:trPr>
        <w:tc>
          <w:tcPr>
            <w:tcW w:w="3085" w:type="dxa"/>
          </w:tcPr>
          <w:p w:rsidR="009D6DC8" w:rsidRPr="00956331" w:rsidRDefault="009D6DC8" w:rsidP="00CF544B">
            <w:pPr>
              <w:spacing w:before="60" w:after="60"/>
              <w:rPr>
                <w:sz w:val="20"/>
              </w:rPr>
            </w:pPr>
          </w:p>
        </w:tc>
        <w:tc>
          <w:tcPr>
            <w:tcW w:w="1134" w:type="dxa"/>
          </w:tcPr>
          <w:p w:rsidR="009D6DC8" w:rsidRPr="00956331" w:rsidRDefault="009D6DC8" w:rsidP="00A74542">
            <w:pPr>
              <w:spacing w:before="60" w:after="60"/>
              <w:jc w:val="center"/>
              <w:rPr>
                <w:sz w:val="20"/>
              </w:rPr>
            </w:pPr>
            <w:r w:rsidRPr="00956331">
              <w:rPr>
                <w:sz w:val="20"/>
              </w:rPr>
              <w:t>Kappa</w:t>
            </w:r>
          </w:p>
        </w:tc>
        <w:tc>
          <w:tcPr>
            <w:tcW w:w="992" w:type="dxa"/>
          </w:tcPr>
          <w:p w:rsidR="009D6DC8" w:rsidRPr="00956331" w:rsidRDefault="009D6DC8" w:rsidP="00A74542">
            <w:pPr>
              <w:spacing w:before="60" w:after="60"/>
              <w:jc w:val="center"/>
              <w:rPr>
                <w:sz w:val="20"/>
              </w:rPr>
            </w:pPr>
            <w:r w:rsidRPr="00956331">
              <w:rPr>
                <w:sz w:val="20"/>
              </w:rPr>
              <w:t>PS</w:t>
            </w:r>
          </w:p>
        </w:tc>
        <w:tc>
          <w:tcPr>
            <w:tcW w:w="851" w:type="dxa"/>
          </w:tcPr>
          <w:p w:rsidR="009D6DC8" w:rsidRPr="00956331" w:rsidRDefault="009D6DC8" w:rsidP="00A74542">
            <w:pPr>
              <w:spacing w:before="60" w:after="60"/>
              <w:jc w:val="center"/>
              <w:rPr>
                <w:sz w:val="20"/>
              </w:rPr>
            </w:pPr>
            <w:r w:rsidRPr="00956331">
              <w:rPr>
                <w:sz w:val="20"/>
              </w:rPr>
              <w:t>Kappa</w:t>
            </w:r>
          </w:p>
        </w:tc>
        <w:tc>
          <w:tcPr>
            <w:tcW w:w="939" w:type="dxa"/>
          </w:tcPr>
          <w:p w:rsidR="009D6DC8" w:rsidRPr="00956331" w:rsidRDefault="009D6DC8" w:rsidP="00A74542">
            <w:pPr>
              <w:spacing w:before="60" w:after="60"/>
              <w:jc w:val="center"/>
              <w:rPr>
                <w:sz w:val="20"/>
              </w:rPr>
            </w:pPr>
            <w:r w:rsidRPr="00956331">
              <w:rPr>
                <w:sz w:val="20"/>
              </w:rPr>
              <w:t>Kappa</w:t>
            </w:r>
          </w:p>
        </w:tc>
        <w:tc>
          <w:tcPr>
            <w:tcW w:w="1187" w:type="dxa"/>
          </w:tcPr>
          <w:p w:rsidR="009D6DC8" w:rsidRPr="00956331" w:rsidRDefault="009D6DC8" w:rsidP="00CF544B">
            <w:pPr>
              <w:spacing w:before="60" w:after="60"/>
              <w:jc w:val="center"/>
              <w:rPr>
                <w:sz w:val="20"/>
              </w:rPr>
            </w:pPr>
            <w:r w:rsidRPr="00956331">
              <w:rPr>
                <w:sz w:val="20"/>
              </w:rPr>
              <w:t>Kappa</w:t>
            </w:r>
          </w:p>
        </w:tc>
        <w:tc>
          <w:tcPr>
            <w:tcW w:w="992" w:type="dxa"/>
          </w:tcPr>
          <w:p w:rsidR="009D6DC8" w:rsidRPr="00956331" w:rsidRDefault="009D6DC8" w:rsidP="00CF544B">
            <w:pPr>
              <w:spacing w:before="60" w:after="60"/>
              <w:jc w:val="center"/>
              <w:rPr>
                <w:sz w:val="20"/>
              </w:rPr>
            </w:pPr>
            <w:r w:rsidRPr="00956331">
              <w:rPr>
                <w:sz w:val="20"/>
              </w:rPr>
              <w:t>PS</w:t>
            </w:r>
          </w:p>
        </w:tc>
      </w:tr>
      <w:tr w:rsidR="009D6DC8" w:rsidRPr="00956331" w:rsidTr="00CF544B">
        <w:trPr>
          <w:trHeight w:val="269"/>
          <w:jc w:val="center"/>
        </w:trPr>
        <w:tc>
          <w:tcPr>
            <w:tcW w:w="3085" w:type="dxa"/>
          </w:tcPr>
          <w:p w:rsidR="009D6DC8" w:rsidRPr="00956331" w:rsidRDefault="009D6DC8" w:rsidP="00CF544B">
            <w:pPr>
              <w:spacing w:before="60" w:after="60"/>
              <w:rPr>
                <w:sz w:val="20"/>
              </w:rPr>
            </w:pPr>
            <w:r>
              <w:rPr>
                <w:sz w:val="20"/>
              </w:rPr>
              <w:t>nezávislá fáze kódování</w:t>
            </w:r>
          </w:p>
        </w:tc>
        <w:tc>
          <w:tcPr>
            <w:tcW w:w="1134" w:type="dxa"/>
          </w:tcPr>
          <w:p w:rsidR="009D6DC8" w:rsidRPr="00956331" w:rsidRDefault="009D6DC8" w:rsidP="00A74542">
            <w:pPr>
              <w:spacing w:before="60" w:after="60"/>
              <w:jc w:val="center"/>
              <w:rPr>
                <w:sz w:val="20"/>
              </w:rPr>
            </w:pPr>
            <w:r w:rsidRPr="00956331">
              <w:rPr>
                <w:sz w:val="20"/>
              </w:rPr>
              <w:t>0,688</w:t>
            </w:r>
          </w:p>
        </w:tc>
        <w:tc>
          <w:tcPr>
            <w:tcW w:w="992" w:type="dxa"/>
          </w:tcPr>
          <w:p w:rsidR="009D6DC8" w:rsidRPr="00956331" w:rsidRDefault="009D6DC8" w:rsidP="00A74542">
            <w:pPr>
              <w:spacing w:before="60" w:after="60"/>
              <w:jc w:val="center"/>
              <w:rPr>
                <w:sz w:val="20"/>
              </w:rPr>
            </w:pPr>
            <w:r w:rsidRPr="00956331">
              <w:rPr>
                <w:sz w:val="20"/>
              </w:rPr>
              <w:t>85,77</w:t>
            </w:r>
          </w:p>
        </w:tc>
        <w:tc>
          <w:tcPr>
            <w:tcW w:w="851" w:type="dxa"/>
          </w:tcPr>
          <w:p w:rsidR="009D6DC8" w:rsidRPr="00956331" w:rsidRDefault="009D6DC8" w:rsidP="00A74542">
            <w:pPr>
              <w:spacing w:before="60" w:after="60"/>
              <w:jc w:val="center"/>
              <w:rPr>
                <w:sz w:val="20"/>
              </w:rPr>
            </w:pPr>
            <w:r w:rsidRPr="00956331">
              <w:rPr>
                <w:sz w:val="20"/>
              </w:rPr>
              <w:t>0,553</w:t>
            </w:r>
          </w:p>
        </w:tc>
        <w:tc>
          <w:tcPr>
            <w:tcW w:w="939" w:type="dxa"/>
          </w:tcPr>
          <w:p w:rsidR="009D6DC8" w:rsidRPr="00956331" w:rsidRDefault="009D6DC8" w:rsidP="00A74542">
            <w:pPr>
              <w:spacing w:before="60" w:after="60"/>
              <w:jc w:val="center"/>
              <w:rPr>
                <w:sz w:val="20"/>
              </w:rPr>
            </w:pPr>
            <w:r w:rsidRPr="00956331">
              <w:rPr>
                <w:sz w:val="20"/>
              </w:rPr>
              <w:t>81,71</w:t>
            </w:r>
          </w:p>
        </w:tc>
        <w:tc>
          <w:tcPr>
            <w:tcW w:w="1187" w:type="dxa"/>
          </w:tcPr>
          <w:p w:rsidR="009D6DC8" w:rsidRPr="00956331" w:rsidRDefault="009D6DC8" w:rsidP="00A74542">
            <w:pPr>
              <w:spacing w:before="60" w:after="60"/>
              <w:jc w:val="center"/>
              <w:rPr>
                <w:sz w:val="20"/>
              </w:rPr>
            </w:pPr>
            <w:r w:rsidRPr="00956331">
              <w:rPr>
                <w:sz w:val="20"/>
              </w:rPr>
              <w:t>0,597</w:t>
            </w:r>
          </w:p>
        </w:tc>
        <w:tc>
          <w:tcPr>
            <w:tcW w:w="992" w:type="dxa"/>
          </w:tcPr>
          <w:p w:rsidR="009D6DC8" w:rsidRPr="00956331" w:rsidRDefault="009D6DC8" w:rsidP="00A74542">
            <w:pPr>
              <w:spacing w:before="60" w:after="60"/>
              <w:jc w:val="center"/>
              <w:rPr>
                <w:sz w:val="20"/>
              </w:rPr>
            </w:pPr>
            <w:r w:rsidRPr="00956331">
              <w:rPr>
                <w:sz w:val="20"/>
              </w:rPr>
              <w:t>81,30</w:t>
            </w:r>
          </w:p>
        </w:tc>
      </w:tr>
      <w:tr w:rsidR="009D6DC8" w:rsidRPr="00956331" w:rsidTr="00CF544B">
        <w:trPr>
          <w:trHeight w:val="269"/>
          <w:jc w:val="center"/>
        </w:trPr>
        <w:tc>
          <w:tcPr>
            <w:tcW w:w="3085" w:type="dxa"/>
          </w:tcPr>
          <w:p w:rsidR="009D6DC8" w:rsidRPr="00956331" w:rsidRDefault="009D6DC8" w:rsidP="00CF544B">
            <w:pPr>
              <w:spacing w:before="60" w:after="60"/>
              <w:rPr>
                <w:sz w:val="20"/>
              </w:rPr>
            </w:pPr>
            <w:r>
              <w:rPr>
                <w:sz w:val="20"/>
              </w:rPr>
              <w:t>konsenzuální fáze kódování</w:t>
            </w:r>
          </w:p>
        </w:tc>
        <w:tc>
          <w:tcPr>
            <w:tcW w:w="1134" w:type="dxa"/>
          </w:tcPr>
          <w:p w:rsidR="009D6DC8" w:rsidRPr="00956331" w:rsidRDefault="009D6DC8" w:rsidP="00A74542">
            <w:pPr>
              <w:spacing w:before="60" w:after="60"/>
              <w:jc w:val="center"/>
              <w:rPr>
                <w:sz w:val="20"/>
              </w:rPr>
            </w:pPr>
            <w:r w:rsidRPr="00956331">
              <w:rPr>
                <w:sz w:val="20"/>
              </w:rPr>
              <w:t>0,922</w:t>
            </w:r>
          </w:p>
        </w:tc>
        <w:tc>
          <w:tcPr>
            <w:tcW w:w="992" w:type="dxa"/>
          </w:tcPr>
          <w:p w:rsidR="009D6DC8" w:rsidRPr="00956331" w:rsidRDefault="009D6DC8" w:rsidP="00A74542">
            <w:pPr>
              <w:spacing w:before="60" w:after="60"/>
              <w:jc w:val="center"/>
              <w:rPr>
                <w:sz w:val="20"/>
              </w:rPr>
            </w:pPr>
            <w:r w:rsidRPr="00956331">
              <w:rPr>
                <w:sz w:val="20"/>
              </w:rPr>
              <w:t>96,34</w:t>
            </w:r>
          </w:p>
        </w:tc>
        <w:tc>
          <w:tcPr>
            <w:tcW w:w="851" w:type="dxa"/>
          </w:tcPr>
          <w:p w:rsidR="009D6DC8" w:rsidRPr="00956331" w:rsidRDefault="009D6DC8" w:rsidP="00A74542">
            <w:pPr>
              <w:spacing w:before="60" w:after="60"/>
              <w:jc w:val="center"/>
              <w:rPr>
                <w:sz w:val="20"/>
              </w:rPr>
            </w:pPr>
            <w:r w:rsidRPr="00956331">
              <w:rPr>
                <w:sz w:val="20"/>
              </w:rPr>
              <w:t>0,917</w:t>
            </w:r>
          </w:p>
        </w:tc>
        <w:tc>
          <w:tcPr>
            <w:tcW w:w="939" w:type="dxa"/>
          </w:tcPr>
          <w:p w:rsidR="009D6DC8" w:rsidRPr="00956331" w:rsidRDefault="009D6DC8" w:rsidP="00A74542">
            <w:pPr>
              <w:spacing w:before="60" w:after="60"/>
              <w:jc w:val="center"/>
              <w:rPr>
                <w:sz w:val="20"/>
              </w:rPr>
            </w:pPr>
            <w:r w:rsidRPr="00956331">
              <w:rPr>
                <w:sz w:val="20"/>
              </w:rPr>
              <w:t>96,34</w:t>
            </w:r>
          </w:p>
        </w:tc>
        <w:tc>
          <w:tcPr>
            <w:tcW w:w="1187" w:type="dxa"/>
          </w:tcPr>
          <w:p w:rsidR="009D6DC8" w:rsidRPr="00956331" w:rsidRDefault="009D6DC8" w:rsidP="00A74542">
            <w:pPr>
              <w:spacing w:before="60" w:after="60"/>
              <w:jc w:val="center"/>
              <w:rPr>
                <w:sz w:val="20"/>
              </w:rPr>
            </w:pPr>
            <w:r w:rsidRPr="00956331">
              <w:rPr>
                <w:sz w:val="20"/>
              </w:rPr>
              <w:t>0,925</w:t>
            </w:r>
          </w:p>
        </w:tc>
        <w:tc>
          <w:tcPr>
            <w:tcW w:w="992" w:type="dxa"/>
          </w:tcPr>
          <w:p w:rsidR="009D6DC8" w:rsidRPr="00956331" w:rsidRDefault="009D6DC8" w:rsidP="00A74542">
            <w:pPr>
              <w:spacing w:before="60" w:after="60"/>
              <w:jc w:val="center"/>
              <w:rPr>
                <w:sz w:val="20"/>
              </w:rPr>
            </w:pPr>
            <w:r w:rsidRPr="00956331">
              <w:rPr>
                <w:sz w:val="20"/>
              </w:rPr>
              <w:t>96,34</w:t>
            </w:r>
          </w:p>
        </w:tc>
      </w:tr>
    </w:tbl>
    <w:p w:rsidR="008921EC" w:rsidRDefault="008921EC" w:rsidP="008921EC">
      <w:pPr>
        <w:spacing w:after="120" w:line="276" w:lineRule="auto"/>
        <w:jc w:val="both"/>
        <w:rPr>
          <w:sz w:val="20"/>
        </w:rPr>
      </w:pPr>
      <w:r w:rsidRPr="00AB2BC6">
        <w:rPr>
          <w:sz w:val="20"/>
        </w:rPr>
        <w:t>Pozn. PS – přímá shoda</w:t>
      </w:r>
    </w:p>
    <w:p w:rsidR="009D6DC8" w:rsidRDefault="009D6DC8" w:rsidP="008921EC">
      <w:pPr>
        <w:spacing w:after="120" w:line="276" w:lineRule="auto"/>
        <w:jc w:val="both"/>
        <w:rPr>
          <w:sz w:val="20"/>
        </w:rPr>
      </w:pPr>
    </w:p>
    <w:p w:rsidR="00B13369" w:rsidRDefault="00B13369" w:rsidP="00FF6C64">
      <w:pPr>
        <w:spacing w:after="120" w:line="276" w:lineRule="auto"/>
        <w:jc w:val="both"/>
      </w:pPr>
      <w:r>
        <w:t>Považujeme za užitečné upozornit, že hodnoty Cohenova Kappa nevypovídají o vlastnostech použitého kategoriálního systému (např. o obsahové relevantnosti jednotlivých kategorií), ale o vlastnostech jeho praktického používání (spolehlivost postupů měření). Pokud tedy hovoříme o realiabilitě kategoriálního systému, máme na mysli reliabilitu procesu hodnocení, který je založen na přiřazování pozorovaných skutečností do předem definovaných kategorií. Reliabilita procesu hodnocení nezávisí pouze na příslušném kategoriálním systému, r</w:t>
      </w:r>
      <w:r w:rsidR="00653559">
        <w:t>esp. (ne)jasné operační definici</w:t>
      </w:r>
      <w:r>
        <w:t xml:space="preserve"> měřeného </w:t>
      </w:r>
      <w:r w:rsidR="007E079C">
        <w:t>konstruktu</w:t>
      </w:r>
      <w:r>
        <w:t xml:space="preserve">, ale také na </w:t>
      </w:r>
      <w:r w:rsidR="00653559">
        <w:t>vlastnostech</w:t>
      </w:r>
      <w:r>
        <w:t xml:space="preserve"> kódovatelů (obeznámenost s teoretickými východisky, proškolení v používání kategoriálního systému </w:t>
      </w:r>
      <w:r w:rsidR="00F152BD">
        <w:t>a</w:t>
      </w:r>
      <w:r>
        <w:t xml:space="preserve">j.). Z tohoto důvodu je nezbytné, aby při jakémkoliv dalším budoucím použití námi navrženého kategoriálního systému byla jeho realiabilita znovu ověřena. </w:t>
      </w:r>
      <w:r w:rsidR="00323FAB" w:rsidRPr="00E81730">
        <w:t xml:space="preserve">Nestačí </w:t>
      </w:r>
      <w:r w:rsidR="00323FAB">
        <w:t xml:space="preserve">pouze </w:t>
      </w:r>
      <w:r w:rsidR="00323FAB" w:rsidRPr="00E81730">
        <w:t>poukázat na to, že reliabilita použitého výzkumného nástroje byla prokázána v dřívějších studiích. Tento postup může vést ke zkreslení výzkumných zjištění (srov. Tinsley &amp; Weiss, 2000, s. 117).</w:t>
      </w:r>
    </w:p>
    <w:p w:rsidR="001947C5" w:rsidRPr="002C1EF3" w:rsidRDefault="001947C5" w:rsidP="001947C5">
      <w:pPr>
        <w:spacing w:after="120" w:line="276" w:lineRule="auto"/>
        <w:jc w:val="both"/>
      </w:pPr>
    </w:p>
    <w:p w:rsidR="00114AB0" w:rsidRDefault="00114AB0" w:rsidP="009B189D">
      <w:pPr>
        <w:pStyle w:val="Nadpis3"/>
      </w:pPr>
      <w:bookmarkStart w:id="89" w:name="_Toc322983696"/>
      <w:bookmarkStart w:id="90" w:name="_Toc399775430"/>
      <w:r>
        <w:t xml:space="preserve">Výzkumné šetření 2: </w:t>
      </w:r>
      <w:bookmarkEnd w:id="89"/>
      <w:r w:rsidR="00B26430">
        <w:t>a</w:t>
      </w:r>
      <w:r w:rsidR="00BD7779">
        <w:t>nalýza výukových situací</w:t>
      </w:r>
      <w:bookmarkEnd w:id="90"/>
    </w:p>
    <w:p w:rsidR="00E81A7E" w:rsidRDefault="008F2876" w:rsidP="00AC30BE">
      <w:pPr>
        <w:spacing w:after="120" w:line="276" w:lineRule="auto"/>
        <w:jc w:val="both"/>
      </w:pPr>
      <w:r w:rsidRPr="00C950AB">
        <w:t xml:space="preserve">Cílem </w:t>
      </w:r>
      <w:r>
        <w:t xml:space="preserve">druhé části výzkumu </w:t>
      </w:r>
      <w:r w:rsidRPr="00C950AB">
        <w:t xml:space="preserve">bylo hlouběji analyzovat situace, které mají potenciál </w:t>
      </w:r>
      <w:r w:rsidR="003922A5">
        <w:t xml:space="preserve">utvářet a </w:t>
      </w:r>
      <w:r w:rsidRPr="00C950AB">
        <w:t>rozvíjet kompetenci k řešení problémů.</w:t>
      </w:r>
      <w:r w:rsidRPr="00C950AB">
        <w:rPr>
          <w:lang w:eastAsia="en-US"/>
        </w:rPr>
        <w:t xml:space="preserve"> </w:t>
      </w:r>
      <w:r w:rsidRPr="008F2876">
        <w:rPr>
          <w:lang w:eastAsia="en-US"/>
        </w:rPr>
        <w:t>Hlavní výzkumnou metodou je (mi</w:t>
      </w:r>
      <w:r>
        <w:rPr>
          <w:lang w:eastAsia="en-US"/>
        </w:rPr>
        <w:t>kro)analýza výukových situací</w:t>
      </w:r>
      <w:r w:rsidR="00323FAB">
        <w:rPr>
          <w:lang w:eastAsia="en-US"/>
        </w:rPr>
        <w:t>.</w:t>
      </w:r>
      <w:r w:rsidR="00EC3BB7">
        <w:rPr>
          <w:rStyle w:val="Znakapoznpodarou"/>
          <w:lang w:eastAsia="en-US"/>
        </w:rPr>
        <w:footnoteReference w:id="91"/>
      </w:r>
      <w:r>
        <w:rPr>
          <w:lang w:eastAsia="en-US"/>
        </w:rPr>
        <w:t xml:space="preserve"> </w:t>
      </w:r>
      <w:r w:rsidR="00323FAB">
        <w:rPr>
          <w:lang w:eastAsia="en-US"/>
        </w:rPr>
        <w:t>Oproti první části výzkumu jsme využili</w:t>
      </w:r>
      <w:r w:rsidRPr="00B521C4">
        <w:rPr>
          <w:lang w:eastAsia="en-US"/>
        </w:rPr>
        <w:t xml:space="preserve"> hermeneutický postup umožňující </w:t>
      </w:r>
      <w:r w:rsidRPr="00323FAB">
        <w:rPr>
          <w:lang w:eastAsia="en-US"/>
        </w:rPr>
        <w:t>„vyložit dění ve výuce“,</w:t>
      </w:r>
      <w:r w:rsidRPr="00B521C4">
        <w:rPr>
          <w:lang w:eastAsia="en-US"/>
        </w:rPr>
        <w:t xml:space="preserve"> a to s ohledem na jeho kontext. </w:t>
      </w:r>
      <w:r w:rsidR="00DF1941">
        <w:t xml:space="preserve">Ve výukových situacích jsou klíčovými aktéry nejčastěji učitel ve vzájemné interakci se žákem/žáky. </w:t>
      </w:r>
      <w:r w:rsidR="004057A2" w:rsidRPr="002F1AB7">
        <w:t xml:space="preserve">Jsme si vědomi, že žádná situace není zcela izolovaná, ale je zařazena do celého řetězce situací, se kterými je žák v průběhu školní výuky i mimo ni konfrontován. </w:t>
      </w:r>
      <w:r w:rsidR="00DF1941">
        <w:rPr>
          <w:lang w:eastAsia="en-US"/>
        </w:rPr>
        <w:t xml:space="preserve">Jako klíčová se v tomto ohledu jeví </w:t>
      </w:r>
      <w:r w:rsidR="00DF1941">
        <w:t>identifikace</w:t>
      </w:r>
      <w:r w:rsidR="00DF1941" w:rsidRPr="002F1AB7">
        <w:t xml:space="preserve"> výukových situací, které mají potenciál utvářet a rozvíjet kompetenci k řešení problé</w:t>
      </w:r>
      <w:r w:rsidR="00DF1941">
        <w:t>m</w:t>
      </w:r>
      <w:r w:rsidR="00DF1941" w:rsidRPr="002F1AB7">
        <w:t xml:space="preserve">ů. </w:t>
      </w:r>
      <w:r w:rsidR="006B0D38" w:rsidRPr="002F1AB7">
        <w:t xml:space="preserve">V odborné literatuře je možné setkat se s různými definicemi situací, z nichž většina zdůrazňuje aktivitu subjektu. Nakonečný (1998, s. 51) např. definuje situaci jako určité uspořádání vnějších okolností mající povahu psychicky stimulující „výzvy k reagování“. Pelikán (1995, s. 48) chápe situaci jako „konkrétně vymezenou shodu vnějších okolností, časově limitovanou, během níž je jedinec vystaven působení konkrétních vlivů, na něž určitým způsobem reaguje“. Druhá z uvedených definic je pro námi realizovaný výzkum přiléhavější, neboť požadavek aktivity subjektu pojem situace poměrně zužuje. </w:t>
      </w:r>
      <w:r w:rsidR="00DF1941">
        <w:t xml:space="preserve">S přihlédnutím k výše </w:t>
      </w:r>
      <w:r w:rsidR="000C670D">
        <w:t>uvedenému omezení vymezujeme</w:t>
      </w:r>
      <w:r w:rsidR="00EC3BB7">
        <w:t xml:space="preserve"> výukovou situaci pro potřeby prezentovaného výzkumu</w:t>
      </w:r>
      <w:r w:rsidR="000C670D">
        <w:t xml:space="preserve"> v souladu s Janíkem </w:t>
      </w:r>
      <w:r w:rsidR="00BE2CAC">
        <w:t>a kol.</w:t>
      </w:r>
      <w:r w:rsidR="000C670D">
        <w:t xml:space="preserve"> (2013) jako</w:t>
      </w:r>
    </w:p>
    <w:p w:rsidR="008F2876" w:rsidRDefault="008F2876" w:rsidP="00AC30BE">
      <w:pPr>
        <w:spacing w:after="120" w:line="276" w:lineRule="auto"/>
        <w:ind w:left="426"/>
        <w:jc w:val="both"/>
        <w:rPr>
          <w:sz w:val="20"/>
        </w:rPr>
      </w:pPr>
      <w:r w:rsidRPr="006C33EC">
        <w:rPr>
          <w:sz w:val="20"/>
        </w:rPr>
        <w:t>součást procesu výuky vymezenou časem, místem a obsahem výuky. Jejím jádrem je zpravidla učební úloha (didaktický konstrukt, jehož zadání vyzývá žáka k řešení určitého problému nebo souboru podproblémů formulovaných tak, aby řešení vedlo k žákovu učení a k rozvoji jeho kompetencí). Výuková situace je hodnotově determinovaná svou kvalitou, jednotlivé situace výuky se podílejí na celkové kvalitě výuky v závislosti na své pozici ve struktuře výuky a na míře jejich vlivu na dosažení cílů výuky.</w:t>
      </w:r>
      <w:r>
        <w:rPr>
          <w:sz w:val="20"/>
        </w:rPr>
        <w:t xml:space="preserve"> (s. 377)</w:t>
      </w:r>
    </w:p>
    <w:p w:rsidR="008F2876" w:rsidRDefault="008F2876" w:rsidP="00AC30BE">
      <w:pPr>
        <w:spacing w:after="120" w:line="276" w:lineRule="auto"/>
        <w:jc w:val="both"/>
      </w:pPr>
      <w:r>
        <w:t>Lokajíčková (2013)</w:t>
      </w:r>
      <w:r w:rsidRPr="00894203">
        <w:t xml:space="preserve"> uvedenou definici dále upřesňuje:</w:t>
      </w:r>
      <w:r>
        <w:t xml:space="preserve"> </w:t>
      </w:r>
    </w:p>
    <w:p w:rsidR="008F2876" w:rsidRPr="00E05F43" w:rsidRDefault="008F2876" w:rsidP="00AC30BE">
      <w:pPr>
        <w:spacing w:after="120" w:line="276" w:lineRule="auto"/>
        <w:ind w:left="426"/>
        <w:jc w:val="both"/>
        <w:rPr>
          <w:sz w:val="20"/>
        </w:rPr>
      </w:pPr>
      <w:r w:rsidRPr="00E05F43">
        <w:rPr>
          <w:sz w:val="20"/>
        </w:rPr>
        <w:t xml:space="preserve">Za začátek výukové situace považujeme kontext, který výukovou situaci uvádí. </w:t>
      </w:r>
      <w:r w:rsidR="00315664">
        <w:rPr>
          <w:sz w:val="20"/>
        </w:rPr>
        <w:t xml:space="preserve">[…] </w:t>
      </w:r>
      <w:r w:rsidRPr="00E05F43">
        <w:rPr>
          <w:sz w:val="20"/>
        </w:rPr>
        <w:t xml:space="preserve">Za kontext považujeme průvodní slovo učitele, které představuje (a) změnu výukové fáze </w:t>
      </w:r>
      <w:r w:rsidR="00315664">
        <w:rPr>
          <w:sz w:val="20"/>
        </w:rPr>
        <w:t>(např. Tak a teď k dnešní látce</w:t>
      </w:r>
      <w:r w:rsidRPr="00E05F43">
        <w:rPr>
          <w:sz w:val="20"/>
        </w:rPr>
        <w:t>…), (b) změnu výukové formy (např. Vy ostatní se podíváte na dnešní datum a už očekávám les rukou…), (c) vstup média do výuky (např. Máte před</w:t>
      </w:r>
      <w:r w:rsidR="00315664">
        <w:rPr>
          <w:sz w:val="20"/>
        </w:rPr>
        <w:t xml:space="preserve"> sebou folie, takže nachystejte</w:t>
      </w:r>
      <w:r w:rsidRPr="00E05F43">
        <w:rPr>
          <w:sz w:val="20"/>
        </w:rPr>
        <w:t xml:space="preserve">…), (d) navození nového tématu (např. </w:t>
      </w:r>
      <w:r w:rsidR="00315664">
        <w:rPr>
          <w:sz w:val="20"/>
        </w:rPr>
        <w:t>A teď se budeme bavit o vodstvu</w:t>
      </w:r>
      <w:r w:rsidRPr="00E05F43">
        <w:rPr>
          <w:sz w:val="20"/>
        </w:rPr>
        <w:t>…), (e) kombinac</w:t>
      </w:r>
      <w:r>
        <w:rPr>
          <w:sz w:val="20"/>
        </w:rPr>
        <w:t>i</w:t>
      </w:r>
      <w:r w:rsidRPr="00E05F43">
        <w:rPr>
          <w:sz w:val="20"/>
        </w:rPr>
        <w:t xml:space="preserve"> výše uvedeného (např. Takže si připravte atlas, začneme o</w:t>
      </w:r>
      <w:r w:rsidR="00315664">
        <w:rPr>
          <w:sz w:val="20"/>
        </w:rPr>
        <w:t>pakovat</w:t>
      </w:r>
      <w:r w:rsidRPr="00E05F43">
        <w:rPr>
          <w:sz w:val="20"/>
        </w:rPr>
        <w:t xml:space="preserve">…). </w:t>
      </w:r>
      <w:r>
        <w:rPr>
          <w:sz w:val="20"/>
        </w:rPr>
        <w:t>(s. 150)</w:t>
      </w:r>
    </w:p>
    <w:p w:rsidR="000D323C" w:rsidRDefault="000D323C" w:rsidP="00AB2BC6">
      <w:pPr>
        <w:spacing w:after="120" w:line="276" w:lineRule="auto"/>
        <w:jc w:val="both"/>
      </w:pPr>
      <w:r w:rsidRPr="00110426">
        <w:t>Za jádro výukové situace</w:t>
      </w:r>
      <w:r>
        <w:t xml:space="preserve"> v souladu s Lokajíčkovou (2013, s. 142) </w:t>
      </w:r>
      <w:r w:rsidRPr="00110426">
        <w:t xml:space="preserve">považujeme </w:t>
      </w:r>
      <w:r>
        <w:t>žákovskou práci s učivem navozovanou především prostřednictvím zadání, řešení a hodnocení učebních úloh (</w:t>
      </w:r>
      <w:r w:rsidRPr="00110426">
        <w:t>nejčastěji</w:t>
      </w:r>
      <w:r>
        <w:t xml:space="preserve"> zadaných formou otázek </w:t>
      </w:r>
      <w:r w:rsidRPr="00110426">
        <w:t>nebo úkolů)</w:t>
      </w:r>
      <w:r>
        <w:t xml:space="preserve">. </w:t>
      </w:r>
      <w:r w:rsidRPr="00110426">
        <w:t xml:space="preserve">Učební úloha je nejčastěji zadána formou otázek ze strany učitele. </w:t>
      </w:r>
      <w:r>
        <w:t xml:space="preserve">Vzhledem k povaze dat se soustředíme zejména na fázi </w:t>
      </w:r>
      <w:r w:rsidRPr="00FF6C64">
        <w:t>zadání učební úlohy, přičemž pozornost klademe zejména na proces představ</w:t>
      </w:r>
      <w:r w:rsidR="001E7675" w:rsidRPr="00FF6C64">
        <w:t xml:space="preserve">ení učební úlohy a </w:t>
      </w:r>
      <w:r w:rsidRPr="00FF6C64">
        <w:t>další návody a doporučení učitele k řešení úlohy, které mohou do jisté míry měnit náročnost učební úlohy. Za zakončení výukové situace pokládáme změnu výukové formy, fáze nebo tematickou změnu učebních úloh.</w:t>
      </w:r>
    </w:p>
    <w:p w:rsidR="00EA3671" w:rsidRPr="00FF6C64" w:rsidRDefault="00EA3671" w:rsidP="00AB2BC6">
      <w:pPr>
        <w:spacing w:after="120" w:line="276" w:lineRule="auto"/>
        <w:jc w:val="both"/>
      </w:pPr>
    </w:p>
    <w:p w:rsidR="00BB47D2" w:rsidRPr="00FF6C64" w:rsidRDefault="00BB47D2" w:rsidP="00426E58">
      <w:pPr>
        <w:pStyle w:val="Nadpis4"/>
        <w:numPr>
          <w:ilvl w:val="0"/>
          <w:numId w:val="0"/>
        </w:numPr>
        <w:spacing w:before="0" w:after="120"/>
      </w:pPr>
      <w:r w:rsidRPr="00FF6C64">
        <w:t>Metodika analýzy dat</w:t>
      </w:r>
    </w:p>
    <w:p w:rsidR="003C4BEF" w:rsidRDefault="00185AA3" w:rsidP="003C4BEF">
      <w:pPr>
        <w:widowControl w:val="0"/>
        <w:autoSpaceDE w:val="0"/>
        <w:autoSpaceDN w:val="0"/>
        <w:adjustRightInd w:val="0"/>
        <w:spacing w:after="120" w:line="276" w:lineRule="auto"/>
        <w:jc w:val="both"/>
      </w:pPr>
      <w:r>
        <w:t xml:space="preserve">V případě prezentovaného výzkumu se nejedná o systematickou analýzu výukových situací, nýbrž o hledání příkladů vhodně ilustrujících jednotlivé dimenze problémových učebních úloh. Cílem analýzy výukových situací je hodnotit vybrané charakteristiky výuky s ohledem na jejich potenciál </w:t>
      </w:r>
      <w:r w:rsidR="008877B6">
        <w:t>u</w:t>
      </w:r>
      <w:r>
        <w:t>tvářet a rozvíjet kompetenci k řešení problémů.</w:t>
      </w:r>
      <w:r w:rsidR="006C61C3">
        <w:t xml:space="preserve"> </w:t>
      </w:r>
      <w:r w:rsidR="00EA3671">
        <w:t xml:space="preserve">Jádrem analyzované výukové situace je učební úloha. </w:t>
      </w:r>
      <w:r>
        <w:t xml:space="preserve">Analýza </w:t>
      </w:r>
      <w:r w:rsidR="00E06484">
        <w:t>je inspirována metodikou 3A (podrobněji viz Janík et al., 2013)</w:t>
      </w:r>
      <w:r w:rsidR="00E06484">
        <w:rPr>
          <w:rStyle w:val="Znakapoznpodarou"/>
        </w:rPr>
        <w:footnoteReference w:id="92"/>
      </w:r>
      <w:r w:rsidR="00E06484">
        <w:t xml:space="preserve">, a </w:t>
      </w:r>
      <w:r>
        <w:t xml:space="preserve">spočívá </w:t>
      </w:r>
      <w:r w:rsidR="00636511">
        <w:t xml:space="preserve">v nahlížení výukových situací a jejich charakteristik. </w:t>
      </w:r>
      <w:r w:rsidR="009D12C2">
        <w:t xml:space="preserve">Oproti metodice 3A se v námi realizovaných analýzách </w:t>
      </w:r>
      <w:r w:rsidR="00CF544B">
        <w:t xml:space="preserve">v naprosté většině případů </w:t>
      </w:r>
      <w:r w:rsidR="009D12C2">
        <w:t>nezabýváme alteracemi (</w:t>
      </w:r>
      <w:r w:rsidR="008877B6">
        <w:t>alternativními</w:t>
      </w:r>
      <w:r w:rsidR="008877B6" w:rsidRPr="008877B6">
        <w:t xml:space="preserve"> didaktick</w:t>
      </w:r>
      <w:r w:rsidR="008877B6">
        <w:t>ými</w:t>
      </w:r>
      <w:r w:rsidR="008877B6" w:rsidRPr="008877B6">
        <w:t xml:space="preserve"> řešení</w:t>
      </w:r>
      <w:r w:rsidR="008877B6">
        <w:t>mi</w:t>
      </w:r>
      <w:r w:rsidR="008877B6" w:rsidRPr="008877B6">
        <w:t xml:space="preserve"> určité výukové situace navržen</w:t>
      </w:r>
      <w:r w:rsidR="008877B6">
        <w:t xml:space="preserve">ými </w:t>
      </w:r>
      <w:r w:rsidR="008877B6" w:rsidRPr="008877B6">
        <w:t>s cílem zlepšit kvalitu původního řešení</w:t>
      </w:r>
      <w:r w:rsidR="00612645">
        <w:t xml:space="preserve">). V pozorované výuce jsme usilovali o identifikaci tzv. rozvíjejících výukových situací, tedy situací, u nichž je naléhavost alterací relativně nízká. </w:t>
      </w:r>
      <w:r w:rsidR="00636511">
        <w:t xml:space="preserve">Postupovali jsme </w:t>
      </w:r>
      <w:r>
        <w:t xml:space="preserve">ve </w:t>
      </w:r>
      <w:r w:rsidR="009D12C2">
        <w:t>dvou</w:t>
      </w:r>
      <w:r>
        <w:t xml:space="preserve"> krocích</w:t>
      </w:r>
      <w:r w:rsidR="003C4BEF">
        <w:t>:</w:t>
      </w:r>
    </w:p>
    <w:p w:rsidR="003C4BEF" w:rsidRPr="00B65507" w:rsidRDefault="009D12C2" w:rsidP="00FE68D6">
      <w:pPr>
        <w:pStyle w:val="Odstavecseseznamem"/>
        <w:widowControl w:val="0"/>
        <w:numPr>
          <w:ilvl w:val="0"/>
          <w:numId w:val="35"/>
        </w:numPr>
        <w:autoSpaceDE w:val="0"/>
        <w:autoSpaceDN w:val="0"/>
        <w:adjustRightInd w:val="0"/>
        <w:spacing w:after="120"/>
        <w:ind w:left="1134" w:hanging="425"/>
        <w:jc w:val="both"/>
        <w:rPr>
          <w:rFonts w:ascii="Times New Roman" w:hAnsi="Times New Roman"/>
          <w:sz w:val="24"/>
        </w:rPr>
      </w:pPr>
      <w:r w:rsidRPr="00A720FB">
        <w:rPr>
          <w:rFonts w:ascii="Times New Roman" w:hAnsi="Times New Roman"/>
          <w:i/>
          <w:sz w:val="24"/>
        </w:rPr>
        <w:t>Anotace</w:t>
      </w:r>
      <w:r w:rsidRPr="00B65507">
        <w:rPr>
          <w:rFonts w:ascii="Times New Roman" w:hAnsi="Times New Roman"/>
          <w:sz w:val="24"/>
        </w:rPr>
        <w:t xml:space="preserve"> </w:t>
      </w:r>
      <w:r w:rsidR="003C4BEF" w:rsidRPr="00B65507">
        <w:rPr>
          <w:rFonts w:ascii="Times New Roman" w:hAnsi="Times New Roman"/>
          <w:sz w:val="24"/>
        </w:rPr>
        <w:t xml:space="preserve">– </w:t>
      </w:r>
      <w:r w:rsidRPr="00B65507">
        <w:rPr>
          <w:rFonts w:ascii="Times New Roman" w:hAnsi="Times New Roman"/>
          <w:sz w:val="24"/>
        </w:rPr>
        <w:t xml:space="preserve">zahrnuje poznatky o pozorované výuce a přináší základní poznatky o výukových situacích. Jedná se především o </w:t>
      </w:r>
      <w:r w:rsidR="003C4BEF" w:rsidRPr="00B65507">
        <w:rPr>
          <w:rFonts w:ascii="Times New Roman" w:hAnsi="Times New Roman"/>
          <w:sz w:val="24"/>
        </w:rPr>
        <w:t xml:space="preserve">stručný výstižný popis, který shrnuje nejdůležitější poznatky o pozorované výuce a přináší tím základní informace o kontextu (nadřazeném celku) probíraných situací. Cílem anotace je umožnit „vidět“ výuku jako celek, aby bylo možné porozumět následné analýze. </w:t>
      </w:r>
    </w:p>
    <w:p w:rsidR="00277E7D" w:rsidRPr="00B65507" w:rsidRDefault="009D12C2" w:rsidP="00FE68D6">
      <w:pPr>
        <w:pStyle w:val="Odstavecseseznamem"/>
        <w:widowControl w:val="0"/>
        <w:numPr>
          <w:ilvl w:val="0"/>
          <w:numId w:val="35"/>
        </w:numPr>
        <w:autoSpaceDE w:val="0"/>
        <w:autoSpaceDN w:val="0"/>
        <w:adjustRightInd w:val="0"/>
        <w:spacing w:after="120"/>
        <w:ind w:left="1134" w:hanging="425"/>
        <w:jc w:val="both"/>
        <w:rPr>
          <w:rFonts w:ascii="Times New Roman" w:hAnsi="Times New Roman"/>
          <w:sz w:val="24"/>
        </w:rPr>
      </w:pPr>
      <w:r w:rsidRPr="00A720FB">
        <w:rPr>
          <w:rFonts w:ascii="Times New Roman" w:hAnsi="Times New Roman"/>
          <w:i/>
          <w:sz w:val="24"/>
        </w:rPr>
        <w:t>Analýza</w:t>
      </w:r>
      <w:r w:rsidRPr="00B65507">
        <w:rPr>
          <w:rFonts w:ascii="Times New Roman" w:hAnsi="Times New Roman"/>
          <w:sz w:val="24"/>
        </w:rPr>
        <w:t xml:space="preserve"> </w:t>
      </w:r>
      <w:r w:rsidR="003C4BEF" w:rsidRPr="00B65507">
        <w:rPr>
          <w:rFonts w:ascii="Times New Roman" w:hAnsi="Times New Roman"/>
          <w:sz w:val="24"/>
        </w:rPr>
        <w:t xml:space="preserve">– spočívá v identifikaci a následné didaktické interpretaci výukových situací vedoucích k utváření a rozvíjení kompetence k řešení problémů a jejich rozboru se zvláštním zřetelem k jednotlivým dimenzím námi navrženého teoretického modelu příležitostí k utváření a rozvíjení kompetence k řešení problémů. Analýza vychází z metodiky konceptové analýzy; zahrnuje dekompozici analyzované výuky na dílčí složky a interpretaci významové struktury a psychosociálních nebo kulturních kontextů vzdělávacího obsahu v činnosti žáků. </w:t>
      </w:r>
      <w:r w:rsidR="00EA7E96" w:rsidRPr="00B65507">
        <w:rPr>
          <w:rFonts w:ascii="Times New Roman" w:hAnsi="Times New Roman"/>
          <w:sz w:val="24"/>
        </w:rPr>
        <w:t xml:space="preserve">Součástí analýzy může být konceptový diagram graficky znázorňující </w:t>
      </w:r>
      <w:r w:rsidR="007E079C" w:rsidRPr="00B65507">
        <w:rPr>
          <w:rFonts w:ascii="Times New Roman" w:hAnsi="Times New Roman"/>
          <w:sz w:val="24"/>
        </w:rPr>
        <w:t>odborné</w:t>
      </w:r>
      <w:r w:rsidR="00277E7D" w:rsidRPr="00B65507">
        <w:rPr>
          <w:rFonts w:ascii="Times New Roman" w:hAnsi="Times New Roman"/>
          <w:sz w:val="24"/>
        </w:rPr>
        <w:t xml:space="preserve"> </w:t>
      </w:r>
      <w:r w:rsidR="00EA7E96" w:rsidRPr="00B65507">
        <w:rPr>
          <w:rFonts w:ascii="Times New Roman" w:hAnsi="Times New Roman"/>
          <w:sz w:val="24"/>
        </w:rPr>
        <w:t xml:space="preserve">pojmy, se kterými </w:t>
      </w:r>
      <w:r w:rsidR="00277E7D" w:rsidRPr="00B65507">
        <w:rPr>
          <w:rFonts w:ascii="Times New Roman" w:hAnsi="Times New Roman"/>
          <w:sz w:val="24"/>
        </w:rPr>
        <w:t xml:space="preserve">se v analyzované vyučovací hodině operuje. </w:t>
      </w:r>
    </w:p>
    <w:p w:rsidR="00185AA3" w:rsidRDefault="007E46C4" w:rsidP="00A720FB">
      <w:pPr>
        <w:widowControl w:val="0"/>
        <w:autoSpaceDE w:val="0"/>
        <w:autoSpaceDN w:val="0"/>
        <w:adjustRightInd w:val="0"/>
        <w:spacing w:after="120" w:line="276" w:lineRule="auto"/>
        <w:jc w:val="both"/>
      </w:pPr>
      <w:r>
        <w:t xml:space="preserve">V každé vyučovací hodině jsou pracovně vzorkovány výukové situace, které podporují utváření a rozvíjení kompetence k řešení problémů (tzv. </w:t>
      </w:r>
      <w:r w:rsidRPr="00CF544B">
        <w:rPr>
          <w:i/>
        </w:rPr>
        <w:t>event sampling</w:t>
      </w:r>
      <w:r>
        <w:t xml:space="preserve">). </w:t>
      </w:r>
      <w:r w:rsidR="008877B6">
        <w:t xml:space="preserve">Dle terminologie Janíka a kol. (2011, s. 235) se zaměřujeme především na tzv. rozvíjející výukové situace, neboli situace, které mají všechny předpoklady pro zvládání vztahu mezi rozvojem klíčových kompetencí (v našem případě kompetencí k řešení problémů) a osvojováním učiva. Jedná se výukové situace, u nichž nejsou alterace nutné, případně jsou málo naléhavé. </w:t>
      </w:r>
      <w:r w:rsidR="00472C82">
        <w:t xml:space="preserve">Vycházíme z předpokladu, že jádrem problémových situací jsou problémové učební úlohy (srov. kap. </w:t>
      </w:r>
      <w:r w:rsidR="00845F73">
        <w:t>1.5.4</w:t>
      </w:r>
      <w:r w:rsidR="00472C82">
        <w:t xml:space="preserve">). Problémové učební úlohy zároveň představují základní jednotku analýzy. </w:t>
      </w:r>
      <w:r w:rsidR="00185AA3">
        <w:t xml:space="preserve">Pro analýzu kvality učebních úloh jsme vytvořili třífázový postup, který rozlišuje mezi jednotlivými dimenzemi problémových učebních úloh. Jako učební úlohu směřující k utváření a rozvíjení kompetence k řešení problémů obecně považujeme takovou učební úlohu, která vykazuje následující charakteristiky: </w:t>
      </w:r>
    </w:p>
    <w:p w:rsidR="00A720FB" w:rsidRDefault="00B86991" w:rsidP="00FE68D6">
      <w:pPr>
        <w:pStyle w:val="Odstavecseseznamem"/>
        <w:numPr>
          <w:ilvl w:val="0"/>
          <w:numId w:val="31"/>
        </w:numPr>
        <w:spacing w:after="120"/>
        <w:jc w:val="both"/>
        <w:rPr>
          <w:rFonts w:ascii="Times New Roman" w:hAnsi="Times New Roman"/>
          <w:sz w:val="24"/>
        </w:rPr>
      </w:pPr>
      <w:r w:rsidRPr="00A720FB">
        <w:rPr>
          <w:rFonts w:ascii="Times New Roman" w:hAnsi="Times New Roman"/>
          <w:sz w:val="24"/>
        </w:rPr>
        <w:t>Učební úloha rozvíjí schopnost identifikovat, popsat, interpretovat a zdůvodňovat geografické procesy odehrávající se v prostředí (dimenze systémovosti).</w:t>
      </w:r>
    </w:p>
    <w:p w:rsidR="0083573A" w:rsidRPr="00A720FB" w:rsidRDefault="00682A46" w:rsidP="00FE68D6">
      <w:pPr>
        <w:pStyle w:val="Odstavecseseznamem"/>
        <w:numPr>
          <w:ilvl w:val="0"/>
          <w:numId w:val="31"/>
        </w:numPr>
        <w:spacing w:after="120"/>
        <w:jc w:val="both"/>
        <w:rPr>
          <w:rFonts w:ascii="Times New Roman" w:hAnsi="Times New Roman"/>
          <w:sz w:val="24"/>
        </w:rPr>
      </w:pPr>
      <w:r w:rsidRPr="00A720FB">
        <w:rPr>
          <w:rFonts w:ascii="Times New Roman" w:hAnsi="Times New Roman"/>
          <w:sz w:val="24"/>
        </w:rPr>
        <w:t>U</w:t>
      </w:r>
      <w:r w:rsidR="000B7B31" w:rsidRPr="00A720FB">
        <w:rPr>
          <w:rFonts w:ascii="Times New Roman" w:hAnsi="Times New Roman"/>
          <w:sz w:val="24"/>
        </w:rPr>
        <w:t>čební úloha</w:t>
      </w:r>
      <w:r w:rsidR="0083573A" w:rsidRPr="00A720FB">
        <w:rPr>
          <w:rFonts w:ascii="Times New Roman" w:hAnsi="Times New Roman"/>
          <w:sz w:val="24"/>
        </w:rPr>
        <w:t xml:space="preserve"> </w:t>
      </w:r>
      <w:r w:rsidR="0083573A" w:rsidRPr="00A720FB">
        <w:rPr>
          <w:rFonts w:ascii="Times New Roman" w:hAnsi="Times New Roman"/>
          <w:sz w:val="24"/>
          <w:szCs w:val="24"/>
        </w:rPr>
        <w:t xml:space="preserve">vyžaduje </w:t>
      </w:r>
      <w:r w:rsidR="00B86991" w:rsidRPr="00A720FB">
        <w:rPr>
          <w:rFonts w:ascii="Times New Roman" w:hAnsi="Times New Roman"/>
          <w:sz w:val="24"/>
          <w:szCs w:val="24"/>
        </w:rPr>
        <w:t xml:space="preserve">zpětné vybavení si, případně aplikaci jednodušších i složitějších postupů/pravidel </w:t>
      </w:r>
      <w:r w:rsidR="00672200" w:rsidRPr="00A720FB">
        <w:rPr>
          <w:rFonts w:ascii="Times New Roman" w:hAnsi="Times New Roman"/>
          <w:sz w:val="24"/>
          <w:szCs w:val="24"/>
        </w:rPr>
        <w:t>a zobecňování</w:t>
      </w:r>
      <w:r w:rsidR="00672200" w:rsidRPr="00A720FB">
        <w:rPr>
          <w:rFonts w:ascii="Times New Roman" w:hAnsi="Times New Roman"/>
          <w:sz w:val="24"/>
        </w:rPr>
        <w:t xml:space="preserve"> v širších souvislostech na základě pochopení vztahů mezi pojmy</w:t>
      </w:r>
      <w:r w:rsidR="000B7B31" w:rsidRPr="00A720FB">
        <w:rPr>
          <w:rFonts w:ascii="Times New Roman" w:hAnsi="Times New Roman"/>
          <w:sz w:val="24"/>
        </w:rPr>
        <w:t xml:space="preserve"> (dimenze komplexity)</w:t>
      </w:r>
      <w:r w:rsidR="00672200" w:rsidRPr="00A720FB">
        <w:rPr>
          <w:rFonts w:ascii="Times New Roman" w:hAnsi="Times New Roman"/>
          <w:sz w:val="24"/>
        </w:rPr>
        <w:t xml:space="preserve">. </w:t>
      </w:r>
    </w:p>
    <w:p w:rsidR="0083573A" w:rsidRPr="00B86991" w:rsidRDefault="00682A46" w:rsidP="00FE68D6">
      <w:pPr>
        <w:pStyle w:val="Odstavecseseznamem"/>
        <w:numPr>
          <w:ilvl w:val="0"/>
          <w:numId w:val="31"/>
        </w:numPr>
        <w:spacing w:after="120"/>
        <w:jc w:val="both"/>
        <w:rPr>
          <w:rFonts w:ascii="Times New Roman" w:hAnsi="Times New Roman"/>
          <w:sz w:val="24"/>
        </w:rPr>
      </w:pPr>
      <w:r w:rsidRPr="00B86991">
        <w:rPr>
          <w:rFonts w:ascii="Times New Roman" w:hAnsi="Times New Roman"/>
          <w:sz w:val="24"/>
        </w:rPr>
        <w:t xml:space="preserve">Učební úloha </w:t>
      </w:r>
      <w:r w:rsidR="00410A51" w:rsidRPr="00B86991">
        <w:rPr>
          <w:rFonts w:ascii="Times New Roman" w:hAnsi="Times New Roman"/>
          <w:sz w:val="24"/>
        </w:rPr>
        <w:t>vyžaduje</w:t>
      </w:r>
      <w:r w:rsidRPr="00B86991">
        <w:rPr>
          <w:rFonts w:ascii="Times New Roman" w:hAnsi="Times New Roman"/>
          <w:sz w:val="24"/>
        </w:rPr>
        <w:t xml:space="preserve"> schopnost reflektivního posouzení neznámých situací, získaných poznatků, metod a postupů za účelem </w:t>
      </w:r>
      <w:r w:rsidR="00410A51" w:rsidRPr="00B86991">
        <w:rPr>
          <w:rFonts w:ascii="Times New Roman" w:hAnsi="Times New Roman"/>
          <w:sz w:val="24"/>
        </w:rPr>
        <w:t xml:space="preserve">jejich </w:t>
      </w:r>
      <w:r w:rsidRPr="00B86991">
        <w:rPr>
          <w:rFonts w:ascii="Times New Roman" w:hAnsi="Times New Roman"/>
          <w:sz w:val="24"/>
        </w:rPr>
        <w:t>zdůvodnění, zhodnocení, nalezení jejich (z pohledu žáka nových) významů a souvislostí</w:t>
      </w:r>
      <w:r w:rsidR="00410A51" w:rsidRPr="00B86991">
        <w:rPr>
          <w:rFonts w:ascii="Times New Roman" w:hAnsi="Times New Roman"/>
          <w:sz w:val="24"/>
        </w:rPr>
        <w:t xml:space="preserve"> (dimenze náročnosti).</w:t>
      </w:r>
    </w:p>
    <w:p w:rsidR="00185AA3" w:rsidRDefault="00185AA3" w:rsidP="00A720FB">
      <w:pPr>
        <w:widowControl w:val="0"/>
        <w:autoSpaceDE w:val="0"/>
        <w:autoSpaceDN w:val="0"/>
        <w:adjustRightInd w:val="0"/>
        <w:spacing w:after="120" w:line="276" w:lineRule="auto"/>
        <w:jc w:val="both"/>
      </w:pPr>
      <w:r>
        <w:t xml:space="preserve">Je zřejmé, že v reálné výuce se jen zřídka podaří formulovat učební úlohu, která by ve vhodné míře naplňovala všechny </w:t>
      </w:r>
      <w:r w:rsidR="00277E7D">
        <w:t>výše zmíněné</w:t>
      </w:r>
      <w:r>
        <w:t xml:space="preserve"> komplexní požadavky kladené na učební úlohu podporující utváření a rozvíjení kompetence k řešení problémů.</w:t>
      </w:r>
      <w:r w:rsidR="006C61C3">
        <w:t xml:space="preserve"> </w:t>
      </w:r>
      <w:r>
        <w:t>Námi provedené dřívější analýzy naznačují, že takové situace se v reálné výuce téměř nevyskytují (srov. např. Knecht et al., 2010). Častěji se ve výuce objevují situace, ve kterých lze identifikovat pouze některou z výše uvedených charakteristik</w:t>
      </w:r>
      <w:r w:rsidR="005A48CF">
        <w:t xml:space="preserve"> učebních úloh</w:t>
      </w:r>
      <w:r>
        <w:t xml:space="preserve">. </w:t>
      </w:r>
      <w:r w:rsidR="00982DBF">
        <w:t xml:space="preserve">Jak jsme již uvedli, k analýze přistupujeme s přihlédnutím ke specifičnosti výuky zeměpisu. </w:t>
      </w:r>
      <w:r>
        <w:t>Naším cílem v níže uvedených ilustrativních analýzách je nejprve identifikovat</w:t>
      </w:r>
      <w:r w:rsidR="005A48CF">
        <w:t xml:space="preserve"> tzv. rozvíjející výukové situace</w:t>
      </w:r>
      <w:r w:rsidR="00944D29">
        <w:t>.</w:t>
      </w:r>
      <w:r w:rsidR="009778E6">
        <w:t xml:space="preserve"> </w:t>
      </w:r>
      <w:r w:rsidR="0074544E">
        <w:t>Rozvíjející situace mají všechny předpoklady pro zvládání vztahů mezi rozvojem klíčových kompetencí a osvojováním učiva</w:t>
      </w:r>
      <w:r w:rsidR="009778E6">
        <w:t xml:space="preserve"> </w:t>
      </w:r>
      <w:r w:rsidR="0074544E">
        <w:t xml:space="preserve">(podrobněji viz Janík et al., 2013, s. 234–238). </w:t>
      </w:r>
      <w:r w:rsidR="00944D29">
        <w:t>Následným cílem je zjišťovat</w:t>
      </w:r>
      <w:r w:rsidR="00FE2470">
        <w:t>,</w:t>
      </w:r>
      <w:r w:rsidR="00982DBF">
        <w:t xml:space="preserve"> </w:t>
      </w:r>
      <w:r>
        <w:t>s jakými oborovými fakty – resp. jejich reprezentacemi – se v dané učební úloze pracuje, a které použité oborové pojmy se k těmto faktům vážou (</w:t>
      </w:r>
      <w:r w:rsidR="00FE2470">
        <w:t xml:space="preserve">srov. </w:t>
      </w:r>
      <w:r>
        <w:t xml:space="preserve">Slavík </w:t>
      </w:r>
      <w:r w:rsidR="000B7E90">
        <w:t xml:space="preserve">&amp; </w:t>
      </w:r>
      <w:r>
        <w:t>Janík</w:t>
      </w:r>
      <w:r w:rsidR="00F079F4">
        <w:t>,</w:t>
      </w:r>
      <w:r>
        <w:t xml:space="preserve"> 2005, s. 338). </w:t>
      </w:r>
      <w:r w:rsidR="00944D29">
        <w:t>Z</w:t>
      </w:r>
      <w:r>
        <w:t xml:space="preserve">aměřujeme </w:t>
      </w:r>
      <w:r w:rsidR="00944D29">
        <w:t xml:space="preserve">se </w:t>
      </w:r>
      <w:r>
        <w:t xml:space="preserve">na analýzu toho, jaké typy znalostí jsou očekávány na straně žáků, a jaké jsou další charakteristiky </w:t>
      </w:r>
      <w:r w:rsidR="007E46C4">
        <w:t>učebních úloh</w:t>
      </w:r>
      <w:r>
        <w:t>, které směřují k rozvíjení kompetence k řešení problémů.</w:t>
      </w:r>
    </w:p>
    <w:p w:rsidR="00E47DAD" w:rsidRDefault="00185AA3" w:rsidP="009B189D">
      <w:pPr>
        <w:widowControl w:val="0"/>
        <w:autoSpaceDE w:val="0"/>
        <w:autoSpaceDN w:val="0"/>
        <w:adjustRightInd w:val="0"/>
        <w:spacing w:after="120" w:line="276" w:lineRule="auto"/>
        <w:jc w:val="both"/>
      </w:pPr>
      <w:r>
        <w:t xml:space="preserve">Role učitele je zde klíčová, neboť učitel musí organizovat procesy učení tak, aby vedly k utváření a rozvíjení kompetencí. Učitel v takovém případě může současně se zadáním nebo v průběhu řešení učebních úloh poskytovat pomocné informace a nápovědi, případně vedlejší pomocné úlohy, které mají žáka navést či dovést k řešení. </w:t>
      </w:r>
      <w:r w:rsidR="0027462E">
        <w:t xml:space="preserve">V této fázi výzkumu nás nezajímají všechny učební úlohy, ale jen takové, které vykazují znaky problémové úlohy. </w:t>
      </w:r>
      <w:r>
        <w:t xml:space="preserve">Oproti učebním úlohám uváděným v učebnicích se ve školní výuce můžeme setkat s operátory, kterými učitel bezprostředně reaguje na situaci, kdy žák není s to nalézt řešení určité úlohy. </w:t>
      </w:r>
      <w:r w:rsidR="003A151D">
        <w:t>Mimo jiné z tohoto důvodu</w:t>
      </w:r>
      <w:r w:rsidR="00E47DAD">
        <w:t xml:space="preserve"> prezentujeme analyzované výukové situace formou transkriptu</w:t>
      </w:r>
      <w:r w:rsidR="003A151D">
        <w:t xml:space="preserve">. Transkripty výukových situací také </w:t>
      </w:r>
      <w:r w:rsidR="00E47DAD">
        <w:t>umožňuj</w:t>
      </w:r>
      <w:r w:rsidR="003A151D">
        <w:t>í</w:t>
      </w:r>
      <w:r w:rsidR="00E47DAD">
        <w:t xml:space="preserve"> čtenáři porovnat autentickou výukovou situaci s</w:t>
      </w:r>
      <w:r w:rsidR="003A151D">
        <w:t xml:space="preserve"> našimi </w:t>
      </w:r>
      <w:r w:rsidR="00E47DAD">
        <w:t>interpretacemi</w:t>
      </w:r>
      <w:r w:rsidR="003A151D">
        <w:t xml:space="preserve">, </w:t>
      </w:r>
      <w:r w:rsidR="007E079C">
        <w:t>které</w:t>
      </w:r>
      <w:r w:rsidR="003A151D">
        <w:t xml:space="preserve"> mohou být v mnoha ohledech odlišné.</w:t>
      </w:r>
      <w:r w:rsidR="00E47DAD">
        <w:t xml:space="preserve"> </w:t>
      </w:r>
    </w:p>
    <w:p w:rsidR="00E47DAD" w:rsidRDefault="00E47DAD" w:rsidP="009B189D">
      <w:pPr>
        <w:widowControl w:val="0"/>
        <w:autoSpaceDE w:val="0"/>
        <w:autoSpaceDN w:val="0"/>
        <w:adjustRightInd w:val="0"/>
        <w:spacing w:after="120" w:line="276" w:lineRule="auto"/>
        <w:jc w:val="both"/>
      </w:pPr>
    </w:p>
    <w:p w:rsidR="007638E9" w:rsidRPr="00FF6C64" w:rsidRDefault="009E0E97" w:rsidP="00426E58">
      <w:pPr>
        <w:pStyle w:val="Nadpis4"/>
        <w:numPr>
          <w:ilvl w:val="0"/>
          <w:numId w:val="0"/>
        </w:numPr>
        <w:spacing w:before="0" w:after="120"/>
        <w:jc w:val="both"/>
      </w:pPr>
      <w:r w:rsidRPr="00FF6C64">
        <w:t>Limitace použité metodiky</w:t>
      </w:r>
    </w:p>
    <w:p w:rsidR="00F33511" w:rsidRDefault="00F33511" w:rsidP="009A72DA">
      <w:pPr>
        <w:spacing w:after="120" w:line="276" w:lineRule="auto"/>
        <w:jc w:val="both"/>
        <w:rPr>
          <w:rFonts w:eastAsiaTheme="minorEastAsia"/>
        </w:rPr>
      </w:pPr>
      <w:r w:rsidRPr="00F33511">
        <w:rPr>
          <w:rFonts w:eastAsiaTheme="minorEastAsia"/>
        </w:rPr>
        <w:t xml:space="preserve">Analýza výukových situací si klade za cíl popsat problémové učební úlohy se zvláštním zřetelem k jejich potenciálu podporovat utváření a rozvíjení </w:t>
      </w:r>
      <w:r w:rsidR="007E079C" w:rsidRPr="00F33511">
        <w:rPr>
          <w:rFonts w:eastAsiaTheme="minorEastAsia"/>
        </w:rPr>
        <w:t>kompetence</w:t>
      </w:r>
      <w:r w:rsidRPr="00F33511">
        <w:rPr>
          <w:rFonts w:eastAsiaTheme="minorEastAsia"/>
        </w:rPr>
        <w:t xml:space="preserve"> k řešení problémů</w:t>
      </w:r>
      <w:r w:rsidR="00596349">
        <w:rPr>
          <w:rFonts w:eastAsiaTheme="minorEastAsia"/>
        </w:rPr>
        <w:t xml:space="preserve"> ve výuce zeměpisu</w:t>
      </w:r>
      <w:r w:rsidRPr="00F33511">
        <w:rPr>
          <w:rFonts w:eastAsiaTheme="minorEastAsia"/>
        </w:rPr>
        <w:t>.</w:t>
      </w:r>
      <w:r w:rsidR="006C61C3">
        <w:rPr>
          <w:rFonts w:eastAsiaTheme="minorEastAsia"/>
        </w:rPr>
        <w:t xml:space="preserve"> </w:t>
      </w:r>
      <w:r w:rsidRPr="00F33511">
        <w:rPr>
          <w:rFonts w:eastAsiaTheme="minorEastAsia"/>
        </w:rPr>
        <w:t xml:space="preserve">To zahrnuje pozorovatelné (např. chování/jednání aktérů výukové situace) fenomény a nepozorovatelné fenomény (mentální operace). Na základě pozorování, příp. analýzy transkriptů výukové komunikace není možné spolehlivě zjistit, zda žáci byli danou problémovou situací, příp. učební úlohou osloveni, a zda u nich vzbuzují adekvátní odezvu. </w:t>
      </w:r>
      <w:r w:rsidR="009A72DA">
        <w:t xml:space="preserve">Je tedy </w:t>
      </w:r>
      <w:r w:rsidR="009A72DA" w:rsidRPr="00D42D2E">
        <w:t xml:space="preserve">obtížné rozhodnout, do jaké míry se učiteli daří navodit učební procesy žáků. </w:t>
      </w:r>
      <w:r w:rsidRPr="00F33511">
        <w:rPr>
          <w:rFonts w:eastAsiaTheme="minorEastAsia"/>
        </w:rPr>
        <w:t>Ačkoliv je pravděpodobné, že na základě chování/jednání je možné usuzovat na motivy, postoje a způsob uvažování člověka (srov. Chvál, Kasíková, &amp; Valenta, 2012, s. 23), je nutné výzkumná zjištění interpretovat s ohledem na zmíněnou limitaci.</w:t>
      </w:r>
      <w:r w:rsidR="006C61C3">
        <w:rPr>
          <w:rFonts w:eastAsiaTheme="minorEastAsia"/>
        </w:rPr>
        <w:t xml:space="preserve"> </w:t>
      </w:r>
      <w:r w:rsidRPr="00F33511">
        <w:rPr>
          <w:rFonts w:eastAsiaTheme="minorEastAsia"/>
        </w:rPr>
        <w:t xml:space="preserve">Mimoto námi navrhovaná metodika </w:t>
      </w:r>
      <w:r w:rsidR="007E079C" w:rsidRPr="00F33511">
        <w:rPr>
          <w:rFonts w:eastAsiaTheme="minorEastAsia"/>
        </w:rPr>
        <w:t>neumožňuje</w:t>
      </w:r>
      <w:r w:rsidRPr="00F33511">
        <w:rPr>
          <w:rFonts w:eastAsiaTheme="minorEastAsia"/>
        </w:rPr>
        <w:t xml:space="preserve"> analyzovat širší kontext výukové komunikace, například vizuální akty, kterými učitel podporuje neverbálními signály žáka ve výkonu.</w:t>
      </w:r>
      <w:r w:rsidR="009A72DA" w:rsidRPr="009A72DA">
        <w:t xml:space="preserve"> </w:t>
      </w:r>
    </w:p>
    <w:p w:rsidR="00A27065" w:rsidRPr="00D42D2E" w:rsidRDefault="00A27065" w:rsidP="00A27065">
      <w:pPr>
        <w:spacing w:after="120" w:line="276" w:lineRule="auto"/>
        <w:jc w:val="both"/>
      </w:pPr>
      <w:r w:rsidRPr="00D42D2E">
        <w:t xml:space="preserve">Zkoumané </w:t>
      </w:r>
      <w:r>
        <w:t>video</w:t>
      </w:r>
      <w:r w:rsidR="003468E4">
        <w:t>záznamy</w:t>
      </w:r>
      <w:r>
        <w:t xml:space="preserve"> vyučovacích hodin není možné pokládat</w:t>
      </w:r>
      <w:r w:rsidRPr="00D42D2E">
        <w:t xml:space="preserve"> za</w:t>
      </w:r>
      <w:r>
        <w:t xml:space="preserve"> typické</w:t>
      </w:r>
      <w:r w:rsidRPr="00D42D2E">
        <w:t xml:space="preserve"> reprezentanty výuky zeměpisu v</w:t>
      </w:r>
      <w:r>
        <w:t> Česku a zároveň je také není možné považovat za tzv. příklady dobré praxe.</w:t>
      </w:r>
      <w:r w:rsidR="00BE2CAC">
        <w:t xml:space="preserve"> </w:t>
      </w:r>
      <w:r w:rsidR="00D13A25" w:rsidRPr="00D42D2E">
        <w:t xml:space="preserve">Je nutné upozornit, že v případě </w:t>
      </w:r>
      <w:r w:rsidR="00D13A25">
        <w:t>námi posuzovaných</w:t>
      </w:r>
      <w:r w:rsidR="00D13A25" w:rsidRPr="00D42D2E">
        <w:t xml:space="preserve"> výukových situací se vždy jednalo o situace vytvářené v průběhu frontální výuky</w:t>
      </w:r>
      <w:r w:rsidR="00805878">
        <w:t xml:space="preserve"> v sálově uspořádané třídě</w:t>
      </w:r>
      <w:r w:rsidR="00D13A25" w:rsidRPr="00D42D2E">
        <w:t>.</w:t>
      </w:r>
      <w:r w:rsidR="00805878">
        <w:t xml:space="preserve"> V takto organizované výuce se učitel většinu výukového času pohybuje před tabulí s žáky zpravidla rozesazenými v lavicích po dvou.</w:t>
      </w:r>
      <w:r w:rsidR="00D13A25" w:rsidRPr="00D42D2E">
        <w:t xml:space="preserve"> Je </w:t>
      </w:r>
      <w:r w:rsidR="00805878">
        <w:t>nepochybn</w:t>
      </w:r>
      <w:r w:rsidR="00D13A25" w:rsidRPr="00D42D2E">
        <w:t>é, že frontální výuka má s ohledem na požadavek rozvíjení kompetencí jisté limity, které je možné eliminovat v dalších formách a typech výuky. Zde máme na mysli především individuální nebo skupinovou kooperativní výuku.</w:t>
      </w:r>
      <w:r w:rsidR="00D13A25">
        <w:t xml:space="preserve"> </w:t>
      </w:r>
      <w:r w:rsidR="00186FAC">
        <w:t>Je také možné, že n</w:t>
      </w:r>
      <w:r w:rsidR="00186FAC" w:rsidRPr="005E7AF7">
        <w:t xml:space="preserve">ěkteré z problémů a problémových učebních úloh mohou být natolik složité, že žákovy učební aktivity </w:t>
      </w:r>
      <w:r w:rsidR="00186FAC">
        <w:t>mohou přesáhnout</w:t>
      </w:r>
      <w:r w:rsidR="00186FAC" w:rsidRPr="005E7AF7">
        <w:t xml:space="preserve"> rámec školy a nabývají podoby samostatné odborné práce nebo složitější zprávy o řešení problému.</w:t>
      </w:r>
      <w:r w:rsidR="00186FAC">
        <w:t xml:space="preserve"> S tímto typem učební úlohy jsme se v námi realizovaném výzkumu</w:t>
      </w:r>
      <w:r w:rsidR="00CF544B">
        <w:t xml:space="preserve"> </w:t>
      </w:r>
      <w:r w:rsidR="00186FAC">
        <w:t>setkali</w:t>
      </w:r>
      <w:r w:rsidR="00CF544B">
        <w:t xml:space="preserve"> pouze v jednom případě</w:t>
      </w:r>
      <w:r w:rsidR="00186FAC">
        <w:t xml:space="preserve">. </w:t>
      </w:r>
      <w:r w:rsidR="00D13A25">
        <w:t xml:space="preserve">S přihlédnutím k nedostatku výzkumných dat týkajících se podoby reálné výuky zeměpisu v Česku </w:t>
      </w:r>
      <w:r>
        <w:t xml:space="preserve">nám </w:t>
      </w:r>
      <w:r w:rsidR="00186FAC">
        <w:t xml:space="preserve">zkoumané </w:t>
      </w:r>
      <w:r>
        <w:t>video</w:t>
      </w:r>
      <w:r w:rsidR="00186FAC">
        <w:t>záznamy</w:t>
      </w:r>
      <w:r w:rsidR="00D13A25">
        <w:t xml:space="preserve"> i přes zmiňovaná omezení</w:t>
      </w:r>
      <w:r>
        <w:t xml:space="preserve"> umožnily získat</w:t>
      </w:r>
      <w:r w:rsidRPr="00D42D2E">
        <w:t xml:space="preserve"> </w:t>
      </w:r>
      <w:r>
        <w:t>podrobný a kontextualizovaný náhled na praktickou realizaci výuky zeměpisu v Česku.</w:t>
      </w:r>
    </w:p>
    <w:p w:rsidR="00A27065" w:rsidRPr="00F33511" w:rsidRDefault="00A27065" w:rsidP="009B189D">
      <w:pPr>
        <w:widowControl w:val="0"/>
        <w:autoSpaceDE w:val="0"/>
        <w:autoSpaceDN w:val="0"/>
        <w:adjustRightInd w:val="0"/>
        <w:spacing w:after="120" w:line="276" w:lineRule="auto"/>
        <w:jc w:val="both"/>
        <w:rPr>
          <w:rFonts w:eastAsiaTheme="minorEastAsia"/>
        </w:rPr>
      </w:pPr>
    </w:p>
    <w:p w:rsidR="007638E9" w:rsidRPr="00FF6C64" w:rsidRDefault="007638E9" w:rsidP="00AB2BC6">
      <w:pPr>
        <w:pStyle w:val="Nadpis3"/>
        <w:spacing w:before="0" w:after="120"/>
      </w:pPr>
      <w:bookmarkStart w:id="91" w:name="_Toc399775431"/>
      <w:r w:rsidRPr="00FF6C64">
        <w:t>Shrnutí</w:t>
      </w:r>
      <w:bookmarkEnd w:id="91"/>
    </w:p>
    <w:p w:rsidR="00B4259B" w:rsidRPr="00FF6C64" w:rsidRDefault="00CF544B" w:rsidP="00AB2BC6">
      <w:pPr>
        <w:spacing w:after="120" w:line="276" w:lineRule="auto"/>
        <w:jc w:val="both"/>
      </w:pPr>
      <w:r>
        <w:t>A</w:t>
      </w:r>
      <w:r w:rsidR="007638E9" w:rsidRPr="00FF6C64">
        <w:t xml:space="preserve">nalýza učebních úloh </w:t>
      </w:r>
      <w:r>
        <w:t xml:space="preserve">v učebnicích i didaktická analýza rozvíjejících výukových situací </w:t>
      </w:r>
      <w:r w:rsidR="007638E9" w:rsidRPr="00FF6C64">
        <w:t xml:space="preserve">umožňuje hlouběji interpretovat procesy odehrávající se ve školní výuce a představuje zároveň jednu z možností, jak identifikovat potenciál učebních úloh pro rozvoj klíčových kompetencí. </w:t>
      </w:r>
      <w:r w:rsidR="00B4259B" w:rsidRPr="00FF6C64">
        <w:rPr>
          <w:rStyle w:val="object"/>
        </w:rPr>
        <w:t>Jeví se jako žádoucí rozvíjet kompetence v situacích,</w:t>
      </w:r>
      <w:r w:rsidR="00B4259B" w:rsidRPr="00FF6C64">
        <w:t xml:space="preserve"> které vyžadují průchod trajektorií mezi vstupem (předem definované cíle a obsahy vzdělávání) a výstupem</w:t>
      </w:r>
      <w:r w:rsidR="00B4259B" w:rsidRPr="00FF6C64">
        <w:rPr>
          <w:rStyle w:val="object"/>
        </w:rPr>
        <w:t xml:space="preserve"> (vzdělávací výsledky žáka). Takové </w:t>
      </w:r>
      <w:r w:rsidR="00316EA4">
        <w:rPr>
          <w:rStyle w:val="object"/>
        </w:rPr>
        <w:t xml:space="preserve">výukové </w:t>
      </w:r>
      <w:r w:rsidR="00B4259B" w:rsidRPr="00FF6C64">
        <w:rPr>
          <w:rStyle w:val="object"/>
        </w:rPr>
        <w:t xml:space="preserve">situace jsou úkolové, obsahují zpravidla (úplně anebo částečně) definovaný problém. Jádrem úkolové situace je učební úloha – předpokládá se, že jejím řešením se žák něco naučí. </w:t>
      </w:r>
      <w:r w:rsidR="00B4259B" w:rsidRPr="00FF6C64">
        <w:t xml:space="preserve">Teoreticky fundovaná analýza učebních úloh a jejich řešení umožňuje hlouběji proniknout do vztahů mezi výběrem, řazením a strukturou vzdělávacích obsahů (ontodidaktická analýza), individuálními charakteristikami a učebními možnostmi žáků (psychodidaktická analýza) a situačním rámcem, do něhož jsou jednotlivé úlohy zasazeny. Na základě </w:t>
      </w:r>
      <w:r w:rsidR="00316EA4">
        <w:t>výzkumné metodiky popsané v této kapitole</w:t>
      </w:r>
      <w:r w:rsidR="00B4259B" w:rsidRPr="00FF6C64">
        <w:t xml:space="preserve"> je možné stanovit, jaké učební úlohy vycházejí vstříc rozvoji klíčových kompetencí, případně usuzovat na to, jak by tyto učební úlohy (ne)měly vypadat. </w:t>
      </w:r>
      <w:r w:rsidR="00596349">
        <w:t xml:space="preserve">Jsme přesvědčeni, že metodologicky obdobně koncipovaná analýza může být úspěšně </w:t>
      </w:r>
      <w:r w:rsidR="00316EA4">
        <w:t>realizována</w:t>
      </w:r>
      <w:r w:rsidR="00596349">
        <w:t xml:space="preserve"> ve výzkumu </w:t>
      </w:r>
      <w:r w:rsidR="00316EA4">
        <w:t xml:space="preserve">učebnic i </w:t>
      </w:r>
      <w:r w:rsidR="00596349">
        <w:t>výuky jiných vyučovacích předmětů.</w:t>
      </w:r>
    </w:p>
    <w:p w:rsidR="00AF359A" w:rsidRPr="00FF6C64" w:rsidRDefault="00AB2BC6" w:rsidP="00AB2BC6">
      <w:pPr>
        <w:pStyle w:val="Nadpis1"/>
        <w:spacing w:before="0" w:after="120" w:line="276" w:lineRule="auto"/>
      </w:pPr>
      <w:r>
        <w:br w:type="page"/>
      </w:r>
      <w:bookmarkStart w:id="92" w:name="_Toc399775432"/>
      <w:r w:rsidR="00313CF0" w:rsidRPr="00FF6C64">
        <w:t>V</w:t>
      </w:r>
      <w:r w:rsidR="00AF359A" w:rsidRPr="00FF6C64">
        <w:t>ýsledky výzkumu</w:t>
      </w:r>
      <w:bookmarkEnd w:id="92"/>
    </w:p>
    <w:p w:rsidR="00707BF6" w:rsidRPr="00FF6C64" w:rsidRDefault="006F2929" w:rsidP="00AB2BC6">
      <w:pPr>
        <w:spacing w:after="120" w:line="276" w:lineRule="auto"/>
        <w:jc w:val="both"/>
      </w:pPr>
      <w:r>
        <w:t xml:space="preserve">V této kapitole nejprve prezentujeme výsledky analýzy </w:t>
      </w:r>
      <w:r w:rsidR="00325967">
        <w:t xml:space="preserve">učebních úloh v </w:t>
      </w:r>
      <w:r>
        <w:t>učebnic</w:t>
      </w:r>
      <w:r w:rsidR="00325967">
        <w:t>ích</w:t>
      </w:r>
      <w:r>
        <w:t xml:space="preserve"> a následně analyzujeme vybrané výukové situace</w:t>
      </w:r>
      <w:r w:rsidR="00325967">
        <w:t>, o nichž jsme přesvědčeni, že přispívají k utváření a rozvíjení kompetence k řešení problémů.</w:t>
      </w:r>
      <w:r>
        <w:t xml:space="preserve"> </w:t>
      </w:r>
      <w:r w:rsidR="00707BF6" w:rsidRPr="00FF6C64">
        <w:t xml:space="preserve">Pokládáme za užitečné upozornit, že veškeré prezentované výsledky je nutné </w:t>
      </w:r>
      <w:r w:rsidR="00B54236" w:rsidRPr="00FF6C64">
        <w:t xml:space="preserve">číst a interpretovat s ohledem na použité metody získávání dat. Výsledky odráží do značné míry pouze pozorovatelné jevy, respektive jevy, které vidí výzkumníci. </w:t>
      </w:r>
      <w:r w:rsidR="006C29EE" w:rsidRPr="00FF6C64">
        <w:t xml:space="preserve">Na základě výzkumných dat, která byla k dispozici, není možné usuzovat např. na intenci autorů učebních úloh uváděných v učebnicích, učitelovu intenci ani reakce žáků. To pochopitelně </w:t>
      </w:r>
      <w:r w:rsidR="00D56134" w:rsidRPr="00FF6C64">
        <w:t>hovoří ve prospěch požadavku „jí</w:t>
      </w:r>
      <w:r w:rsidR="00C73AEC" w:rsidRPr="00FF6C64">
        <w:t>t</w:t>
      </w:r>
      <w:r w:rsidR="00D56134" w:rsidRPr="00FF6C64">
        <w:t xml:space="preserve"> za data“ a pohybovat se na vyšší úrovni abstrakce. </w:t>
      </w:r>
      <w:r w:rsidR="002B77A4" w:rsidRPr="00FF6C64">
        <w:t>Jelikož jsme si vědomi nebezpečí kontaminace výsledků výzkumu subjektivními i</w:t>
      </w:r>
      <w:r w:rsidR="002E0818" w:rsidRPr="00FF6C64">
        <w:t xml:space="preserve">nterpretacemi výzkumníků plynoucími z jejich více či méně uvědomovaných subjektivních východisek a přesvědčení, odkazujeme čtenáře se zájmem o hlubší </w:t>
      </w:r>
      <w:r w:rsidR="007E079C" w:rsidRPr="00FF6C64">
        <w:t>interpretaci</w:t>
      </w:r>
      <w:r w:rsidR="002E0818" w:rsidRPr="00FF6C64">
        <w:t xml:space="preserve"> výzkumných zjištění </w:t>
      </w:r>
      <w:r>
        <w:t xml:space="preserve">především </w:t>
      </w:r>
      <w:r w:rsidR="002E0818" w:rsidRPr="00FF6C64">
        <w:t>na kapitolu diskuse.</w:t>
      </w:r>
    </w:p>
    <w:p w:rsidR="006C29EE" w:rsidRPr="00FF6C64" w:rsidRDefault="006C29EE" w:rsidP="00AB2BC6">
      <w:pPr>
        <w:spacing w:after="120" w:line="276" w:lineRule="auto"/>
      </w:pPr>
    </w:p>
    <w:p w:rsidR="00B20F68" w:rsidRDefault="005947C8" w:rsidP="00AB2BC6">
      <w:pPr>
        <w:pStyle w:val="Nadpis2"/>
        <w:spacing w:before="0" w:after="120" w:line="276" w:lineRule="auto"/>
      </w:pPr>
      <w:bookmarkStart w:id="93" w:name="_Toc399775433"/>
      <w:bookmarkStart w:id="94" w:name="_Toc322849140"/>
      <w:bookmarkStart w:id="95" w:name="_Toc323381088"/>
      <w:bookmarkStart w:id="96" w:name="_Toc323196109"/>
      <w:r w:rsidRPr="00FF6C64">
        <w:t>Výsledky analýzy učebnic</w:t>
      </w:r>
      <w:bookmarkEnd w:id="93"/>
    </w:p>
    <w:p w:rsidR="008D39C2" w:rsidRDefault="008D39C2" w:rsidP="003E282F">
      <w:pPr>
        <w:spacing w:line="276" w:lineRule="auto"/>
        <w:jc w:val="both"/>
      </w:pPr>
      <w:r>
        <w:t xml:space="preserve">Počet učebních úloh je v jednotlivých zkoumaných učebnicích odlišný. </w:t>
      </w:r>
      <w:r w:rsidR="001304A7">
        <w:t xml:space="preserve">Pohybuje se od 100 (Prodos) do 348 (SPN). Tato </w:t>
      </w:r>
      <w:r w:rsidR="001A019A">
        <w:t xml:space="preserve">více než trojnásobná </w:t>
      </w:r>
      <w:r w:rsidR="001304A7">
        <w:t xml:space="preserve">disproporce </w:t>
      </w:r>
      <w:r w:rsidR="00472F9C">
        <w:t xml:space="preserve">(srov. </w:t>
      </w:r>
      <w:r w:rsidR="00472F9C" w:rsidRPr="00DC1EB5">
        <w:t xml:space="preserve">obr. </w:t>
      </w:r>
      <w:r w:rsidR="00DC1EB5" w:rsidRPr="00DC1EB5">
        <w:t>17</w:t>
      </w:r>
      <w:r w:rsidR="00472F9C" w:rsidRPr="00DC1EB5">
        <w:t>)</w:t>
      </w:r>
      <w:r w:rsidR="00472F9C">
        <w:t xml:space="preserve"> </w:t>
      </w:r>
      <w:r w:rsidR="001304A7">
        <w:t xml:space="preserve">nemusí nutně souviset pouze s odlišným stránkovým objemem učebnic </w:t>
      </w:r>
      <w:r w:rsidR="00296A81">
        <w:t xml:space="preserve">věnovaným </w:t>
      </w:r>
      <w:r w:rsidR="005D559A">
        <w:t>tematice fyzické geografie</w:t>
      </w:r>
      <w:r w:rsidR="00296A81">
        <w:t xml:space="preserve">, ale může také vypovídat o </w:t>
      </w:r>
      <w:r w:rsidR="0016183A">
        <w:t xml:space="preserve">odlišném </w:t>
      </w:r>
      <w:r w:rsidR="00296A81">
        <w:t>didaktickém pojetí učebnic (</w:t>
      </w:r>
      <w:r w:rsidR="001A019A">
        <w:t xml:space="preserve">učebnice orientované na </w:t>
      </w:r>
      <w:r w:rsidR="005D559A">
        <w:t xml:space="preserve">odborný </w:t>
      </w:r>
      <w:r w:rsidR="001A019A">
        <w:t>výklad a následné upevnění učiva</w:t>
      </w:r>
      <w:r w:rsidR="00472F9C">
        <w:t xml:space="preserve"> vs.</w:t>
      </w:r>
      <w:r w:rsidR="001A019A">
        <w:t xml:space="preserve"> </w:t>
      </w:r>
      <w:r w:rsidR="00D32E43">
        <w:t xml:space="preserve">učebnice orientované na </w:t>
      </w:r>
      <w:r w:rsidR="001A019A">
        <w:t xml:space="preserve">průběžnou </w:t>
      </w:r>
      <w:r w:rsidR="00D32E43">
        <w:t>interakc</w:t>
      </w:r>
      <w:r w:rsidR="001A019A">
        <w:t>i</w:t>
      </w:r>
      <w:r w:rsidR="00D32E43">
        <w:t xml:space="preserve"> se žákem).</w:t>
      </w:r>
    </w:p>
    <w:p w:rsidR="008D39C2" w:rsidRPr="008D39C2" w:rsidRDefault="008D39C2" w:rsidP="008D39C2"/>
    <w:p w:rsidR="008D39C2" w:rsidRDefault="008D39C2" w:rsidP="00A37334">
      <w:pPr>
        <w:widowControl w:val="0"/>
        <w:autoSpaceDE w:val="0"/>
        <w:autoSpaceDN w:val="0"/>
        <w:adjustRightInd w:val="0"/>
      </w:pPr>
      <w:r>
        <w:rPr>
          <w:noProof/>
        </w:rPr>
        <w:drawing>
          <wp:inline distT="0" distB="0" distL="0" distR="0">
            <wp:extent cx="4095750" cy="3275238"/>
            <wp:effectExtent l="19050" t="0" r="0" b="0"/>
            <wp:docPr id="1"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cstate="print"/>
                    <a:srcRect/>
                    <a:stretch>
                      <a:fillRect/>
                    </a:stretch>
                  </pic:blipFill>
                  <pic:spPr bwMode="auto">
                    <a:xfrm>
                      <a:off x="0" y="0"/>
                      <a:ext cx="4092479" cy="3272622"/>
                    </a:xfrm>
                    <a:prstGeom prst="rect">
                      <a:avLst/>
                    </a:prstGeom>
                    <a:noFill/>
                    <a:ln w="9525">
                      <a:noFill/>
                      <a:miter lim="800000"/>
                      <a:headEnd/>
                      <a:tailEnd/>
                    </a:ln>
                  </pic:spPr>
                </pic:pic>
              </a:graphicData>
            </a:graphic>
          </wp:inline>
        </w:drawing>
      </w:r>
    </w:p>
    <w:p w:rsidR="008D39C2" w:rsidRPr="001E0A15" w:rsidRDefault="001E0A15" w:rsidP="001E0A15">
      <w:pPr>
        <w:pStyle w:val="Titulek"/>
        <w:rPr>
          <w:b w:val="0"/>
          <w:sz w:val="24"/>
        </w:rPr>
      </w:pPr>
      <w:bookmarkStart w:id="97" w:name="_Toc399789155"/>
      <w:r w:rsidRPr="001E0A15">
        <w:rPr>
          <w:b w:val="0"/>
          <w:i/>
          <w:sz w:val="24"/>
        </w:rPr>
        <w:t xml:space="preserve">Obrázek </w:t>
      </w:r>
      <w:r w:rsidR="003818A1" w:rsidRPr="001E0A15">
        <w:rPr>
          <w:b w:val="0"/>
          <w:i/>
          <w:sz w:val="24"/>
        </w:rPr>
        <w:fldChar w:fldCharType="begin"/>
      </w:r>
      <w:r w:rsidRPr="001E0A15">
        <w:rPr>
          <w:b w:val="0"/>
          <w:i/>
          <w:sz w:val="24"/>
        </w:rPr>
        <w:instrText xml:space="preserve"> SEQ Obrázek \* ARABIC </w:instrText>
      </w:r>
      <w:r w:rsidR="003818A1" w:rsidRPr="001E0A15">
        <w:rPr>
          <w:b w:val="0"/>
          <w:i/>
          <w:sz w:val="24"/>
        </w:rPr>
        <w:fldChar w:fldCharType="separate"/>
      </w:r>
      <w:r w:rsidR="00FB20B9">
        <w:rPr>
          <w:b w:val="0"/>
          <w:i/>
          <w:noProof/>
          <w:sz w:val="24"/>
        </w:rPr>
        <w:t>17</w:t>
      </w:r>
      <w:r w:rsidR="003818A1" w:rsidRPr="001E0A15">
        <w:rPr>
          <w:b w:val="0"/>
          <w:i/>
          <w:sz w:val="24"/>
        </w:rPr>
        <w:fldChar w:fldCharType="end"/>
      </w:r>
      <w:r w:rsidRPr="001E0A15">
        <w:rPr>
          <w:rFonts w:eastAsiaTheme="minorEastAsia"/>
          <w:b w:val="0"/>
          <w:i/>
          <w:sz w:val="24"/>
        </w:rPr>
        <w:t xml:space="preserve">. </w:t>
      </w:r>
      <w:r w:rsidR="00472F9C" w:rsidRPr="001E0A15">
        <w:rPr>
          <w:rFonts w:eastAsiaTheme="minorEastAsia"/>
          <w:b w:val="0"/>
          <w:sz w:val="24"/>
        </w:rPr>
        <w:t>Počet učebních úloh v učebnicích z jednotlivých vydavatelství.</w:t>
      </w:r>
      <w:bookmarkEnd w:id="97"/>
    </w:p>
    <w:p w:rsidR="008D39C2" w:rsidRDefault="00A720FB" w:rsidP="00A37334">
      <w:pPr>
        <w:widowControl w:val="0"/>
        <w:autoSpaceDE w:val="0"/>
        <w:autoSpaceDN w:val="0"/>
        <w:adjustRightInd w:val="0"/>
      </w:pPr>
      <w:r>
        <w:br/>
      </w:r>
    </w:p>
    <w:p w:rsidR="00A37334" w:rsidRDefault="00A37334" w:rsidP="003E282F">
      <w:pPr>
        <w:widowControl w:val="0"/>
        <w:autoSpaceDE w:val="0"/>
        <w:autoSpaceDN w:val="0"/>
        <w:adjustRightInd w:val="0"/>
        <w:spacing w:line="276" w:lineRule="auto"/>
        <w:jc w:val="both"/>
      </w:pPr>
      <w:r>
        <w:t xml:space="preserve">Přesný počet zkoumaných učebních úloh v jednotlivých učebnicích a jejich rozmístění uvádíme v tabulce </w:t>
      </w:r>
      <w:r w:rsidR="00DC1EB5" w:rsidRPr="00DC1EB5">
        <w:t>8</w:t>
      </w:r>
      <w:r>
        <w:t xml:space="preserve">. </w:t>
      </w:r>
      <w:r w:rsidR="006F2929">
        <w:t xml:space="preserve">Zjištěné hodnoty napovídají, že rozmístění učebních úloh je v jednotlivých zkoumaných učebnicích </w:t>
      </w:r>
      <w:r w:rsidR="00F257AE">
        <w:t>různorodě</w:t>
      </w:r>
      <w:r w:rsidR="00D80918">
        <w:t>. Zatímco učebnice z vydavatelství NČGS a Prodos jsou z hlediska rozmístění učebních úloh strukturovány tradičně – učební úlohy se v těchto učebnicích nacházejí zpravidla na koncích kapitol, resp. koncích tematických celků učiva.</w:t>
      </w:r>
      <w:r w:rsidR="00B513F6">
        <w:t xml:space="preserve"> Ve zbylých učebnicích jsou učební úlohy rozmístěny v jednotlivých kapitolách průběžně, přičemž každá z těchto učebnic je vzhledem k rozmístění učebních úloh něčím specifická. Zatímco v učebnici z vydavatelství Nová škola výrazně dominují učební úlohy rozmístěné průběžně ve výkladovém textu kapitol, </w:t>
      </w:r>
      <w:r w:rsidR="004F7B95">
        <w:t>učebnice z vydavatelství Fraus téměř nevyužívá možnost zařazovat učební úlohy na začátcích a koncích kapitol. Nejvíce heterogenní je z hlediska rozmístění učebních úloh u</w:t>
      </w:r>
      <w:r w:rsidR="005D3AF0">
        <w:t xml:space="preserve">čebnice z vydavatelství SPN. V této učebnici cca z poloviny převládají učební úlohy zařazené na koncích kapitol, zbylé učební úlohy jsou rozmístěny na jiných místech, </w:t>
      </w:r>
      <w:r w:rsidR="0030539E">
        <w:t>například v popiscích</w:t>
      </w:r>
      <w:r w:rsidR="005D3AF0">
        <w:t xml:space="preserve"> obrázků.</w:t>
      </w:r>
      <w:r w:rsidR="005D3AF0">
        <w:rPr>
          <w:rStyle w:val="Znakapoznpodarou"/>
        </w:rPr>
        <w:footnoteReference w:id="93"/>
      </w:r>
    </w:p>
    <w:p w:rsidR="00920EB2" w:rsidRDefault="00920EB2" w:rsidP="00920EB2">
      <w:pPr>
        <w:autoSpaceDE w:val="0"/>
        <w:autoSpaceDN w:val="0"/>
        <w:adjustRightInd w:val="0"/>
      </w:pPr>
    </w:p>
    <w:p w:rsidR="001E0A15" w:rsidRPr="001E0A15" w:rsidRDefault="001E0A15" w:rsidP="001E0A15">
      <w:pPr>
        <w:pStyle w:val="Titulek"/>
        <w:keepNext/>
        <w:jc w:val="both"/>
        <w:rPr>
          <w:b w:val="0"/>
          <w:sz w:val="24"/>
        </w:rPr>
      </w:pPr>
      <w:bookmarkStart w:id="98" w:name="_Toc399013072"/>
      <w:r w:rsidRPr="001E0A15">
        <w:rPr>
          <w:b w:val="0"/>
          <w:sz w:val="24"/>
        </w:rPr>
        <w:t xml:space="preserve">Tabulka </w:t>
      </w:r>
      <w:r w:rsidR="003818A1" w:rsidRPr="001E0A15">
        <w:rPr>
          <w:b w:val="0"/>
          <w:sz w:val="24"/>
        </w:rPr>
        <w:fldChar w:fldCharType="begin"/>
      </w:r>
      <w:r w:rsidRPr="001E0A15">
        <w:rPr>
          <w:b w:val="0"/>
          <w:sz w:val="24"/>
        </w:rPr>
        <w:instrText xml:space="preserve"> SEQ Tabulka \* ARABIC </w:instrText>
      </w:r>
      <w:r w:rsidR="003818A1" w:rsidRPr="001E0A15">
        <w:rPr>
          <w:b w:val="0"/>
          <w:sz w:val="24"/>
        </w:rPr>
        <w:fldChar w:fldCharType="separate"/>
      </w:r>
      <w:r w:rsidR="00FB20B9">
        <w:rPr>
          <w:b w:val="0"/>
          <w:noProof/>
          <w:sz w:val="24"/>
        </w:rPr>
        <w:t>8</w:t>
      </w:r>
      <w:bookmarkEnd w:id="98"/>
      <w:r w:rsidR="003818A1" w:rsidRPr="001E0A15">
        <w:rPr>
          <w:b w:val="0"/>
          <w:sz w:val="24"/>
        </w:rPr>
        <w:fldChar w:fldCharType="end"/>
      </w:r>
    </w:p>
    <w:p w:rsidR="00F66B2B" w:rsidRPr="009A6F4A" w:rsidRDefault="00F66B2B" w:rsidP="00F66B2B">
      <w:pPr>
        <w:spacing w:after="120" w:line="276" w:lineRule="auto"/>
        <w:jc w:val="both"/>
        <w:rPr>
          <w:i/>
        </w:rPr>
      </w:pPr>
      <w:r w:rsidRPr="009A6F4A">
        <w:rPr>
          <w:i/>
        </w:rPr>
        <w:t>Počet zkoumaných učebních úloh a jejich rozmístění</w:t>
      </w:r>
      <w:r w:rsidR="00AD3E45">
        <w:rPr>
          <w:i/>
        </w:rPr>
        <w:t xml:space="preserve"> v učebnicích</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194"/>
        <w:gridCol w:w="705"/>
        <w:gridCol w:w="582"/>
        <w:gridCol w:w="724"/>
        <w:gridCol w:w="566"/>
        <w:gridCol w:w="725"/>
        <w:gridCol w:w="566"/>
        <w:gridCol w:w="664"/>
        <w:gridCol w:w="567"/>
        <w:gridCol w:w="709"/>
        <w:gridCol w:w="567"/>
        <w:gridCol w:w="709"/>
        <w:gridCol w:w="567"/>
      </w:tblGrid>
      <w:tr w:rsidR="001A2F3C" w:rsidRPr="00844548" w:rsidTr="004107D4">
        <w:trPr>
          <w:jc w:val="center"/>
        </w:trPr>
        <w:tc>
          <w:tcPr>
            <w:tcW w:w="1194" w:type="dxa"/>
            <w:vMerge w:val="restart"/>
            <w:tcBorders>
              <w:right w:val="single" w:sz="12" w:space="0" w:color="auto"/>
            </w:tcBorders>
          </w:tcPr>
          <w:p w:rsidR="001A2F3C" w:rsidRPr="00844548" w:rsidRDefault="001A2F3C" w:rsidP="009B189D">
            <w:pPr>
              <w:jc w:val="both"/>
              <w:rPr>
                <w:sz w:val="20"/>
                <w:szCs w:val="20"/>
              </w:rPr>
            </w:pPr>
          </w:p>
        </w:tc>
        <w:tc>
          <w:tcPr>
            <w:tcW w:w="1287" w:type="dxa"/>
            <w:gridSpan w:val="2"/>
            <w:tcBorders>
              <w:top w:val="single" w:sz="12" w:space="0" w:color="auto"/>
              <w:left w:val="single" w:sz="12" w:space="0" w:color="auto"/>
              <w:bottom w:val="single" w:sz="6" w:space="0" w:color="auto"/>
              <w:right w:val="single" w:sz="12" w:space="0" w:color="auto"/>
            </w:tcBorders>
          </w:tcPr>
          <w:p w:rsidR="001A2F3C" w:rsidRPr="00844548" w:rsidRDefault="001A2F3C" w:rsidP="009B189D">
            <w:pPr>
              <w:jc w:val="center"/>
              <w:rPr>
                <w:sz w:val="20"/>
                <w:szCs w:val="20"/>
              </w:rPr>
            </w:pPr>
            <w:r w:rsidRPr="00844548">
              <w:rPr>
                <w:sz w:val="20"/>
                <w:szCs w:val="20"/>
              </w:rPr>
              <w:t>Fraus</w:t>
            </w:r>
          </w:p>
        </w:tc>
        <w:tc>
          <w:tcPr>
            <w:tcW w:w="1290" w:type="dxa"/>
            <w:gridSpan w:val="2"/>
            <w:tcBorders>
              <w:left w:val="single" w:sz="12" w:space="0" w:color="auto"/>
              <w:right w:val="single" w:sz="12" w:space="0" w:color="auto"/>
            </w:tcBorders>
          </w:tcPr>
          <w:p w:rsidR="001A2F3C" w:rsidRPr="00844548" w:rsidRDefault="001A2F3C" w:rsidP="009B189D">
            <w:pPr>
              <w:jc w:val="center"/>
              <w:rPr>
                <w:sz w:val="20"/>
                <w:szCs w:val="20"/>
              </w:rPr>
            </w:pPr>
            <w:r w:rsidRPr="00844548">
              <w:rPr>
                <w:sz w:val="20"/>
                <w:szCs w:val="20"/>
              </w:rPr>
              <w:t>NČGS</w:t>
            </w:r>
          </w:p>
        </w:tc>
        <w:tc>
          <w:tcPr>
            <w:tcW w:w="1291" w:type="dxa"/>
            <w:gridSpan w:val="2"/>
            <w:tcBorders>
              <w:top w:val="single" w:sz="12" w:space="0" w:color="auto"/>
              <w:left w:val="single" w:sz="12" w:space="0" w:color="auto"/>
              <w:bottom w:val="single" w:sz="6" w:space="0" w:color="auto"/>
              <w:right w:val="single" w:sz="12" w:space="0" w:color="auto"/>
            </w:tcBorders>
          </w:tcPr>
          <w:p w:rsidR="001A2F3C" w:rsidRPr="00844548" w:rsidRDefault="001A2F3C" w:rsidP="009B189D">
            <w:pPr>
              <w:jc w:val="center"/>
              <w:rPr>
                <w:sz w:val="20"/>
                <w:szCs w:val="20"/>
              </w:rPr>
            </w:pPr>
            <w:r w:rsidRPr="00844548">
              <w:rPr>
                <w:sz w:val="20"/>
                <w:szCs w:val="20"/>
              </w:rPr>
              <w:t>Nová škola</w:t>
            </w:r>
          </w:p>
        </w:tc>
        <w:tc>
          <w:tcPr>
            <w:tcW w:w="1231" w:type="dxa"/>
            <w:gridSpan w:val="2"/>
            <w:tcBorders>
              <w:left w:val="single" w:sz="12" w:space="0" w:color="auto"/>
              <w:right w:val="single" w:sz="12" w:space="0" w:color="auto"/>
            </w:tcBorders>
          </w:tcPr>
          <w:p w:rsidR="001A2F3C" w:rsidRPr="00844548" w:rsidRDefault="001A2F3C" w:rsidP="009B189D">
            <w:pPr>
              <w:jc w:val="center"/>
              <w:rPr>
                <w:sz w:val="20"/>
                <w:szCs w:val="20"/>
              </w:rPr>
            </w:pPr>
            <w:r w:rsidRPr="00844548">
              <w:rPr>
                <w:sz w:val="20"/>
                <w:szCs w:val="20"/>
              </w:rPr>
              <w:t>Prodos</w:t>
            </w:r>
          </w:p>
        </w:tc>
        <w:tc>
          <w:tcPr>
            <w:tcW w:w="1276" w:type="dxa"/>
            <w:gridSpan w:val="2"/>
            <w:tcBorders>
              <w:top w:val="single" w:sz="12" w:space="0" w:color="auto"/>
              <w:left w:val="single" w:sz="12" w:space="0" w:color="auto"/>
              <w:bottom w:val="single" w:sz="6" w:space="0" w:color="auto"/>
              <w:right w:val="single" w:sz="12" w:space="0" w:color="auto"/>
            </w:tcBorders>
          </w:tcPr>
          <w:p w:rsidR="001A2F3C" w:rsidRPr="00844548" w:rsidRDefault="001A2F3C" w:rsidP="009B189D">
            <w:pPr>
              <w:jc w:val="center"/>
              <w:rPr>
                <w:sz w:val="20"/>
                <w:szCs w:val="20"/>
              </w:rPr>
            </w:pPr>
            <w:r w:rsidRPr="00844548">
              <w:rPr>
                <w:sz w:val="20"/>
                <w:szCs w:val="20"/>
              </w:rPr>
              <w:t>SPN</w:t>
            </w:r>
          </w:p>
        </w:tc>
        <w:tc>
          <w:tcPr>
            <w:tcW w:w="1276" w:type="dxa"/>
            <w:gridSpan w:val="2"/>
            <w:tcBorders>
              <w:left w:val="single" w:sz="12" w:space="0" w:color="auto"/>
            </w:tcBorders>
          </w:tcPr>
          <w:p w:rsidR="001A2F3C" w:rsidRPr="00844548" w:rsidRDefault="001A2F3C" w:rsidP="009B189D">
            <w:pPr>
              <w:jc w:val="center"/>
              <w:rPr>
                <w:sz w:val="20"/>
                <w:szCs w:val="20"/>
              </w:rPr>
            </w:pPr>
            <w:r w:rsidRPr="00844548">
              <w:rPr>
                <w:sz w:val="20"/>
                <w:szCs w:val="20"/>
              </w:rPr>
              <w:t>Celkem</w:t>
            </w:r>
          </w:p>
        </w:tc>
      </w:tr>
      <w:tr w:rsidR="001A2F3C" w:rsidRPr="00844548" w:rsidTr="00A16B3A">
        <w:trPr>
          <w:jc w:val="center"/>
        </w:trPr>
        <w:tc>
          <w:tcPr>
            <w:tcW w:w="1194" w:type="dxa"/>
            <w:vMerge/>
            <w:tcBorders>
              <w:bottom w:val="single" w:sz="6" w:space="0" w:color="auto"/>
              <w:right w:val="single" w:sz="12" w:space="0" w:color="auto"/>
            </w:tcBorders>
          </w:tcPr>
          <w:p w:rsidR="001A2F3C" w:rsidRPr="00844548" w:rsidRDefault="001A2F3C" w:rsidP="009B189D">
            <w:pPr>
              <w:jc w:val="both"/>
              <w:rPr>
                <w:sz w:val="20"/>
                <w:szCs w:val="20"/>
              </w:rPr>
            </w:pPr>
          </w:p>
        </w:tc>
        <w:tc>
          <w:tcPr>
            <w:tcW w:w="705" w:type="dxa"/>
            <w:tcBorders>
              <w:top w:val="single" w:sz="6" w:space="0" w:color="auto"/>
              <w:left w:val="single" w:sz="12" w:space="0" w:color="auto"/>
              <w:bottom w:val="single" w:sz="6" w:space="0" w:color="auto"/>
            </w:tcBorders>
          </w:tcPr>
          <w:p w:rsidR="001A2F3C" w:rsidRPr="00844548" w:rsidRDefault="001A2F3C" w:rsidP="009B189D">
            <w:pPr>
              <w:jc w:val="center"/>
              <w:rPr>
                <w:sz w:val="20"/>
                <w:szCs w:val="20"/>
              </w:rPr>
            </w:pPr>
            <w:r w:rsidRPr="00844548">
              <w:rPr>
                <w:sz w:val="20"/>
                <w:szCs w:val="20"/>
              </w:rPr>
              <w:t>Počet</w:t>
            </w:r>
          </w:p>
        </w:tc>
        <w:tc>
          <w:tcPr>
            <w:tcW w:w="582" w:type="dxa"/>
            <w:tcBorders>
              <w:top w:val="single" w:sz="6" w:space="0" w:color="auto"/>
              <w:bottom w:val="single" w:sz="6" w:space="0" w:color="auto"/>
              <w:right w:val="single" w:sz="12" w:space="0" w:color="auto"/>
            </w:tcBorders>
          </w:tcPr>
          <w:p w:rsidR="001A2F3C" w:rsidRPr="00844548" w:rsidRDefault="001A2F3C" w:rsidP="009B189D">
            <w:pPr>
              <w:jc w:val="center"/>
              <w:rPr>
                <w:sz w:val="20"/>
                <w:szCs w:val="20"/>
              </w:rPr>
            </w:pPr>
            <w:r w:rsidRPr="00844548">
              <w:rPr>
                <w:sz w:val="20"/>
                <w:szCs w:val="20"/>
              </w:rPr>
              <w:t>%</w:t>
            </w:r>
          </w:p>
        </w:tc>
        <w:tc>
          <w:tcPr>
            <w:tcW w:w="724" w:type="dxa"/>
            <w:tcBorders>
              <w:left w:val="single" w:sz="12" w:space="0" w:color="auto"/>
              <w:bottom w:val="single" w:sz="6" w:space="0" w:color="auto"/>
            </w:tcBorders>
          </w:tcPr>
          <w:p w:rsidR="001A2F3C" w:rsidRPr="00844548" w:rsidRDefault="001A2F3C" w:rsidP="009B189D">
            <w:pPr>
              <w:jc w:val="center"/>
              <w:rPr>
                <w:sz w:val="20"/>
                <w:szCs w:val="20"/>
              </w:rPr>
            </w:pPr>
            <w:r w:rsidRPr="00844548">
              <w:rPr>
                <w:sz w:val="20"/>
                <w:szCs w:val="20"/>
              </w:rPr>
              <w:t>Počet</w:t>
            </w:r>
          </w:p>
        </w:tc>
        <w:tc>
          <w:tcPr>
            <w:tcW w:w="566" w:type="dxa"/>
            <w:tcBorders>
              <w:bottom w:val="single" w:sz="6" w:space="0" w:color="auto"/>
              <w:right w:val="single" w:sz="12" w:space="0" w:color="auto"/>
            </w:tcBorders>
          </w:tcPr>
          <w:p w:rsidR="001A2F3C" w:rsidRPr="00844548" w:rsidRDefault="001A2F3C" w:rsidP="009B189D">
            <w:pPr>
              <w:jc w:val="center"/>
              <w:rPr>
                <w:sz w:val="20"/>
                <w:szCs w:val="20"/>
              </w:rPr>
            </w:pPr>
            <w:r w:rsidRPr="00844548">
              <w:rPr>
                <w:sz w:val="20"/>
                <w:szCs w:val="20"/>
              </w:rPr>
              <w:t>%</w:t>
            </w:r>
          </w:p>
        </w:tc>
        <w:tc>
          <w:tcPr>
            <w:tcW w:w="725" w:type="dxa"/>
            <w:tcBorders>
              <w:top w:val="single" w:sz="6" w:space="0" w:color="auto"/>
              <w:left w:val="single" w:sz="12" w:space="0" w:color="auto"/>
              <w:bottom w:val="single" w:sz="6" w:space="0" w:color="auto"/>
            </w:tcBorders>
          </w:tcPr>
          <w:p w:rsidR="001A2F3C" w:rsidRPr="00844548" w:rsidRDefault="001A2F3C" w:rsidP="009B189D">
            <w:pPr>
              <w:jc w:val="center"/>
              <w:rPr>
                <w:sz w:val="20"/>
                <w:szCs w:val="20"/>
              </w:rPr>
            </w:pPr>
            <w:r w:rsidRPr="00844548">
              <w:rPr>
                <w:sz w:val="20"/>
                <w:szCs w:val="20"/>
              </w:rPr>
              <w:t>Počet</w:t>
            </w:r>
          </w:p>
        </w:tc>
        <w:tc>
          <w:tcPr>
            <w:tcW w:w="566" w:type="dxa"/>
            <w:tcBorders>
              <w:top w:val="single" w:sz="6" w:space="0" w:color="auto"/>
              <w:bottom w:val="single" w:sz="6" w:space="0" w:color="auto"/>
              <w:right w:val="single" w:sz="12" w:space="0" w:color="auto"/>
            </w:tcBorders>
          </w:tcPr>
          <w:p w:rsidR="001A2F3C" w:rsidRPr="00844548" w:rsidRDefault="001A2F3C" w:rsidP="009B189D">
            <w:pPr>
              <w:jc w:val="center"/>
              <w:rPr>
                <w:sz w:val="20"/>
                <w:szCs w:val="20"/>
              </w:rPr>
            </w:pPr>
            <w:r w:rsidRPr="00844548">
              <w:rPr>
                <w:sz w:val="20"/>
                <w:szCs w:val="20"/>
              </w:rPr>
              <w:t>%</w:t>
            </w:r>
          </w:p>
        </w:tc>
        <w:tc>
          <w:tcPr>
            <w:tcW w:w="664" w:type="dxa"/>
            <w:tcBorders>
              <w:left w:val="single" w:sz="12" w:space="0" w:color="auto"/>
              <w:bottom w:val="single" w:sz="6" w:space="0" w:color="auto"/>
            </w:tcBorders>
          </w:tcPr>
          <w:p w:rsidR="001A2F3C" w:rsidRPr="00844548" w:rsidRDefault="001A2F3C" w:rsidP="009B189D">
            <w:pPr>
              <w:jc w:val="center"/>
              <w:rPr>
                <w:sz w:val="20"/>
                <w:szCs w:val="20"/>
              </w:rPr>
            </w:pPr>
            <w:r w:rsidRPr="00844548">
              <w:rPr>
                <w:sz w:val="20"/>
                <w:szCs w:val="20"/>
              </w:rPr>
              <w:t>Počet</w:t>
            </w:r>
          </w:p>
        </w:tc>
        <w:tc>
          <w:tcPr>
            <w:tcW w:w="567" w:type="dxa"/>
            <w:tcBorders>
              <w:bottom w:val="single" w:sz="6" w:space="0" w:color="auto"/>
              <w:right w:val="single" w:sz="12" w:space="0" w:color="auto"/>
            </w:tcBorders>
          </w:tcPr>
          <w:p w:rsidR="001A2F3C" w:rsidRPr="00844548" w:rsidRDefault="001A2F3C" w:rsidP="009B189D">
            <w:pPr>
              <w:jc w:val="center"/>
              <w:rPr>
                <w:sz w:val="20"/>
                <w:szCs w:val="20"/>
              </w:rPr>
            </w:pPr>
            <w:r w:rsidRPr="00844548">
              <w:rPr>
                <w:sz w:val="20"/>
                <w:szCs w:val="20"/>
              </w:rPr>
              <w:t>%</w:t>
            </w:r>
          </w:p>
        </w:tc>
        <w:tc>
          <w:tcPr>
            <w:tcW w:w="709" w:type="dxa"/>
            <w:tcBorders>
              <w:top w:val="single" w:sz="6" w:space="0" w:color="auto"/>
              <w:left w:val="single" w:sz="12" w:space="0" w:color="auto"/>
              <w:bottom w:val="single" w:sz="6" w:space="0" w:color="auto"/>
            </w:tcBorders>
          </w:tcPr>
          <w:p w:rsidR="001A2F3C" w:rsidRPr="00844548" w:rsidRDefault="001A2F3C" w:rsidP="009B189D">
            <w:pPr>
              <w:jc w:val="center"/>
              <w:rPr>
                <w:sz w:val="20"/>
                <w:szCs w:val="20"/>
              </w:rPr>
            </w:pPr>
            <w:r w:rsidRPr="00844548">
              <w:rPr>
                <w:sz w:val="20"/>
                <w:szCs w:val="20"/>
              </w:rPr>
              <w:t>Počet</w:t>
            </w:r>
          </w:p>
        </w:tc>
        <w:tc>
          <w:tcPr>
            <w:tcW w:w="567" w:type="dxa"/>
            <w:tcBorders>
              <w:top w:val="single" w:sz="6" w:space="0" w:color="auto"/>
              <w:bottom w:val="single" w:sz="6" w:space="0" w:color="auto"/>
              <w:right w:val="single" w:sz="12" w:space="0" w:color="auto"/>
            </w:tcBorders>
          </w:tcPr>
          <w:p w:rsidR="001A2F3C" w:rsidRPr="00844548" w:rsidRDefault="001A2F3C" w:rsidP="009B189D">
            <w:pPr>
              <w:jc w:val="center"/>
              <w:rPr>
                <w:sz w:val="20"/>
                <w:szCs w:val="20"/>
              </w:rPr>
            </w:pPr>
            <w:r w:rsidRPr="00844548">
              <w:rPr>
                <w:sz w:val="20"/>
                <w:szCs w:val="20"/>
              </w:rPr>
              <w:t>%</w:t>
            </w:r>
          </w:p>
        </w:tc>
        <w:tc>
          <w:tcPr>
            <w:tcW w:w="709" w:type="dxa"/>
            <w:tcBorders>
              <w:left w:val="single" w:sz="12" w:space="0" w:color="auto"/>
              <w:bottom w:val="single" w:sz="6" w:space="0" w:color="auto"/>
            </w:tcBorders>
          </w:tcPr>
          <w:p w:rsidR="001A2F3C" w:rsidRPr="00844548" w:rsidRDefault="001A2F3C" w:rsidP="009B189D">
            <w:pPr>
              <w:jc w:val="center"/>
              <w:rPr>
                <w:sz w:val="20"/>
                <w:szCs w:val="20"/>
              </w:rPr>
            </w:pPr>
            <w:r w:rsidRPr="00844548">
              <w:rPr>
                <w:sz w:val="20"/>
                <w:szCs w:val="20"/>
              </w:rPr>
              <w:t>Počet</w:t>
            </w:r>
          </w:p>
        </w:tc>
        <w:tc>
          <w:tcPr>
            <w:tcW w:w="567" w:type="dxa"/>
            <w:tcBorders>
              <w:bottom w:val="single" w:sz="6" w:space="0" w:color="auto"/>
            </w:tcBorders>
          </w:tcPr>
          <w:p w:rsidR="001A2F3C" w:rsidRPr="00844548" w:rsidRDefault="001A2F3C" w:rsidP="009B189D">
            <w:pPr>
              <w:jc w:val="center"/>
              <w:rPr>
                <w:sz w:val="20"/>
                <w:szCs w:val="20"/>
              </w:rPr>
            </w:pPr>
            <w:r w:rsidRPr="00844548">
              <w:rPr>
                <w:sz w:val="20"/>
                <w:szCs w:val="20"/>
              </w:rPr>
              <w:t>%</w:t>
            </w:r>
          </w:p>
        </w:tc>
      </w:tr>
      <w:tr w:rsidR="004107D4" w:rsidRPr="00844548" w:rsidTr="00A16B3A">
        <w:trPr>
          <w:jc w:val="center"/>
        </w:trPr>
        <w:tc>
          <w:tcPr>
            <w:tcW w:w="1194" w:type="dxa"/>
            <w:tcBorders>
              <w:top w:val="single" w:sz="6" w:space="0" w:color="auto"/>
              <w:bottom w:val="nil"/>
              <w:right w:val="single" w:sz="12" w:space="0" w:color="auto"/>
            </w:tcBorders>
            <w:shd w:val="clear" w:color="auto" w:fill="auto"/>
          </w:tcPr>
          <w:p w:rsidR="00F66B2B" w:rsidRPr="00844548" w:rsidRDefault="00F66B2B" w:rsidP="00A16B3A">
            <w:pPr>
              <w:spacing w:before="60" w:after="60"/>
              <w:rPr>
                <w:sz w:val="20"/>
                <w:szCs w:val="20"/>
              </w:rPr>
            </w:pPr>
            <w:r w:rsidRPr="00844548">
              <w:rPr>
                <w:sz w:val="20"/>
                <w:szCs w:val="20"/>
              </w:rPr>
              <w:t>Začátek kapitoly</w:t>
            </w:r>
          </w:p>
        </w:tc>
        <w:tc>
          <w:tcPr>
            <w:tcW w:w="705" w:type="dxa"/>
            <w:tcBorders>
              <w:top w:val="single" w:sz="6" w:space="0" w:color="auto"/>
              <w:left w:val="single" w:sz="12" w:space="0" w:color="auto"/>
              <w:bottom w:val="nil"/>
            </w:tcBorders>
            <w:shd w:val="clear" w:color="auto" w:fill="auto"/>
          </w:tcPr>
          <w:p w:rsidR="00F66B2B" w:rsidRPr="00844548" w:rsidRDefault="006C496F" w:rsidP="00A16B3A">
            <w:pPr>
              <w:spacing w:before="60" w:after="60"/>
              <w:jc w:val="both"/>
              <w:rPr>
                <w:sz w:val="20"/>
                <w:szCs w:val="20"/>
              </w:rPr>
            </w:pPr>
            <w:r>
              <w:rPr>
                <w:sz w:val="20"/>
                <w:szCs w:val="20"/>
              </w:rPr>
              <w:t>0</w:t>
            </w:r>
          </w:p>
        </w:tc>
        <w:tc>
          <w:tcPr>
            <w:tcW w:w="582" w:type="dxa"/>
            <w:tcBorders>
              <w:top w:val="single" w:sz="6" w:space="0" w:color="auto"/>
              <w:bottom w:val="nil"/>
              <w:right w:val="single" w:sz="12" w:space="0" w:color="auto"/>
            </w:tcBorders>
            <w:shd w:val="clear" w:color="auto" w:fill="auto"/>
          </w:tcPr>
          <w:p w:rsidR="00F66B2B" w:rsidRPr="00844548" w:rsidRDefault="00F66F80" w:rsidP="00A16B3A">
            <w:pPr>
              <w:spacing w:before="60" w:after="60"/>
              <w:jc w:val="both"/>
              <w:rPr>
                <w:sz w:val="20"/>
                <w:szCs w:val="20"/>
              </w:rPr>
            </w:pPr>
            <w:r>
              <w:rPr>
                <w:sz w:val="20"/>
                <w:szCs w:val="20"/>
              </w:rPr>
              <w:t>0</w:t>
            </w:r>
          </w:p>
        </w:tc>
        <w:tc>
          <w:tcPr>
            <w:tcW w:w="724" w:type="dxa"/>
            <w:tcBorders>
              <w:top w:val="single" w:sz="6" w:space="0" w:color="auto"/>
              <w:left w:val="single" w:sz="12" w:space="0" w:color="auto"/>
              <w:bottom w:val="nil"/>
            </w:tcBorders>
            <w:shd w:val="clear" w:color="auto" w:fill="auto"/>
          </w:tcPr>
          <w:p w:rsidR="00F66B2B" w:rsidRPr="00844548" w:rsidRDefault="006C496F" w:rsidP="00A16B3A">
            <w:pPr>
              <w:spacing w:before="60" w:after="60"/>
              <w:jc w:val="both"/>
              <w:rPr>
                <w:sz w:val="20"/>
                <w:szCs w:val="20"/>
              </w:rPr>
            </w:pPr>
            <w:r>
              <w:rPr>
                <w:sz w:val="20"/>
                <w:szCs w:val="20"/>
              </w:rPr>
              <w:t>0</w:t>
            </w:r>
          </w:p>
        </w:tc>
        <w:tc>
          <w:tcPr>
            <w:tcW w:w="566" w:type="dxa"/>
            <w:tcBorders>
              <w:top w:val="single" w:sz="6" w:space="0" w:color="auto"/>
              <w:bottom w:val="nil"/>
              <w:right w:val="single" w:sz="12" w:space="0" w:color="auto"/>
            </w:tcBorders>
            <w:shd w:val="clear" w:color="auto" w:fill="auto"/>
          </w:tcPr>
          <w:p w:rsidR="00F66B2B" w:rsidRPr="00844548" w:rsidRDefault="00E1694D" w:rsidP="00A16B3A">
            <w:pPr>
              <w:spacing w:before="60" w:after="60"/>
              <w:jc w:val="both"/>
              <w:rPr>
                <w:sz w:val="20"/>
                <w:szCs w:val="20"/>
              </w:rPr>
            </w:pPr>
            <w:r>
              <w:rPr>
                <w:sz w:val="20"/>
                <w:szCs w:val="20"/>
              </w:rPr>
              <w:t>0</w:t>
            </w:r>
          </w:p>
        </w:tc>
        <w:tc>
          <w:tcPr>
            <w:tcW w:w="725" w:type="dxa"/>
            <w:tcBorders>
              <w:top w:val="single" w:sz="6" w:space="0" w:color="auto"/>
              <w:left w:val="single" w:sz="12" w:space="0" w:color="auto"/>
              <w:bottom w:val="nil"/>
            </w:tcBorders>
            <w:shd w:val="clear" w:color="auto" w:fill="auto"/>
          </w:tcPr>
          <w:p w:rsidR="00F66B2B" w:rsidRPr="00844548" w:rsidRDefault="006C496F" w:rsidP="00A16B3A">
            <w:pPr>
              <w:spacing w:before="60" w:after="60"/>
              <w:jc w:val="both"/>
              <w:rPr>
                <w:sz w:val="20"/>
                <w:szCs w:val="20"/>
              </w:rPr>
            </w:pPr>
            <w:r>
              <w:rPr>
                <w:sz w:val="20"/>
                <w:szCs w:val="20"/>
              </w:rPr>
              <w:t>15</w:t>
            </w:r>
          </w:p>
        </w:tc>
        <w:tc>
          <w:tcPr>
            <w:tcW w:w="566" w:type="dxa"/>
            <w:tcBorders>
              <w:top w:val="single" w:sz="6" w:space="0" w:color="auto"/>
              <w:bottom w:val="nil"/>
              <w:right w:val="single" w:sz="12" w:space="0" w:color="auto"/>
            </w:tcBorders>
            <w:shd w:val="clear" w:color="auto" w:fill="auto"/>
          </w:tcPr>
          <w:p w:rsidR="00F66B2B" w:rsidRPr="00844548" w:rsidRDefault="00C64AD7" w:rsidP="00A16B3A">
            <w:pPr>
              <w:spacing w:before="60" w:after="60"/>
              <w:jc w:val="both"/>
              <w:rPr>
                <w:sz w:val="20"/>
                <w:szCs w:val="20"/>
              </w:rPr>
            </w:pPr>
            <w:r>
              <w:rPr>
                <w:sz w:val="20"/>
                <w:szCs w:val="20"/>
              </w:rPr>
              <w:t>5,1</w:t>
            </w:r>
          </w:p>
        </w:tc>
        <w:tc>
          <w:tcPr>
            <w:tcW w:w="664" w:type="dxa"/>
            <w:tcBorders>
              <w:top w:val="single" w:sz="6" w:space="0" w:color="auto"/>
              <w:left w:val="single" w:sz="12" w:space="0" w:color="auto"/>
              <w:bottom w:val="nil"/>
            </w:tcBorders>
            <w:shd w:val="clear" w:color="auto" w:fill="auto"/>
          </w:tcPr>
          <w:p w:rsidR="00F66B2B" w:rsidRPr="00844548" w:rsidRDefault="00AB0DC5" w:rsidP="00A16B3A">
            <w:pPr>
              <w:spacing w:before="60" w:after="60"/>
              <w:jc w:val="both"/>
              <w:rPr>
                <w:sz w:val="20"/>
                <w:szCs w:val="20"/>
              </w:rPr>
            </w:pPr>
            <w:r>
              <w:rPr>
                <w:sz w:val="20"/>
                <w:szCs w:val="20"/>
              </w:rPr>
              <w:t>0</w:t>
            </w:r>
          </w:p>
        </w:tc>
        <w:tc>
          <w:tcPr>
            <w:tcW w:w="567" w:type="dxa"/>
            <w:tcBorders>
              <w:top w:val="single" w:sz="6" w:space="0" w:color="auto"/>
              <w:bottom w:val="nil"/>
              <w:right w:val="single" w:sz="12" w:space="0" w:color="auto"/>
            </w:tcBorders>
            <w:shd w:val="clear" w:color="auto" w:fill="auto"/>
          </w:tcPr>
          <w:p w:rsidR="00F66B2B" w:rsidRPr="00844548" w:rsidRDefault="002C397D" w:rsidP="00A16B3A">
            <w:pPr>
              <w:spacing w:before="60" w:after="60"/>
              <w:jc w:val="both"/>
              <w:rPr>
                <w:sz w:val="20"/>
                <w:szCs w:val="20"/>
              </w:rPr>
            </w:pPr>
            <w:r>
              <w:rPr>
                <w:sz w:val="20"/>
                <w:szCs w:val="20"/>
              </w:rPr>
              <w:t>0</w:t>
            </w:r>
          </w:p>
        </w:tc>
        <w:tc>
          <w:tcPr>
            <w:tcW w:w="709" w:type="dxa"/>
            <w:tcBorders>
              <w:top w:val="single" w:sz="6" w:space="0" w:color="auto"/>
              <w:left w:val="single" w:sz="12" w:space="0" w:color="auto"/>
              <w:bottom w:val="nil"/>
            </w:tcBorders>
            <w:shd w:val="clear" w:color="auto" w:fill="auto"/>
          </w:tcPr>
          <w:p w:rsidR="00F66B2B" w:rsidRPr="00844548" w:rsidRDefault="00AB0DC5" w:rsidP="00A16B3A">
            <w:pPr>
              <w:spacing w:before="60" w:after="60"/>
              <w:jc w:val="both"/>
              <w:rPr>
                <w:sz w:val="20"/>
                <w:szCs w:val="20"/>
              </w:rPr>
            </w:pPr>
            <w:r>
              <w:rPr>
                <w:sz w:val="20"/>
                <w:szCs w:val="20"/>
              </w:rPr>
              <w:t>77</w:t>
            </w:r>
          </w:p>
        </w:tc>
        <w:tc>
          <w:tcPr>
            <w:tcW w:w="567" w:type="dxa"/>
            <w:tcBorders>
              <w:top w:val="single" w:sz="6" w:space="0" w:color="auto"/>
              <w:bottom w:val="nil"/>
              <w:right w:val="single" w:sz="12" w:space="0" w:color="auto"/>
            </w:tcBorders>
          </w:tcPr>
          <w:p w:rsidR="00F66B2B" w:rsidRPr="00844548" w:rsidRDefault="002C397D" w:rsidP="00A16B3A">
            <w:pPr>
              <w:spacing w:before="60" w:after="60"/>
              <w:jc w:val="both"/>
              <w:rPr>
                <w:sz w:val="20"/>
                <w:szCs w:val="20"/>
              </w:rPr>
            </w:pPr>
            <w:r>
              <w:rPr>
                <w:sz w:val="20"/>
                <w:szCs w:val="20"/>
              </w:rPr>
              <w:t>22,1</w:t>
            </w:r>
          </w:p>
        </w:tc>
        <w:tc>
          <w:tcPr>
            <w:tcW w:w="709" w:type="dxa"/>
            <w:tcBorders>
              <w:top w:val="single" w:sz="6" w:space="0" w:color="auto"/>
              <w:left w:val="single" w:sz="12" w:space="0" w:color="auto"/>
              <w:bottom w:val="nil"/>
            </w:tcBorders>
          </w:tcPr>
          <w:p w:rsidR="00F66B2B" w:rsidRPr="00844548" w:rsidRDefault="00AB0DC5" w:rsidP="00A16B3A">
            <w:pPr>
              <w:spacing w:before="60" w:after="60"/>
              <w:jc w:val="both"/>
              <w:rPr>
                <w:sz w:val="20"/>
                <w:szCs w:val="20"/>
              </w:rPr>
            </w:pPr>
            <w:r>
              <w:rPr>
                <w:sz w:val="20"/>
                <w:szCs w:val="20"/>
              </w:rPr>
              <w:t>92</w:t>
            </w:r>
          </w:p>
        </w:tc>
        <w:tc>
          <w:tcPr>
            <w:tcW w:w="567" w:type="dxa"/>
            <w:tcBorders>
              <w:top w:val="single" w:sz="6" w:space="0" w:color="auto"/>
              <w:bottom w:val="nil"/>
            </w:tcBorders>
          </w:tcPr>
          <w:p w:rsidR="00F66B2B" w:rsidRPr="00844548" w:rsidRDefault="009A2053" w:rsidP="00A16B3A">
            <w:pPr>
              <w:spacing w:before="60" w:after="60"/>
              <w:jc w:val="both"/>
              <w:rPr>
                <w:sz w:val="20"/>
                <w:szCs w:val="20"/>
              </w:rPr>
            </w:pPr>
            <w:r>
              <w:rPr>
                <w:sz w:val="20"/>
                <w:szCs w:val="20"/>
              </w:rPr>
              <w:t>7,5</w:t>
            </w:r>
          </w:p>
        </w:tc>
      </w:tr>
      <w:tr w:rsidR="004107D4" w:rsidRPr="00844548" w:rsidTr="00A16B3A">
        <w:trPr>
          <w:jc w:val="center"/>
        </w:trPr>
        <w:tc>
          <w:tcPr>
            <w:tcW w:w="1194" w:type="dxa"/>
            <w:tcBorders>
              <w:top w:val="nil"/>
              <w:bottom w:val="nil"/>
              <w:right w:val="single" w:sz="12" w:space="0" w:color="auto"/>
            </w:tcBorders>
            <w:shd w:val="clear" w:color="auto" w:fill="auto"/>
          </w:tcPr>
          <w:p w:rsidR="00F66B2B" w:rsidRPr="00844548" w:rsidRDefault="00F66B2B" w:rsidP="00A16B3A">
            <w:pPr>
              <w:spacing w:before="60" w:after="60"/>
              <w:rPr>
                <w:sz w:val="20"/>
                <w:szCs w:val="20"/>
              </w:rPr>
            </w:pPr>
            <w:r w:rsidRPr="00844548">
              <w:rPr>
                <w:sz w:val="20"/>
                <w:szCs w:val="20"/>
              </w:rPr>
              <w:t>Okraj strany</w:t>
            </w:r>
          </w:p>
        </w:tc>
        <w:tc>
          <w:tcPr>
            <w:tcW w:w="705" w:type="dxa"/>
            <w:tcBorders>
              <w:top w:val="nil"/>
              <w:left w:val="single" w:sz="12" w:space="0" w:color="auto"/>
              <w:bottom w:val="nil"/>
            </w:tcBorders>
            <w:shd w:val="clear" w:color="auto" w:fill="auto"/>
          </w:tcPr>
          <w:p w:rsidR="00F66B2B" w:rsidRPr="00844548" w:rsidRDefault="006C496F" w:rsidP="00A16B3A">
            <w:pPr>
              <w:spacing w:before="60" w:after="60"/>
              <w:jc w:val="both"/>
              <w:rPr>
                <w:sz w:val="20"/>
                <w:szCs w:val="20"/>
              </w:rPr>
            </w:pPr>
            <w:r>
              <w:rPr>
                <w:sz w:val="20"/>
                <w:szCs w:val="20"/>
              </w:rPr>
              <w:t>80</w:t>
            </w:r>
          </w:p>
        </w:tc>
        <w:tc>
          <w:tcPr>
            <w:tcW w:w="582" w:type="dxa"/>
            <w:tcBorders>
              <w:top w:val="nil"/>
              <w:bottom w:val="nil"/>
              <w:right w:val="single" w:sz="12" w:space="0" w:color="auto"/>
            </w:tcBorders>
            <w:shd w:val="clear" w:color="auto" w:fill="auto"/>
          </w:tcPr>
          <w:p w:rsidR="00F66B2B" w:rsidRPr="00844548" w:rsidRDefault="00F66F80" w:rsidP="00A16B3A">
            <w:pPr>
              <w:spacing w:before="60" w:after="60"/>
              <w:jc w:val="both"/>
              <w:rPr>
                <w:sz w:val="20"/>
                <w:szCs w:val="20"/>
              </w:rPr>
            </w:pPr>
            <w:r>
              <w:rPr>
                <w:sz w:val="20"/>
                <w:szCs w:val="20"/>
              </w:rPr>
              <w:t>30,7</w:t>
            </w:r>
          </w:p>
        </w:tc>
        <w:tc>
          <w:tcPr>
            <w:tcW w:w="724" w:type="dxa"/>
            <w:tcBorders>
              <w:top w:val="nil"/>
              <w:left w:val="single" w:sz="12" w:space="0" w:color="auto"/>
              <w:bottom w:val="nil"/>
            </w:tcBorders>
            <w:shd w:val="clear" w:color="auto" w:fill="auto"/>
          </w:tcPr>
          <w:p w:rsidR="00F66B2B" w:rsidRPr="00844548" w:rsidRDefault="006C496F" w:rsidP="00A16B3A">
            <w:pPr>
              <w:spacing w:before="60" w:after="60"/>
              <w:jc w:val="both"/>
              <w:rPr>
                <w:sz w:val="20"/>
                <w:szCs w:val="20"/>
              </w:rPr>
            </w:pPr>
            <w:r>
              <w:rPr>
                <w:sz w:val="20"/>
                <w:szCs w:val="20"/>
              </w:rPr>
              <w:t>0</w:t>
            </w:r>
          </w:p>
        </w:tc>
        <w:tc>
          <w:tcPr>
            <w:tcW w:w="566" w:type="dxa"/>
            <w:tcBorders>
              <w:top w:val="nil"/>
              <w:bottom w:val="nil"/>
              <w:right w:val="single" w:sz="12" w:space="0" w:color="auto"/>
            </w:tcBorders>
            <w:shd w:val="clear" w:color="auto" w:fill="auto"/>
          </w:tcPr>
          <w:p w:rsidR="00F66B2B" w:rsidRPr="00844548" w:rsidRDefault="00E1694D" w:rsidP="00A16B3A">
            <w:pPr>
              <w:spacing w:before="60" w:after="60"/>
              <w:jc w:val="both"/>
              <w:rPr>
                <w:sz w:val="20"/>
                <w:szCs w:val="20"/>
              </w:rPr>
            </w:pPr>
            <w:r>
              <w:rPr>
                <w:sz w:val="20"/>
                <w:szCs w:val="20"/>
              </w:rPr>
              <w:t>0</w:t>
            </w:r>
          </w:p>
        </w:tc>
        <w:tc>
          <w:tcPr>
            <w:tcW w:w="725" w:type="dxa"/>
            <w:tcBorders>
              <w:top w:val="nil"/>
              <w:left w:val="single" w:sz="12" w:space="0" w:color="auto"/>
              <w:bottom w:val="nil"/>
            </w:tcBorders>
            <w:shd w:val="clear" w:color="auto" w:fill="auto"/>
          </w:tcPr>
          <w:p w:rsidR="00F66B2B" w:rsidRPr="00844548" w:rsidRDefault="00AB0DC5" w:rsidP="00A16B3A">
            <w:pPr>
              <w:spacing w:before="60" w:after="60"/>
              <w:jc w:val="both"/>
              <w:rPr>
                <w:sz w:val="20"/>
                <w:szCs w:val="20"/>
              </w:rPr>
            </w:pPr>
            <w:r>
              <w:rPr>
                <w:sz w:val="20"/>
                <w:szCs w:val="20"/>
              </w:rPr>
              <w:t>0</w:t>
            </w:r>
          </w:p>
        </w:tc>
        <w:tc>
          <w:tcPr>
            <w:tcW w:w="566" w:type="dxa"/>
            <w:tcBorders>
              <w:top w:val="nil"/>
              <w:bottom w:val="nil"/>
              <w:right w:val="single" w:sz="12" w:space="0" w:color="auto"/>
            </w:tcBorders>
            <w:shd w:val="clear" w:color="auto" w:fill="auto"/>
          </w:tcPr>
          <w:p w:rsidR="00F66B2B" w:rsidRPr="00844548" w:rsidRDefault="00C64AD7" w:rsidP="00A16B3A">
            <w:pPr>
              <w:spacing w:before="60" w:after="60"/>
              <w:jc w:val="both"/>
              <w:rPr>
                <w:sz w:val="20"/>
                <w:szCs w:val="20"/>
              </w:rPr>
            </w:pPr>
            <w:r>
              <w:rPr>
                <w:sz w:val="20"/>
                <w:szCs w:val="20"/>
              </w:rPr>
              <w:t>0</w:t>
            </w:r>
          </w:p>
        </w:tc>
        <w:tc>
          <w:tcPr>
            <w:tcW w:w="664" w:type="dxa"/>
            <w:tcBorders>
              <w:top w:val="nil"/>
              <w:left w:val="single" w:sz="12" w:space="0" w:color="auto"/>
              <w:bottom w:val="nil"/>
            </w:tcBorders>
            <w:shd w:val="clear" w:color="auto" w:fill="auto"/>
          </w:tcPr>
          <w:p w:rsidR="00F66B2B" w:rsidRPr="00844548" w:rsidRDefault="00AB0DC5" w:rsidP="00A16B3A">
            <w:pPr>
              <w:spacing w:before="60" w:after="60"/>
              <w:jc w:val="both"/>
              <w:rPr>
                <w:sz w:val="20"/>
                <w:szCs w:val="20"/>
              </w:rPr>
            </w:pPr>
            <w:r>
              <w:rPr>
                <w:sz w:val="20"/>
                <w:szCs w:val="20"/>
              </w:rPr>
              <w:t>2</w:t>
            </w:r>
          </w:p>
        </w:tc>
        <w:tc>
          <w:tcPr>
            <w:tcW w:w="567" w:type="dxa"/>
            <w:tcBorders>
              <w:top w:val="nil"/>
              <w:bottom w:val="nil"/>
              <w:right w:val="single" w:sz="12" w:space="0" w:color="auto"/>
            </w:tcBorders>
            <w:shd w:val="clear" w:color="auto" w:fill="auto"/>
          </w:tcPr>
          <w:p w:rsidR="00F66B2B" w:rsidRPr="00844548" w:rsidRDefault="002C397D" w:rsidP="00A16B3A">
            <w:pPr>
              <w:spacing w:before="60" w:after="60"/>
              <w:jc w:val="both"/>
              <w:rPr>
                <w:sz w:val="20"/>
                <w:szCs w:val="20"/>
              </w:rPr>
            </w:pPr>
            <w:r>
              <w:rPr>
                <w:sz w:val="20"/>
                <w:szCs w:val="20"/>
              </w:rPr>
              <w:t>2</w:t>
            </w:r>
          </w:p>
        </w:tc>
        <w:tc>
          <w:tcPr>
            <w:tcW w:w="709" w:type="dxa"/>
            <w:tcBorders>
              <w:top w:val="nil"/>
              <w:left w:val="single" w:sz="12" w:space="0" w:color="auto"/>
              <w:bottom w:val="nil"/>
            </w:tcBorders>
            <w:shd w:val="clear" w:color="auto" w:fill="auto"/>
          </w:tcPr>
          <w:p w:rsidR="00F66B2B" w:rsidRPr="00844548" w:rsidRDefault="00AB0DC5" w:rsidP="00A16B3A">
            <w:pPr>
              <w:spacing w:before="60" w:after="60"/>
              <w:jc w:val="both"/>
              <w:rPr>
                <w:sz w:val="20"/>
                <w:szCs w:val="20"/>
              </w:rPr>
            </w:pPr>
            <w:r>
              <w:rPr>
                <w:sz w:val="20"/>
                <w:szCs w:val="20"/>
              </w:rPr>
              <w:t>57</w:t>
            </w:r>
          </w:p>
        </w:tc>
        <w:tc>
          <w:tcPr>
            <w:tcW w:w="567" w:type="dxa"/>
            <w:tcBorders>
              <w:top w:val="nil"/>
              <w:bottom w:val="nil"/>
              <w:right w:val="single" w:sz="12" w:space="0" w:color="auto"/>
            </w:tcBorders>
          </w:tcPr>
          <w:p w:rsidR="00F66B2B" w:rsidRPr="00844548" w:rsidRDefault="002C397D" w:rsidP="00A16B3A">
            <w:pPr>
              <w:spacing w:before="60" w:after="60"/>
              <w:jc w:val="both"/>
              <w:rPr>
                <w:sz w:val="20"/>
                <w:szCs w:val="20"/>
              </w:rPr>
            </w:pPr>
            <w:r>
              <w:rPr>
                <w:sz w:val="20"/>
                <w:szCs w:val="20"/>
              </w:rPr>
              <w:t>16,4</w:t>
            </w:r>
          </w:p>
        </w:tc>
        <w:tc>
          <w:tcPr>
            <w:tcW w:w="709" w:type="dxa"/>
            <w:tcBorders>
              <w:top w:val="nil"/>
              <w:left w:val="single" w:sz="12" w:space="0" w:color="auto"/>
              <w:bottom w:val="nil"/>
            </w:tcBorders>
          </w:tcPr>
          <w:p w:rsidR="00F66B2B" w:rsidRPr="00844548" w:rsidRDefault="00AB0DC5" w:rsidP="00A16B3A">
            <w:pPr>
              <w:spacing w:before="60" w:after="60"/>
              <w:jc w:val="both"/>
              <w:rPr>
                <w:sz w:val="20"/>
                <w:szCs w:val="20"/>
              </w:rPr>
            </w:pPr>
            <w:r>
              <w:rPr>
                <w:sz w:val="20"/>
                <w:szCs w:val="20"/>
              </w:rPr>
              <w:t>139</w:t>
            </w:r>
          </w:p>
        </w:tc>
        <w:tc>
          <w:tcPr>
            <w:tcW w:w="567" w:type="dxa"/>
            <w:tcBorders>
              <w:top w:val="nil"/>
              <w:bottom w:val="nil"/>
            </w:tcBorders>
          </w:tcPr>
          <w:p w:rsidR="00F66B2B" w:rsidRPr="00844548" w:rsidRDefault="006342BF" w:rsidP="00A16B3A">
            <w:pPr>
              <w:spacing w:before="60" w:after="60"/>
              <w:jc w:val="both"/>
              <w:rPr>
                <w:sz w:val="20"/>
                <w:szCs w:val="20"/>
              </w:rPr>
            </w:pPr>
            <w:r>
              <w:rPr>
                <w:sz w:val="20"/>
                <w:szCs w:val="20"/>
              </w:rPr>
              <w:t>11,3</w:t>
            </w:r>
          </w:p>
        </w:tc>
      </w:tr>
      <w:tr w:rsidR="004107D4" w:rsidRPr="00844548" w:rsidTr="00A16B3A">
        <w:trPr>
          <w:jc w:val="center"/>
        </w:trPr>
        <w:tc>
          <w:tcPr>
            <w:tcW w:w="1194" w:type="dxa"/>
            <w:tcBorders>
              <w:top w:val="nil"/>
              <w:bottom w:val="nil"/>
              <w:right w:val="single" w:sz="12" w:space="0" w:color="auto"/>
            </w:tcBorders>
          </w:tcPr>
          <w:p w:rsidR="00F66B2B" w:rsidRPr="00844548" w:rsidRDefault="00F66B2B" w:rsidP="00A16B3A">
            <w:pPr>
              <w:spacing w:before="60" w:after="60"/>
              <w:rPr>
                <w:sz w:val="20"/>
                <w:szCs w:val="20"/>
              </w:rPr>
            </w:pPr>
            <w:r w:rsidRPr="00844548">
              <w:rPr>
                <w:sz w:val="20"/>
                <w:szCs w:val="20"/>
              </w:rPr>
              <w:t>Konec kapitoly</w:t>
            </w:r>
          </w:p>
        </w:tc>
        <w:tc>
          <w:tcPr>
            <w:tcW w:w="705" w:type="dxa"/>
            <w:tcBorders>
              <w:top w:val="nil"/>
              <w:left w:val="single" w:sz="12" w:space="0" w:color="auto"/>
              <w:bottom w:val="nil"/>
            </w:tcBorders>
          </w:tcPr>
          <w:p w:rsidR="00F66B2B" w:rsidRPr="00844548" w:rsidRDefault="006C496F" w:rsidP="00A16B3A">
            <w:pPr>
              <w:spacing w:before="60" w:after="60"/>
              <w:jc w:val="both"/>
              <w:rPr>
                <w:sz w:val="20"/>
                <w:szCs w:val="20"/>
              </w:rPr>
            </w:pPr>
            <w:r>
              <w:rPr>
                <w:sz w:val="20"/>
                <w:szCs w:val="20"/>
              </w:rPr>
              <w:t>67</w:t>
            </w:r>
          </w:p>
        </w:tc>
        <w:tc>
          <w:tcPr>
            <w:tcW w:w="582" w:type="dxa"/>
            <w:tcBorders>
              <w:top w:val="nil"/>
              <w:bottom w:val="nil"/>
              <w:right w:val="single" w:sz="12" w:space="0" w:color="auto"/>
            </w:tcBorders>
          </w:tcPr>
          <w:p w:rsidR="00F66B2B" w:rsidRPr="00844548" w:rsidRDefault="00F66F80" w:rsidP="00A16B3A">
            <w:pPr>
              <w:spacing w:before="60" w:after="60"/>
              <w:jc w:val="both"/>
              <w:rPr>
                <w:sz w:val="20"/>
                <w:szCs w:val="20"/>
              </w:rPr>
            </w:pPr>
            <w:r>
              <w:rPr>
                <w:sz w:val="20"/>
                <w:szCs w:val="20"/>
              </w:rPr>
              <w:t>25,7</w:t>
            </w:r>
          </w:p>
        </w:tc>
        <w:tc>
          <w:tcPr>
            <w:tcW w:w="724" w:type="dxa"/>
            <w:tcBorders>
              <w:top w:val="nil"/>
              <w:left w:val="single" w:sz="12" w:space="0" w:color="auto"/>
              <w:bottom w:val="nil"/>
            </w:tcBorders>
          </w:tcPr>
          <w:p w:rsidR="00F66B2B" w:rsidRPr="00844548" w:rsidRDefault="006C496F" w:rsidP="00A16B3A">
            <w:pPr>
              <w:spacing w:before="60" w:after="60"/>
              <w:jc w:val="both"/>
              <w:rPr>
                <w:sz w:val="20"/>
                <w:szCs w:val="20"/>
              </w:rPr>
            </w:pPr>
            <w:r>
              <w:rPr>
                <w:sz w:val="20"/>
                <w:szCs w:val="20"/>
              </w:rPr>
              <w:t>187</w:t>
            </w:r>
          </w:p>
        </w:tc>
        <w:tc>
          <w:tcPr>
            <w:tcW w:w="566" w:type="dxa"/>
            <w:tcBorders>
              <w:top w:val="nil"/>
              <w:bottom w:val="nil"/>
              <w:right w:val="single" w:sz="12" w:space="0" w:color="auto"/>
            </w:tcBorders>
          </w:tcPr>
          <w:p w:rsidR="00F66B2B" w:rsidRPr="00844548" w:rsidRDefault="00C64AD7" w:rsidP="00A16B3A">
            <w:pPr>
              <w:spacing w:before="60" w:after="60"/>
              <w:jc w:val="both"/>
              <w:rPr>
                <w:sz w:val="20"/>
                <w:szCs w:val="20"/>
              </w:rPr>
            </w:pPr>
            <w:r>
              <w:rPr>
                <w:sz w:val="20"/>
                <w:szCs w:val="20"/>
              </w:rPr>
              <w:t>82,7</w:t>
            </w:r>
          </w:p>
        </w:tc>
        <w:tc>
          <w:tcPr>
            <w:tcW w:w="725" w:type="dxa"/>
            <w:tcBorders>
              <w:top w:val="nil"/>
              <w:left w:val="single" w:sz="12" w:space="0" w:color="auto"/>
              <w:bottom w:val="nil"/>
            </w:tcBorders>
          </w:tcPr>
          <w:p w:rsidR="00F66B2B" w:rsidRPr="00844548" w:rsidRDefault="00AB0DC5" w:rsidP="00A16B3A">
            <w:pPr>
              <w:spacing w:before="60" w:after="60"/>
              <w:jc w:val="both"/>
              <w:rPr>
                <w:sz w:val="20"/>
                <w:szCs w:val="20"/>
              </w:rPr>
            </w:pPr>
            <w:r>
              <w:rPr>
                <w:sz w:val="20"/>
                <w:szCs w:val="20"/>
              </w:rPr>
              <w:t>71</w:t>
            </w:r>
          </w:p>
        </w:tc>
        <w:tc>
          <w:tcPr>
            <w:tcW w:w="566" w:type="dxa"/>
            <w:tcBorders>
              <w:top w:val="nil"/>
              <w:bottom w:val="nil"/>
              <w:right w:val="single" w:sz="12" w:space="0" w:color="auto"/>
            </w:tcBorders>
          </w:tcPr>
          <w:p w:rsidR="00F66B2B" w:rsidRPr="00844548" w:rsidRDefault="00C64AD7" w:rsidP="00A16B3A">
            <w:pPr>
              <w:spacing w:before="60" w:after="60"/>
              <w:jc w:val="both"/>
              <w:rPr>
                <w:sz w:val="20"/>
                <w:szCs w:val="20"/>
              </w:rPr>
            </w:pPr>
            <w:r>
              <w:rPr>
                <w:sz w:val="20"/>
                <w:szCs w:val="20"/>
              </w:rPr>
              <w:t>24,1</w:t>
            </w:r>
          </w:p>
        </w:tc>
        <w:tc>
          <w:tcPr>
            <w:tcW w:w="664" w:type="dxa"/>
            <w:tcBorders>
              <w:top w:val="nil"/>
              <w:left w:val="single" w:sz="12" w:space="0" w:color="auto"/>
              <w:bottom w:val="nil"/>
            </w:tcBorders>
          </w:tcPr>
          <w:p w:rsidR="00F66B2B" w:rsidRPr="00844548" w:rsidRDefault="00AB0DC5" w:rsidP="00A16B3A">
            <w:pPr>
              <w:spacing w:before="60" w:after="60"/>
              <w:jc w:val="both"/>
              <w:rPr>
                <w:sz w:val="20"/>
                <w:szCs w:val="20"/>
              </w:rPr>
            </w:pPr>
            <w:r>
              <w:rPr>
                <w:sz w:val="20"/>
                <w:szCs w:val="20"/>
              </w:rPr>
              <w:t>98</w:t>
            </w:r>
          </w:p>
        </w:tc>
        <w:tc>
          <w:tcPr>
            <w:tcW w:w="567" w:type="dxa"/>
            <w:tcBorders>
              <w:top w:val="nil"/>
              <w:bottom w:val="nil"/>
              <w:right w:val="single" w:sz="12" w:space="0" w:color="auto"/>
            </w:tcBorders>
          </w:tcPr>
          <w:p w:rsidR="00F66B2B" w:rsidRPr="00844548" w:rsidRDefault="002C397D" w:rsidP="00A16B3A">
            <w:pPr>
              <w:spacing w:before="60" w:after="60"/>
              <w:jc w:val="both"/>
              <w:rPr>
                <w:sz w:val="20"/>
                <w:szCs w:val="20"/>
              </w:rPr>
            </w:pPr>
            <w:r>
              <w:rPr>
                <w:sz w:val="20"/>
                <w:szCs w:val="20"/>
              </w:rPr>
              <w:t>98</w:t>
            </w:r>
          </w:p>
        </w:tc>
        <w:tc>
          <w:tcPr>
            <w:tcW w:w="709" w:type="dxa"/>
            <w:tcBorders>
              <w:top w:val="nil"/>
              <w:left w:val="single" w:sz="12" w:space="0" w:color="auto"/>
              <w:bottom w:val="nil"/>
            </w:tcBorders>
          </w:tcPr>
          <w:p w:rsidR="00F66B2B" w:rsidRPr="00844548" w:rsidRDefault="00AB0DC5" w:rsidP="00A16B3A">
            <w:pPr>
              <w:spacing w:before="60" w:after="60"/>
              <w:jc w:val="both"/>
              <w:rPr>
                <w:sz w:val="20"/>
                <w:szCs w:val="20"/>
              </w:rPr>
            </w:pPr>
            <w:r>
              <w:rPr>
                <w:sz w:val="20"/>
                <w:szCs w:val="20"/>
              </w:rPr>
              <w:t>142</w:t>
            </w:r>
          </w:p>
        </w:tc>
        <w:tc>
          <w:tcPr>
            <w:tcW w:w="567" w:type="dxa"/>
            <w:tcBorders>
              <w:top w:val="nil"/>
              <w:bottom w:val="nil"/>
              <w:right w:val="single" w:sz="12" w:space="0" w:color="auto"/>
            </w:tcBorders>
          </w:tcPr>
          <w:p w:rsidR="00F66B2B" w:rsidRPr="00844548" w:rsidRDefault="002C397D" w:rsidP="00A16B3A">
            <w:pPr>
              <w:spacing w:before="60" w:after="60"/>
              <w:jc w:val="both"/>
              <w:rPr>
                <w:sz w:val="20"/>
                <w:szCs w:val="20"/>
              </w:rPr>
            </w:pPr>
            <w:r>
              <w:rPr>
                <w:sz w:val="20"/>
                <w:szCs w:val="20"/>
              </w:rPr>
              <w:t>40,8</w:t>
            </w:r>
          </w:p>
        </w:tc>
        <w:tc>
          <w:tcPr>
            <w:tcW w:w="709" w:type="dxa"/>
            <w:tcBorders>
              <w:top w:val="nil"/>
              <w:left w:val="single" w:sz="12" w:space="0" w:color="auto"/>
              <w:bottom w:val="nil"/>
            </w:tcBorders>
          </w:tcPr>
          <w:p w:rsidR="00F66B2B" w:rsidRPr="00844548" w:rsidRDefault="00AB0DC5" w:rsidP="00A16B3A">
            <w:pPr>
              <w:spacing w:before="60" w:after="60"/>
              <w:jc w:val="both"/>
              <w:rPr>
                <w:sz w:val="20"/>
                <w:szCs w:val="20"/>
              </w:rPr>
            </w:pPr>
            <w:r>
              <w:rPr>
                <w:sz w:val="20"/>
                <w:szCs w:val="20"/>
              </w:rPr>
              <w:t>565</w:t>
            </w:r>
          </w:p>
        </w:tc>
        <w:tc>
          <w:tcPr>
            <w:tcW w:w="567" w:type="dxa"/>
            <w:tcBorders>
              <w:top w:val="nil"/>
              <w:bottom w:val="nil"/>
            </w:tcBorders>
          </w:tcPr>
          <w:p w:rsidR="00F66B2B" w:rsidRPr="00844548" w:rsidRDefault="006342BF" w:rsidP="00A16B3A">
            <w:pPr>
              <w:spacing w:before="60" w:after="60"/>
              <w:jc w:val="both"/>
              <w:rPr>
                <w:sz w:val="20"/>
                <w:szCs w:val="20"/>
              </w:rPr>
            </w:pPr>
            <w:r>
              <w:rPr>
                <w:sz w:val="20"/>
                <w:szCs w:val="20"/>
              </w:rPr>
              <w:t>46</w:t>
            </w:r>
          </w:p>
        </w:tc>
      </w:tr>
      <w:tr w:rsidR="004107D4" w:rsidRPr="00844548" w:rsidTr="00A16B3A">
        <w:trPr>
          <w:jc w:val="center"/>
        </w:trPr>
        <w:tc>
          <w:tcPr>
            <w:tcW w:w="1194" w:type="dxa"/>
            <w:tcBorders>
              <w:top w:val="nil"/>
              <w:bottom w:val="nil"/>
              <w:right w:val="single" w:sz="12" w:space="0" w:color="auto"/>
            </w:tcBorders>
          </w:tcPr>
          <w:p w:rsidR="00F66B2B" w:rsidRPr="00844548" w:rsidRDefault="00F66B2B" w:rsidP="00A16B3A">
            <w:pPr>
              <w:spacing w:before="60" w:after="60"/>
              <w:rPr>
                <w:sz w:val="20"/>
                <w:szCs w:val="20"/>
              </w:rPr>
            </w:pPr>
            <w:r w:rsidRPr="00844548">
              <w:rPr>
                <w:sz w:val="20"/>
                <w:szCs w:val="20"/>
              </w:rPr>
              <w:t>Konec tematického celku</w:t>
            </w:r>
          </w:p>
        </w:tc>
        <w:tc>
          <w:tcPr>
            <w:tcW w:w="705" w:type="dxa"/>
            <w:tcBorders>
              <w:top w:val="nil"/>
              <w:left w:val="single" w:sz="12" w:space="0" w:color="auto"/>
              <w:bottom w:val="nil"/>
            </w:tcBorders>
          </w:tcPr>
          <w:p w:rsidR="00F66B2B" w:rsidRPr="00844548" w:rsidRDefault="006C496F" w:rsidP="00A16B3A">
            <w:pPr>
              <w:spacing w:before="60" w:after="60"/>
              <w:jc w:val="both"/>
              <w:rPr>
                <w:sz w:val="20"/>
                <w:szCs w:val="20"/>
              </w:rPr>
            </w:pPr>
            <w:r>
              <w:rPr>
                <w:sz w:val="20"/>
                <w:szCs w:val="20"/>
              </w:rPr>
              <w:t>8</w:t>
            </w:r>
          </w:p>
        </w:tc>
        <w:tc>
          <w:tcPr>
            <w:tcW w:w="582" w:type="dxa"/>
            <w:tcBorders>
              <w:top w:val="nil"/>
              <w:bottom w:val="nil"/>
              <w:right w:val="single" w:sz="12" w:space="0" w:color="auto"/>
            </w:tcBorders>
          </w:tcPr>
          <w:p w:rsidR="00F66B2B" w:rsidRPr="00844548" w:rsidRDefault="00F66F80" w:rsidP="00A16B3A">
            <w:pPr>
              <w:spacing w:before="60" w:after="60"/>
              <w:jc w:val="both"/>
              <w:rPr>
                <w:sz w:val="20"/>
                <w:szCs w:val="20"/>
              </w:rPr>
            </w:pPr>
            <w:r>
              <w:rPr>
                <w:sz w:val="20"/>
                <w:szCs w:val="20"/>
              </w:rPr>
              <w:t>3</w:t>
            </w:r>
          </w:p>
        </w:tc>
        <w:tc>
          <w:tcPr>
            <w:tcW w:w="724" w:type="dxa"/>
            <w:tcBorders>
              <w:top w:val="nil"/>
              <w:left w:val="single" w:sz="12" w:space="0" w:color="auto"/>
              <w:bottom w:val="nil"/>
            </w:tcBorders>
          </w:tcPr>
          <w:p w:rsidR="00F66B2B" w:rsidRPr="00844548" w:rsidRDefault="006C496F" w:rsidP="00A16B3A">
            <w:pPr>
              <w:spacing w:before="60" w:after="60"/>
              <w:jc w:val="both"/>
              <w:rPr>
                <w:sz w:val="20"/>
                <w:szCs w:val="20"/>
              </w:rPr>
            </w:pPr>
            <w:r>
              <w:rPr>
                <w:sz w:val="20"/>
                <w:szCs w:val="20"/>
              </w:rPr>
              <w:t>39</w:t>
            </w:r>
          </w:p>
        </w:tc>
        <w:tc>
          <w:tcPr>
            <w:tcW w:w="566" w:type="dxa"/>
            <w:tcBorders>
              <w:top w:val="nil"/>
              <w:bottom w:val="nil"/>
              <w:right w:val="single" w:sz="12" w:space="0" w:color="auto"/>
            </w:tcBorders>
          </w:tcPr>
          <w:p w:rsidR="00F66B2B" w:rsidRPr="00844548" w:rsidRDefault="00C64AD7" w:rsidP="00A16B3A">
            <w:pPr>
              <w:spacing w:before="60" w:after="60"/>
              <w:jc w:val="both"/>
              <w:rPr>
                <w:sz w:val="20"/>
                <w:szCs w:val="20"/>
              </w:rPr>
            </w:pPr>
            <w:r>
              <w:rPr>
                <w:sz w:val="20"/>
                <w:szCs w:val="20"/>
              </w:rPr>
              <w:t>17,3</w:t>
            </w:r>
          </w:p>
        </w:tc>
        <w:tc>
          <w:tcPr>
            <w:tcW w:w="725" w:type="dxa"/>
            <w:tcBorders>
              <w:top w:val="nil"/>
              <w:left w:val="single" w:sz="12" w:space="0" w:color="auto"/>
              <w:bottom w:val="nil"/>
            </w:tcBorders>
          </w:tcPr>
          <w:p w:rsidR="00F66B2B" w:rsidRPr="00844548" w:rsidRDefault="00AB0DC5" w:rsidP="00A16B3A">
            <w:pPr>
              <w:spacing w:before="60" w:after="60"/>
              <w:jc w:val="both"/>
              <w:rPr>
                <w:sz w:val="20"/>
                <w:szCs w:val="20"/>
              </w:rPr>
            </w:pPr>
            <w:r>
              <w:rPr>
                <w:sz w:val="20"/>
                <w:szCs w:val="20"/>
              </w:rPr>
              <w:t>24</w:t>
            </w:r>
          </w:p>
        </w:tc>
        <w:tc>
          <w:tcPr>
            <w:tcW w:w="566" w:type="dxa"/>
            <w:tcBorders>
              <w:top w:val="nil"/>
              <w:bottom w:val="nil"/>
              <w:right w:val="single" w:sz="12" w:space="0" w:color="auto"/>
            </w:tcBorders>
          </w:tcPr>
          <w:p w:rsidR="00F66B2B" w:rsidRPr="00844548" w:rsidRDefault="00C64AD7" w:rsidP="00A16B3A">
            <w:pPr>
              <w:spacing w:before="60" w:after="60"/>
              <w:jc w:val="both"/>
              <w:rPr>
                <w:sz w:val="20"/>
                <w:szCs w:val="20"/>
              </w:rPr>
            </w:pPr>
            <w:r>
              <w:rPr>
                <w:sz w:val="20"/>
                <w:szCs w:val="20"/>
              </w:rPr>
              <w:t>8,2</w:t>
            </w:r>
          </w:p>
        </w:tc>
        <w:tc>
          <w:tcPr>
            <w:tcW w:w="664" w:type="dxa"/>
            <w:tcBorders>
              <w:top w:val="nil"/>
              <w:left w:val="single" w:sz="12" w:space="0" w:color="auto"/>
              <w:bottom w:val="nil"/>
            </w:tcBorders>
          </w:tcPr>
          <w:p w:rsidR="00F66B2B" w:rsidRPr="00844548" w:rsidRDefault="00AB0DC5" w:rsidP="00A16B3A">
            <w:pPr>
              <w:spacing w:before="60" w:after="60"/>
              <w:jc w:val="both"/>
              <w:rPr>
                <w:sz w:val="20"/>
                <w:szCs w:val="20"/>
              </w:rPr>
            </w:pPr>
            <w:r>
              <w:rPr>
                <w:sz w:val="20"/>
                <w:szCs w:val="20"/>
              </w:rPr>
              <w:t>0</w:t>
            </w:r>
          </w:p>
        </w:tc>
        <w:tc>
          <w:tcPr>
            <w:tcW w:w="567" w:type="dxa"/>
            <w:tcBorders>
              <w:top w:val="nil"/>
              <w:bottom w:val="nil"/>
              <w:right w:val="single" w:sz="12" w:space="0" w:color="auto"/>
            </w:tcBorders>
          </w:tcPr>
          <w:p w:rsidR="00F66B2B" w:rsidRPr="00844548" w:rsidRDefault="002C397D" w:rsidP="00A16B3A">
            <w:pPr>
              <w:spacing w:before="60" w:after="60"/>
              <w:jc w:val="both"/>
              <w:rPr>
                <w:sz w:val="20"/>
                <w:szCs w:val="20"/>
              </w:rPr>
            </w:pPr>
            <w:r>
              <w:rPr>
                <w:sz w:val="20"/>
                <w:szCs w:val="20"/>
              </w:rPr>
              <w:t>0</w:t>
            </w:r>
          </w:p>
        </w:tc>
        <w:tc>
          <w:tcPr>
            <w:tcW w:w="709" w:type="dxa"/>
            <w:tcBorders>
              <w:top w:val="nil"/>
              <w:left w:val="single" w:sz="12" w:space="0" w:color="auto"/>
              <w:bottom w:val="nil"/>
            </w:tcBorders>
          </w:tcPr>
          <w:p w:rsidR="00F66B2B" w:rsidRPr="00844548" w:rsidRDefault="00AB0DC5" w:rsidP="00A16B3A">
            <w:pPr>
              <w:spacing w:before="60" w:after="60"/>
              <w:jc w:val="both"/>
              <w:rPr>
                <w:sz w:val="20"/>
                <w:szCs w:val="20"/>
              </w:rPr>
            </w:pPr>
            <w:r>
              <w:rPr>
                <w:sz w:val="20"/>
                <w:szCs w:val="20"/>
              </w:rPr>
              <w:t>38</w:t>
            </w:r>
          </w:p>
        </w:tc>
        <w:tc>
          <w:tcPr>
            <w:tcW w:w="567" w:type="dxa"/>
            <w:tcBorders>
              <w:top w:val="nil"/>
              <w:bottom w:val="nil"/>
              <w:right w:val="single" w:sz="12" w:space="0" w:color="auto"/>
            </w:tcBorders>
          </w:tcPr>
          <w:p w:rsidR="00F66B2B" w:rsidRPr="00844548" w:rsidRDefault="002C397D" w:rsidP="00A16B3A">
            <w:pPr>
              <w:spacing w:before="60" w:after="60"/>
              <w:jc w:val="both"/>
              <w:rPr>
                <w:sz w:val="20"/>
                <w:szCs w:val="20"/>
              </w:rPr>
            </w:pPr>
            <w:r>
              <w:rPr>
                <w:sz w:val="20"/>
                <w:szCs w:val="20"/>
              </w:rPr>
              <w:t>10,9</w:t>
            </w:r>
          </w:p>
        </w:tc>
        <w:tc>
          <w:tcPr>
            <w:tcW w:w="709" w:type="dxa"/>
            <w:tcBorders>
              <w:top w:val="nil"/>
              <w:left w:val="single" w:sz="12" w:space="0" w:color="auto"/>
              <w:bottom w:val="nil"/>
            </w:tcBorders>
          </w:tcPr>
          <w:p w:rsidR="00F66B2B" w:rsidRPr="00844548" w:rsidRDefault="00AB0DC5" w:rsidP="00A16B3A">
            <w:pPr>
              <w:spacing w:before="60" w:after="60"/>
              <w:jc w:val="both"/>
              <w:rPr>
                <w:sz w:val="20"/>
                <w:szCs w:val="20"/>
              </w:rPr>
            </w:pPr>
            <w:r>
              <w:rPr>
                <w:sz w:val="20"/>
                <w:szCs w:val="20"/>
              </w:rPr>
              <w:t>109</w:t>
            </w:r>
          </w:p>
        </w:tc>
        <w:tc>
          <w:tcPr>
            <w:tcW w:w="567" w:type="dxa"/>
            <w:tcBorders>
              <w:top w:val="nil"/>
              <w:bottom w:val="nil"/>
            </w:tcBorders>
          </w:tcPr>
          <w:p w:rsidR="00F66B2B" w:rsidRPr="00844548" w:rsidRDefault="006342BF" w:rsidP="00A16B3A">
            <w:pPr>
              <w:spacing w:before="60" w:after="60"/>
              <w:jc w:val="both"/>
              <w:rPr>
                <w:sz w:val="20"/>
                <w:szCs w:val="20"/>
              </w:rPr>
            </w:pPr>
            <w:r>
              <w:rPr>
                <w:sz w:val="20"/>
                <w:szCs w:val="20"/>
              </w:rPr>
              <w:t>8,8</w:t>
            </w:r>
          </w:p>
        </w:tc>
      </w:tr>
      <w:tr w:rsidR="004107D4" w:rsidRPr="00844548" w:rsidTr="00A16B3A">
        <w:trPr>
          <w:jc w:val="center"/>
        </w:trPr>
        <w:tc>
          <w:tcPr>
            <w:tcW w:w="1194" w:type="dxa"/>
            <w:tcBorders>
              <w:top w:val="nil"/>
              <w:bottom w:val="nil"/>
              <w:right w:val="single" w:sz="12" w:space="0" w:color="auto"/>
            </w:tcBorders>
          </w:tcPr>
          <w:p w:rsidR="00F66B2B" w:rsidRPr="00844548" w:rsidRDefault="00F66B2B" w:rsidP="00A16B3A">
            <w:pPr>
              <w:spacing w:before="60" w:after="60"/>
              <w:rPr>
                <w:sz w:val="20"/>
                <w:szCs w:val="20"/>
              </w:rPr>
            </w:pPr>
            <w:r w:rsidRPr="00844548">
              <w:rPr>
                <w:sz w:val="20"/>
                <w:szCs w:val="20"/>
              </w:rPr>
              <w:t>Průběžně v textu</w:t>
            </w:r>
          </w:p>
        </w:tc>
        <w:tc>
          <w:tcPr>
            <w:tcW w:w="705" w:type="dxa"/>
            <w:tcBorders>
              <w:top w:val="nil"/>
              <w:left w:val="single" w:sz="12" w:space="0" w:color="auto"/>
              <w:bottom w:val="nil"/>
            </w:tcBorders>
          </w:tcPr>
          <w:p w:rsidR="00F66B2B" w:rsidRPr="00844548" w:rsidRDefault="006C496F" w:rsidP="00A16B3A">
            <w:pPr>
              <w:spacing w:before="60" w:after="60"/>
              <w:jc w:val="both"/>
              <w:rPr>
                <w:sz w:val="20"/>
                <w:szCs w:val="20"/>
              </w:rPr>
            </w:pPr>
            <w:r>
              <w:rPr>
                <w:sz w:val="20"/>
                <w:szCs w:val="20"/>
              </w:rPr>
              <w:t>106</w:t>
            </w:r>
          </w:p>
        </w:tc>
        <w:tc>
          <w:tcPr>
            <w:tcW w:w="582" w:type="dxa"/>
            <w:tcBorders>
              <w:top w:val="nil"/>
              <w:bottom w:val="nil"/>
              <w:right w:val="single" w:sz="12" w:space="0" w:color="auto"/>
            </w:tcBorders>
          </w:tcPr>
          <w:p w:rsidR="00F66B2B" w:rsidRPr="00844548" w:rsidRDefault="00F66F80" w:rsidP="00A16B3A">
            <w:pPr>
              <w:spacing w:before="60" w:after="60"/>
              <w:jc w:val="both"/>
              <w:rPr>
                <w:sz w:val="20"/>
                <w:szCs w:val="20"/>
              </w:rPr>
            </w:pPr>
            <w:r>
              <w:rPr>
                <w:sz w:val="20"/>
                <w:szCs w:val="20"/>
              </w:rPr>
              <w:t>40,6</w:t>
            </w:r>
          </w:p>
        </w:tc>
        <w:tc>
          <w:tcPr>
            <w:tcW w:w="724" w:type="dxa"/>
            <w:tcBorders>
              <w:top w:val="nil"/>
              <w:left w:val="single" w:sz="12" w:space="0" w:color="auto"/>
              <w:bottom w:val="nil"/>
            </w:tcBorders>
          </w:tcPr>
          <w:p w:rsidR="00F66B2B" w:rsidRPr="00844548" w:rsidRDefault="006C496F" w:rsidP="00A16B3A">
            <w:pPr>
              <w:spacing w:before="60" w:after="60"/>
              <w:jc w:val="both"/>
              <w:rPr>
                <w:sz w:val="20"/>
                <w:szCs w:val="20"/>
              </w:rPr>
            </w:pPr>
            <w:r>
              <w:rPr>
                <w:sz w:val="20"/>
                <w:szCs w:val="20"/>
              </w:rPr>
              <w:t>0</w:t>
            </w:r>
          </w:p>
        </w:tc>
        <w:tc>
          <w:tcPr>
            <w:tcW w:w="566" w:type="dxa"/>
            <w:tcBorders>
              <w:top w:val="nil"/>
              <w:bottom w:val="nil"/>
              <w:right w:val="single" w:sz="12" w:space="0" w:color="auto"/>
            </w:tcBorders>
          </w:tcPr>
          <w:p w:rsidR="00F66B2B" w:rsidRPr="00844548" w:rsidRDefault="00C64AD7" w:rsidP="00A16B3A">
            <w:pPr>
              <w:spacing w:before="60" w:after="60"/>
              <w:jc w:val="both"/>
              <w:rPr>
                <w:sz w:val="20"/>
                <w:szCs w:val="20"/>
              </w:rPr>
            </w:pPr>
            <w:r>
              <w:rPr>
                <w:sz w:val="20"/>
                <w:szCs w:val="20"/>
              </w:rPr>
              <w:t>0</w:t>
            </w:r>
          </w:p>
        </w:tc>
        <w:tc>
          <w:tcPr>
            <w:tcW w:w="725" w:type="dxa"/>
            <w:tcBorders>
              <w:top w:val="nil"/>
              <w:left w:val="single" w:sz="12" w:space="0" w:color="auto"/>
              <w:bottom w:val="nil"/>
            </w:tcBorders>
          </w:tcPr>
          <w:p w:rsidR="00F66B2B" w:rsidRPr="00844548" w:rsidRDefault="00AB0DC5" w:rsidP="00A16B3A">
            <w:pPr>
              <w:spacing w:before="60" w:after="60"/>
              <w:jc w:val="both"/>
              <w:rPr>
                <w:sz w:val="20"/>
                <w:szCs w:val="20"/>
              </w:rPr>
            </w:pPr>
            <w:r>
              <w:rPr>
                <w:sz w:val="20"/>
                <w:szCs w:val="20"/>
              </w:rPr>
              <w:t>184</w:t>
            </w:r>
          </w:p>
        </w:tc>
        <w:tc>
          <w:tcPr>
            <w:tcW w:w="566" w:type="dxa"/>
            <w:tcBorders>
              <w:top w:val="nil"/>
              <w:bottom w:val="nil"/>
              <w:right w:val="single" w:sz="12" w:space="0" w:color="auto"/>
            </w:tcBorders>
          </w:tcPr>
          <w:p w:rsidR="00F66B2B" w:rsidRPr="00844548" w:rsidRDefault="00C64AD7" w:rsidP="00A16B3A">
            <w:pPr>
              <w:spacing w:before="60" w:after="60"/>
              <w:jc w:val="both"/>
              <w:rPr>
                <w:sz w:val="20"/>
                <w:szCs w:val="20"/>
              </w:rPr>
            </w:pPr>
            <w:r>
              <w:rPr>
                <w:sz w:val="20"/>
                <w:szCs w:val="20"/>
              </w:rPr>
              <w:t>62,6</w:t>
            </w:r>
          </w:p>
        </w:tc>
        <w:tc>
          <w:tcPr>
            <w:tcW w:w="664" w:type="dxa"/>
            <w:tcBorders>
              <w:top w:val="nil"/>
              <w:left w:val="single" w:sz="12" w:space="0" w:color="auto"/>
              <w:bottom w:val="nil"/>
            </w:tcBorders>
          </w:tcPr>
          <w:p w:rsidR="00F66B2B" w:rsidRPr="00844548" w:rsidRDefault="00AB0DC5" w:rsidP="00A16B3A">
            <w:pPr>
              <w:spacing w:before="60" w:after="60"/>
              <w:jc w:val="both"/>
              <w:rPr>
                <w:sz w:val="20"/>
                <w:szCs w:val="20"/>
              </w:rPr>
            </w:pPr>
            <w:r>
              <w:rPr>
                <w:sz w:val="20"/>
                <w:szCs w:val="20"/>
              </w:rPr>
              <w:t>0</w:t>
            </w:r>
          </w:p>
        </w:tc>
        <w:tc>
          <w:tcPr>
            <w:tcW w:w="567" w:type="dxa"/>
            <w:tcBorders>
              <w:top w:val="nil"/>
              <w:bottom w:val="nil"/>
              <w:right w:val="single" w:sz="12" w:space="0" w:color="auto"/>
            </w:tcBorders>
          </w:tcPr>
          <w:p w:rsidR="00F66B2B" w:rsidRPr="00844548" w:rsidRDefault="002C397D" w:rsidP="00A16B3A">
            <w:pPr>
              <w:spacing w:before="60" w:after="60"/>
              <w:jc w:val="both"/>
              <w:rPr>
                <w:sz w:val="20"/>
                <w:szCs w:val="20"/>
              </w:rPr>
            </w:pPr>
            <w:r>
              <w:rPr>
                <w:sz w:val="20"/>
                <w:szCs w:val="20"/>
              </w:rPr>
              <w:t>0</w:t>
            </w:r>
          </w:p>
        </w:tc>
        <w:tc>
          <w:tcPr>
            <w:tcW w:w="709" w:type="dxa"/>
            <w:tcBorders>
              <w:top w:val="nil"/>
              <w:left w:val="single" w:sz="12" w:space="0" w:color="auto"/>
              <w:bottom w:val="nil"/>
            </w:tcBorders>
          </w:tcPr>
          <w:p w:rsidR="00F66B2B" w:rsidRPr="00844548" w:rsidRDefault="00AB0DC5" w:rsidP="00A16B3A">
            <w:pPr>
              <w:spacing w:before="60" w:after="60"/>
              <w:jc w:val="both"/>
              <w:rPr>
                <w:sz w:val="20"/>
                <w:szCs w:val="20"/>
              </w:rPr>
            </w:pPr>
            <w:r>
              <w:rPr>
                <w:sz w:val="20"/>
                <w:szCs w:val="20"/>
              </w:rPr>
              <w:t>30</w:t>
            </w:r>
          </w:p>
        </w:tc>
        <w:tc>
          <w:tcPr>
            <w:tcW w:w="567" w:type="dxa"/>
            <w:tcBorders>
              <w:top w:val="nil"/>
              <w:bottom w:val="nil"/>
              <w:right w:val="single" w:sz="12" w:space="0" w:color="auto"/>
            </w:tcBorders>
          </w:tcPr>
          <w:p w:rsidR="00F66B2B" w:rsidRPr="00844548" w:rsidRDefault="00BF3A09" w:rsidP="00A16B3A">
            <w:pPr>
              <w:spacing w:before="60" w:after="60"/>
              <w:jc w:val="both"/>
              <w:rPr>
                <w:sz w:val="20"/>
                <w:szCs w:val="20"/>
              </w:rPr>
            </w:pPr>
            <w:r>
              <w:rPr>
                <w:sz w:val="20"/>
                <w:szCs w:val="20"/>
              </w:rPr>
              <w:t>8,6</w:t>
            </w:r>
          </w:p>
        </w:tc>
        <w:tc>
          <w:tcPr>
            <w:tcW w:w="709" w:type="dxa"/>
            <w:tcBorders>
              <w:top w:val="nil"/>
              <w:left w:val="single" w:sz="12" w:space="0" w:color="auto"/>
              <w:bottom w:val="nil"/>
            </w:tcBorders>
          </w:tcPr>
          <w:p w:rsidR="00F66B2B" w:rsidRPr="00844548" w:rsidRDefault="00AB0DC5" w:rsidP="00A16B3A">
            <w:pPr>
              <w:spacing w:before="60" w:after="60"/>
              <w:jc w:val="both"/>
              <w:rPr>
                <w:sz w:val="20"/>
                <w:szCs w:val="20"/>
              </w:rPr>
            </w:pPr>
            <w:r>
              <w:rPr>
                <w:sz w:val="20"/>
                <w:szCs w:val="20"/>
              </w:rPr>
              <w:t>320</w:t>
            </w:r>
          </w:p>
        </w:tc>
        <w:tc>
          <w:tcPr>
            <w:tcW w:w="567" w:type="dxa"/>
            <w:tcBorders>
              <w:top w:val="nil"/>
              <w:bottom w:val="nil"/>
            </w:tcBorders>
          </w:tcPr>
          <w:p w:rsidR="00F66B2B" w:rsidRPr="00844548" w:rsidRDefault="006342BF" w:rsidP="00A16B3A">
            <w:pPr>
              <w:spacing w:before="60" w:after="60"/>
              <w:jc w:val="both"/>
              <w:rPr>
                <w:sz w:val="20"/>
                <w:szCs w:val="20"/>
              </w:rPr>
            </w:pPr>
            <w:r>
              <w:rPr>
                <w:sz w:val="20"/>
                <w:szCs w:val="20"/>
              </w:rPr>
              <w:t>26,1</w:t>
            </w:r>
          </w:p>
        </w:tc>
      </w:tr>
      <w:tr w:rsidR="004107D4" w:rsidRPr="00844548" w:rsidTr="00A16B3A">
        <w:trPr>
          <w:jc w:val="center"/>
        </w:trPr>
        <w:tc>
          <w:tcPr>
            <w:tcW w:w="1194" w:type="dxa"/>
            <w:tcBorders>
              <w:top w:val="nil"/>
              <w:bottom w:val="single" w:sz="6" w:space="0" w:color="auto"/>
              <w:right w:val="single" w:sz="12" w:space="0" w:color="auto"/>
            </w:tcBorders>
          </w:tcPr>
          <w:p w:rsidR="006C496F" w:rsidRPr="00844548" w:rsidRDefault="006C496F" w:rsidP="00A16B3A">
            <w:pPr>
              <w:spacing w:before="60" w:after="60"/>
              <w:rPr>
                <w:sz w:val="20"/>
                <w:szCs w:val="20"/>
              </w:rPr>
            </w:pPr>
            <w:r>
              <w:rPr>
                <w:sz w:val="20"/>
                <w:szCs w:val="20"/>
              </w:rPr>
              <w:t>Popisek obrázku</w:t>
            </w:r>
          </w:p>
        </w:tc>
        <w:tc>
          <w:tcPr>
            <w:tcW w:w="705" w:type="dxa"/>
            <w:tcBorders>
              <w:top w:val="nil"/>
              <w:left w:val="single" w:sz="12" w:space="0" w:color="auto"/>
              <w:bottom w:val="single" w:sz="6" w:space="0" w:color="auto"/>
            </w:tcBorders>
          </w:tcPr>
          <w:p w:rsidR="006C496F" w:rsidRPr="00844548" w:rsidRDefault="006C496F" w:rsidP="00A16B3A">
            <w:pPr>
              <w:spacing w:before="60" w:after="60"/>
              <w:jc w:val="both"/>
              <w:rPr>
                <w:sz w:val="20"/>
                <w:szCs w:val="20"/>
              </w:rPr>
            </w:pPr>
            <w:r>
              <w:rPr>
                <w:sz w:val="20"/>
                <w:szCs w:val="20"/>
              </w:rPr>
              <w:t>0</w:t>
            </w:r>
          </w:p>
        </w:tc>
        <w:tc>
          <w:tcPr>
            <w:tcW w:w="582" w:type="dxa"/>
            <w:tcBorders>
              <w:top w:val="nil"/>
              <w:bottom w:val="single" w:sz="6" w:space="0" w:color="auto"/>
              <w:right w:val="single" w:sz="12" w:space="0" w:color="auto"/>
            </w:tcBorders>
          </w:tcPr>
          <w:p w:rsidR="006C496F" w:rsidRPr="00844548" w:rsidRDefault="006C496F" w:rsidP="00A16B3A">
            <w:pPr>
              <w:spacing w:before="60" w:after="60"/>
              <w:jc w:val="both"/>
              <w:rPr>
                <w:sz w:val="20"/>
                <w:szCs w:val="20"/>
              </w:rPr>
            </w:pPr>
          </w:p>
        </w:tc>
        <w:tc>
          <w:tcPr>
            <w:tcW w:w="724" w:type="dxa"/>
            <w:tcBorders>
              <w:top w:val="nil"/>
              <w:left w:val="single" w:sz="12" w:space="0" w:color="auto"/>
              <w:bottom w:val="single" w:sz="6" w:space="0" w:color="auto"/>
            </w:tcBorders>
          </w:tcPr>
          <w:p w:rsidR="006C496F" w:rsidRPr="00844548" w:rsidRDefault="006C496F" w:rsidP="00A16B3A">
            <w:pPr>
              <w:spacing w:before="60" w:after="60"/>
              <w:jc w:val="both"/>
              <w:rPr>
                <w:sz w:val="20"/>
                <w:szCs w:val="20"/>
              </w:rPr>
            </w:pPr>
            <w:r>
              <w:rPr>
                <w:sz w:val="20"/>
                <w:szCs w:val="20"/>
              </w:rPr>
              <w:t>0</w:t>
            </w:r>
          </w:p>
        </w:tc>
        <w:tc>
          <w:tcPr>
            <w:tcW w:w="566" w:type="dxa"/>
            <w:tcBorders>
              <w:top w:val="nil"/>
              <w:bottom w:val="single" w:sz="6" w:space="0" w:color="auto"/>
              <w:right w:val="single" w:sz="12" w:space="0" w:color="auto"/>
            </w:tcBorders>
          </w:tcPr>
          <w:p w:rsidR="006C496F" w:rsidRPr="00844548" w:rsidRDefault="00C64AD7" w:rsidP="00A16B3A">
            <w:pPr>
              <w:spacing w:before="60" w:after="60"/>
              <w:jc w:val="both"/>
              <w:rPr>
                <w:sz w:val="20"/>
                <w:szCs w:val="20"/>
              </w:rPr>
            </w:pPr>
            <w:r>
              <w:rPr>
                <w:sz w:val="20"/>
                <w:szCs w:val="20"/>
              </w:rPr>
              <w:t>0</w:t>
            </w:r>
          </w:p>
        </w:tc>
        <w:tc>
          <w:tcPr>
            <w:tcW w:w="725" w:type="dxa"/>
            <w:tcBorders>
              <w:top w:val="nil"/>
              <w:left w:val="single" w:sz="12" w:space="0" w:color="auto"/>
              <w:bottom w:val="single" w:sz="6" w:space="0" w:color="auto"/>
            </w:tcBorders>
          </w:tcPr>
          <w:p w:rsidR="006C496F" w:rsidRPr="00844548" w:rsidRDefault="00AB0DC5" w:rsidP="00A16B3A">
            <w:pPr>
              <w:spacing w:before="60" w:after="60"/>
              <w:jc w:val="both"/>
              <w:rPr>
                <w:sz w:val="20"/>
                <w:szCs w:val="20"/>
              </w:rPr>
            </w:pPr>
            <w:r>
              <w:rPr>
                <w:sz w:val="20"/>
                <w:szCs w:val="20"/>
              </w:rPr>
              <w:t>0</w:t>
            </w:r>
          </w:p>
        </w:tc>
        <w:tc>
          <w:tcPr>
            <w:tcW w:w="566" w:type="dxa"/>
            <w:tcBorders>
              <w:top w:val="nil"/>
              <w:bottom w:val="single" w:sz="6" w:space="0" w:color="auto"/>
              <w:right w:val="single" w:sz="12" w:space="0" w:color="auto"/>
            </w:tcBorders>
          </w:tcPr>
          <w:p w:rsidR="006C496F" w:rsidRPr="00844548" w:rsidRDefault="00C64AD7" w:rsidP="00A16B3A">
            <w:pPr>
              <w:spacing w:before="60" w:after="60"/>
              <w:jc w:val="both"/>
              <w:rPr>
                <w:sz w:val="20"/>
                <w:szCs w:val="20"/>
              </w:rPr>
            </w:pPr>
            <w:r>
              <w:rPr>
                <w:sz w:val="20"/>
                <w:szCs w:val="20"/>
              </w:rPr>
              <w:t>0</w:t>
            </w:r>
          </w:p>
        </w:tc>
        <w:tc>
          <w:tcPr>
            <w:tcW w:w="664" w:type="dxa"/>
            <w:tcBorders>
              <w:top w:val="nil"/>
              <w:left w:val="single" w:sz="12" w:space="0" w:color="auto"/>
              <w:bottom w:val="single" w:sz="6" w:space="0" w:color="auto"/>
            </w:tcBorders>
          </w:tcPr>
          <w:p w:rsidR="006C496F" w:rsidRPr="00844548" w:rsidRDefault="00AB0DC5" w:rsidP="00A16B3A">
            <w:pPr>
              <w:spacing w:before="60" w:after="60"/>
              <w:jc w:val="both"/>
              <w:rPr>
                <w:sz w:val="20"/>
                <w:szCs w:val="20"/>
              </w:rPr>
            </w:pPr>
            <w:r>
              <w:rPr>
                <w:sz w:val="20"/>
                <w:szCs w:val="20"/>
              </w:rPr>
              <w:t>0</w:t>
            </w:r>
          </w:p>
        </w:tc>
        <w:tc>
          <w:tcPr>
            <w:tcW w:w="567" w:type="dxa"/>
            <w:tcBorders>
              <w:top w:val="nil"/>
              <w:bottom w:val="single" w:sz="6" w:space="0" w:color="auto"/>
              <w:right w:val="single" w:sz="12" w:space="0" w:color="auto"/>
            </w:tcBorders>
          </w:tcPr>
          <w:p w:rsidR="006C496F" w:rsidRPr="00844548" w:rsidRDefault="002C397D" w:rsidP="00A16B3A">
            <w:pPr>
              <w:spacing w:before="60" w:after="60"/>
              <w:jc w:val="both"/>
              <w:rPr>
                <w:sz w:val="20"/>
                <w:szCs w:val="20"/>
              </w:rPr>
            </w:pPr>
            <w:r>
              <w:rPr>
                <w:sz w:val="20"/>
                <w:szCs w:val="20"/>
              </w:rPr>
              <w:t>0</w:t>
            </w:r>
          </w:p>
        </w:tc>
        <w:tc>
          <w:tcPr>
            <w:tcW w:w="709" w:type="dxa"/>
            <w:tcBorders>
              <w:top w:val="nil"/>
              <w:left w:val="single" w:sz="12" w:space="0" w:color="auto"/>
              <w:bottom w:val="single" w:sz="6" w:space="0" w:color="auto"/>
            </w:tcBorders>
          </w:tcPr>
          <w:p w:rsidR="006C496F" w:rsidRPr="00844548" w:rsidRDefault="00AB0DC5" w:rsidP="00A16B3A">
            <w:pPr>
              <w:spacing w:before="60" w:after="60"/>
              <w:jc w:val="both"/>
              <w:rPr>
                <w:sz w:val="20"/>
                <w:szCs w:val="20"/>
              </w:rPr>
            </w:pPr>
            <w:r>
              <w:rPr>
                <w:sz w:val="20"/>
                <w:szCs w:val="20"/>
              </w:rPr>
              <w:t>4</w:t>
            </w:r>
          </w:p>
        </w:tc>
        <w:tc>
          <w:tcPr>
            <w:tcW w:w="567" w:type="dxa"/>
            <w:tcBorders>
              <w:top w:val="nil"/>
              <w:bottom w:val="single" w:sz="6" w:space="0" w:color="auto"/>
              <w:right w:val="single" w:sz="12" w:space="0" w:color="auto"/>
            </w:tcBorders>
          </w:tcPr>
          <w:p w:rsidR="006C496F" w:rsidRPr="00844548" w:rsidRDefault="00BF3A09" w:rsidP="00A16B3A">
            <w:pPr>
              <w:spacing w:before="60" w:after="60"/>
              <w:jc w:val="both"/>
              <w:rPr>
                <w:sz w:val="20"/>
                <w:szCs w:val="20"/>
              </w:rPr>
            </w:pPr>
            <w:r>
              <w:rPr>
                <w:sz w:val="20"/>
                <w:szCs w:val="20"/>
              </w:rPr>
              <w:t>1,2</w:t>
            </w:r>
          </w:p>
        </w:tc>
        <w:tc>
          <w:tcPr>
            <w:tcW w:w="709" w:type="dxa"/>
            <w:tcBorders>
              <w:top w:val="nil"/>
              <w:left w:val="single" w:sz="12" w:space="0" w:color="auto"/>
              <w:bottom w:val="single" w:sz="6" w:space="0" w:color="auto"/>
            </w:tcBorders>
          </w:tcPr>
          <w:p w:rsidR="006C496F" w:rsidRPr="00844548" w:rsidRDefault="00AB0DC5" w:rsidP="00A16B3A">
            <w:pPr>
              <w:spacing w:before="60" w:after="60"/>
              <w:jc w:val="both"/>
              <w:rPr>
                <w:sz w:val="20"/>
                <w:szCs w:val="20"/>
              </w:rPr>
            </w:pPr>
            <w:r>
              <w:rPr>
                <w:sz w:val="20"/>
                <w:szCs w:val="20"/>
              </w:rPr>
              <w:t>4</w:t>
            </w:r>
          </w:p>
        </w:tc>
        <w:tc>
          <w:tcPr>
            <w:tcW w:w="567" w:type="dxa"/>
            <w:tcBorders>
              <w:top w:val="nil"/>
              <w:bottom w:val="single" w:sz="6" w:space="0" w:color="auto"/>
            </w:tcBorders>
          </w:tcPr>
          <w:p w:rsidR="006C496F" w:rsidRPr="00844548" w:rsidRDefault="00030A39" w:rsidP="00A16B3A">
            <w:pPr>
              <w:spacing w:before="60" w:after="60"/>
              <w:jc w:val="both"/>
              <w:rPr>
                <w:sz w:val="20"/>
                <w:szCs w:val="20"/>
              </w:rPr>
            </w:pPr>
            <w:r>
              <w:rPr>
                <w:sz w:val="20"/>
                <w:szCs w:val="20"/>
              </w:rPr>
              <w:t>0,3</w:t>
            </w:r>
          </w:p>
        </w:tc>
      </w:tr>
      <w:tr w:rsidR="004107D4" w:rsidRPr="00844548" w:rsidTr="00A16B3A">
        <w:trPr>
          <w:jc w:val="center"/>
        </w:trPr>
        <w:tc>
          <w:tcPr>
            <w:tcW w:w="1194" w:type="dxa"/>
            <w:tcBorders>
              <w:top w:val="single" w:sz="6" w:space="0" w:color="auto"/>
              <w:right w:val="single" w:sz="12" w:space="0" w:color="auto"/>
            </w:tcBorders>
          </w:tcPr>
          <w:p w:rsidR="00F66B2B" w:rsidRPr="00844548" w:rsidRDefault="00F66B2B" w:rsidP="009B189D">
            <w:pPr>
              <w:rPr>
                <w:sz w:val="20"/>
                <w:szCs w:val="20"/>
              </w:rPr>
            </w:pPr>
            <w:r w:rsidRPr="00844548">
              <w:rPr>
                <w:sz w:val="20"/>
                <w:szCs w:val="20"/>
              </w:rPr>
              <w:t>Celkem</w:t>
            </w:r>
          </w:p>
        </w:tc>
        <w:tc>
          <w:tcPr>
            <w:tcW w:w="705" w:type="dxa"/>
            <w:tcBorders>
              <w:top w:val="single" w:sz="6" w:space="0" w:color="auto"/>
              <w:left w:val="single" w:sz="12" w:space="0" w:color="auto"/>
              <w:bottom w:val="single" w:sz="12" w:space="0" w:color="auto"/>
            </w:tcBorders>
          </w:tcPr>
          <w:p w:rsidR="00F66B2B" w:rsidRPr="00844548" w:rsidRDefault="00454BA8" w:rsidP="009B189D">
            <w:pPr>
              <w:jc w:val="both"/>
              <w:rPr>
                <w:sz w:val="20"/>
                <w:szCs w:val="20"/>
              </w:rPr>
            </w:pPr>
            <w:r>
              <w:rPr>
                <w:sz w:val="20"/>
                <w:szCs w:val="20"/>
              </w:rPr>
              <w:t>261</w:t>
            </w:r>
          </w:p>
        </w:tc>
        <w:tc>
          <w:tcPr>
            <w:tcW w:w="582" w:type="dxa"/>
            <w:tcBorders>
              <w:top w:val="single" w:sz="6" w:space="0" w:color="auto"/>
              <w:bottom w:val="single" w:sz="12" w:space="0" w:color="auto"/>
              <w:right w:val="single" w:sz="12" w:space="0" w:color="auto"/>
            </w:tcBorders>
          </w:tcPr>
          <w:p w:rsidR="00F66B2B" w:rsidRPr="00844548" w:rsidRDefault="00F66B2B" w:rsidP="009B189D">
            <w:pPr>
              <w:jc w:val="both"/>
              <w:rPr>
                <w:sz w:val="20"/>
                <w:szCs w:val="20"/>
              </w:rPr>
            </w:pPr>
            <w:r w:rsidRPr="00844548">
              <w:rPr>
                <w:sz w:val="20"/>
                <w:szCs w:val="20"/>
              </w:rPr>
              <w:t>100</w:t>
            </w:r>
          </w:p>
        </w:tc>
        <w:tc>
          <w:tcPr>
            <w:tcW w:w="724" w:type="dxa"/>
            <w:tcBorders>
              <w:top w:val="single" w:sz="6" w:space="0" w:color="auto"/>
              <w:left w:val="single" w:sz="12" w:space="0" w:color="auto"/>
            </w:tcBorders>
          </w:tcPr>
          <w:p w:rsidR="00F66B2B" w:rsidRPr="00844548" w:rsidRDefault="007A4ECE" w:rsidP="009B189D">
            <w:pPr>
              <w:jc w:val="both"/>
              <w:rPr>
                <w:sz w:val="20"/>
                <w:szCs w:val="20"/>
              </w:rPr>
            </w:pPr>
            <w:r>
              <w:rPr>
                <w:sz w:val="20"/>
                <w:szCs w:val="20"/>
              </w:rPr>
              <w:t>226</w:t>
            </w:r>
          </w:p>
        </w:tc>
        <w:tc>
          <w:tcPr>
            <w:tcW w:w="566" w:type="dxa"/>
            <w:tcBorders>
              <w:top w:val="single" w:sz="6" w:space="0" w:color="auto"/>
              <w:right w:val="single" w:sz="12" w:space="0" w:color="auto"/>
            </w:tcBorders>
          </w:tcPr>
          <w:p w:rsidR="00F66B2B" w:rsidRPr="00844548" w:rsidRDefault="00F66B2B" w:rsidP="009B189D">
            <w:pPr>
              <w:jc w:val="both"/>
              <w:rPr>
                <w:sz w:val="20"/>
                <w:szCs w:val="20"/>
              </w:rPr>
            </w:pPr>
            <w:r w:rsidRPr="00844548">
              <w:rPr>
                <w:sz w:val="20"/>
                <w:szCs w:val="20"/>
              </w:rPr>
              <w:t>100</w:t>
            </w:r>
          </w:p>
        </w:tc>
        <w:tc>
          <w:tcPr>
            <w:tcW w:w="725" w:type="dxa"/>
            <w:tcBorders>
              <w:top w:val="single" w:sz="6" w:space="0" w:color="auto"/>
              <w:left w:val="single" w:sz="12" w:space="0" w:color="auto"/>
              <w:bottom w:val="single" w:sz="12" w:space="0" w:color="auto"/>
            </w:tcBorders>
          </w:tcPr>
          <w:p w:rsidR="00F66B2B" w:rsidRPr="00844548" w:rsidRDefault="007A4ECE" w:rsidP="00454BA8">
            <w:pPr>
              <w:jc w:val="both"/>
              <w:rPr>
                <w:sz w:val="20"/>
                <w:szCs w:val="20"/>
              </w:rPr>
            </w:pPr>
            <w:r>
              <w:rPr>
                <w:sz w:val="20"/>
                <w:szCs w:val="20"/>
              </w:rPr>
              <w:t>29</w:t>
            </w:r>
            <w:r w:rsidR="00454BA8">
              <w:rPr>
                <w:sz w:val="20"/>
                <w:szCs w:val="20"/>
              </w:rPr>
              <w:t>4</w:t>
            </w:r>
          </w:p>
        </w:tc>
        <w:tc>
          <w:tcPr>
            <w:tcW w:w="566" w:type="dxa"/>
            <w:tcBorders>
              <w:top w:val="single" w:sz="6" w:space="0" w:color="auto"/>
              <w:bottom w:val="single" w:sz="12" w:space="0" w:color="auto"/>
              <w:right w:val="single" w:sz="12" w:space="0" w:color="auto"/>
            </w:tcBorders>
          </w:tcPr>
          <w:p w:rsidR="00F66B2B" w:rsidRPr="00844548" w:rsidRDefault="00F66B2B" w:rsidP="009B189D">
            <w:pPr>
              <w:jc w:val="both"/>
              <w:rPr>
                <w:sz w:val="20"/>
                <w:szCs w:val="20"/>
              </w:rPr>
            </w:pPr>
            <w:r w:rsidRPr="00844548">
              <w:rPr>
                <w:sz w:val="20"/>
                <w:szCs w:val="20"/>
              </w:rPr>
              <w:t>100</w:t>
            </w:r>
          </w:p>
        </w:tc>
        <w:tc>
          <w:tcPr>
            <w:tcW w:w="664" w:type="dxa"/>
            <w:tcBorders>
              <w:top w:val="single" w:sz="6" w:space="0" w:color="auto"/>
              <w:left w:val="single" w:sz="12" w:space="0" w:color="auto"/>
            </w:tcBorders>
          </w:tcPr>
          <w:p w:rsidR="00F66B2B" w:rsidRPr="00844548" w:rsidRDefault="007A4ECE" w:rsidP="009B189D">
            <w:pPr>
              <w:jc w:val="both"/>
              <w:rPr>
                <w:sz w:val="20"/>
                <w:szCs w:val="20"/>
              </w:rPr>
            </w:pPr>
            <w:r>
              <w:rPr>
                <w:sz w:val="20"/>
                <w:szCs w:val="20"/>
              </w:rPr>
              <w:t>100</w:t>
            </w:r>
          </w:p>
        </w:tc>
        <w:tc>
          <w:tcPr>
            <w:tcW w:w="567" w:type="dxa"/>
            <w:tcBorders>
              <w:top w:val="single" w:sz="6" w:space="0" w:color="auto"/>
              <w:right w:val="single" w:sz="12" w:space="0" w:color="auto"/>
            </w:tcBorders>
          </w:tcPr>
          <w:p w:rsidR="00F66B2B" w:rsidRPr="00844548" w:rsidRDefault="00F66B2B" w:rsidP="009B189D">
            <w:pPr>
              <w:jc w:val="both"/>
              <w:rPr>
                <w:sz w:val="20"/>
                <w:szCs w:val="20"/>
              </w:rPr>
            </w:pPr>
            <w:r w:rsidRPr="00844548">
              <w:rPr>
                <w:sz w:val="20"/>
                <w:szCs w:val="20"/>
              </w:rPr>
              <w:t>100</w:t>
            </w:r>
          </w:p>
        </w:tc>
        <w:tc>
          <w:tcPr>
            <w:tcW w:w="709" w:type="dxa"/>
            <w:tcBorders>
              <w:top w:val="single" w:sz="6" w:space="0" w:color="auto"/>
              <w:left w:val="single" w:sz="12" w:space="0" w:color="auto"/>
              <w:bottom w:val="single" w:sz="12" w:space="0" w:color="auto"/>
            </w:tcBorders>
          </w:tcPr>
          <w:p w:rsidR="00F66B2B" w:rsidRPr="00844548" w:rsidRDefault="007A4ECE" w:rsidP="00454BA8">
            <w:pPr>
              <w:jc w:val="both"/>
              <w:rPr>
                <w:sz w:val="20"/>
                <w:szCs w:val="20"/>
              </w:rPr>
            </w:pPr>
            <w:r>
              <w:rPr>
                <w:sz w:val="20"/>
                <w:szCs w:val="20"/>
              </w:rPr>
              <w:t>3</w:t>
            </w:r>
            <w:r w:rsidR="00454BA8">
              <w:rPr>
                <w:sz w:val="20"/>
                <w:szCs w:val="20"/>
              </w:rPr>
              <w:t>48</w:t>
            </w:r>
          </w:p>
        </w:tc>
        <w:tc>
          <w:tcPr>
            <w:tcW w:w="567" w:type="dxa"/>
            <w:tcBorders>
              <w:top w:val="single" w:sz="6" w:space="0" w:color="auto"/>
              <w:bottom w:val="single" w:sz="12" w:space="0" w:color="auto"/>
              <w:right w:val="single" w:sz="12" w:space="0" w:color="auto"/>
            </w:tcBorders>
          </w:tcPr>
          <w:p w:rsidR="00F66B2B" w:rsidRPr="00844548" w:rsidRDefault="00F66B2B" w:rsidP="009B189D">
            <w:pPr>
              <w:jc w:val="both"/>
              <w:rPr>
                <w:sz w:val="20"/>
                <w:szCs w:val="20"/>
              </w:rPr>
            </w:pPr>
            <w:r w:rsidRPr="00844548">
              <w:rPr>
                <w:sz w:val="20"/>
                <w:szCs w:val="20"/>
              </w:rPr>
              <w:t>100</w:t>
            </w:r>
          </w:p>
        </w:tc>
        <w:tc>
          <w:tcPr>
            <w:tcW w:w="709" w:type="dxa"/>
            <w:tcBorders>
              <w:top w:val="single" w:sz="6" w:space="0" w:color="auto"/>
              <w:left w:val="single" w:sz="12" w:space="0" w:color="auto"/>
            </w:tcBorders>
          </w:tcPr>
          <w:p w:rsidR="00F66B2B" w:rsidRPr="00844548" w:rsidRDefault="007A4ECE" w:rsidP="00454BA8">
            <w:pPr>
              <w:jc w:val="both"/>
              <w:rPr>
                <w:sz w:val="20"/>
                <w:szCs w:val="20"/>
              </w:rPr>
            </w:pPr>
            <w:r>
              <w:rPr>
                <w:sz w:val="20"/>
                <w:szCs w:val="20"/>
              </w:rPr>
              <w:t>12</w:t>
            </w:r>
            <w:r w:rsidR="00454BA8">
              <w:rPr>
                <w:sz w:val="20"/>
                <w:szCs w:val="20"/>
              </w:rPr>
              <w:t>29</w:t>
            </w:r>
          </w:p>
        </w:tc>
        <w:tc>
          <w:tcPr>
            <w:tcW w:w="567" w:type="dxa"/>
            <w:tcBorders>
              <w:top w:val="single" w:sz="6" w:space="0" w:color="auto"/>
            </w:tcBorders>
          </w:tcPr>
          <w:p w:rsidR="00F66B2B" w:rsidRPr="00844548" w:rsidRDefault="00F66B2B" w:rsidP="009B189D">
            <w:pPr>
              <w:jc w:val="both"/>
              <w:rPr>
                <w:sz w:val="20"/>
                <w:szCs w:val="20"/>
              </w:rPr>
            </w:pPr>
            <w:r w:rsidRPr="00844548">
              <w:rPr>
                <w:sz w:val="20"/>
                <w:szCs w:val="20"/>
              </w:rPr>
              <w:t>100</w:t>
            </w:r>
          </w:p>
        </w:tc>
      </w:tr>
    </w:tbl>
    <w:p w:rsidR="00F66B2B" w:rsidRDefault="00F66B2B" w:rsidP="00F66B2B">
      <w:pPr>
        <w:pStyle w:val="Default"/>
        <w:rPr>
          <w:sz w:val="23"/>
          <w:szCs w:val="23"/>
        </w:rPr>
      </w:pPr>
    </w:p>
    <w:p w:rsidR="00F66B2B" w:rsidRDefault="00F66B2B" w:rsidP="00A37334">
      <w:pPr>
        <w:widowControl w:val="0"/>
        <w:autoSpaceDE w:val="0"/>
        <w:autoSpaceDN w:val="0"/>
        <w:adjustRightInd w:val="0"/>
      </w:pPr>
    </w:p>
    <w:p w:rsidR="002E02F5" w:rsidRPr="00655C1F" w:rsidRDefault="0039320A" w:rsidP="004705CB">
      <w:pPr>
        <w:autoSpaceDE w:val="0"/>
        <w:autoSpaceDN w:val="0"/>
        <w:adjustRightInd w:val="0"/>
        <w:spacing w:after="120" w:line="276" w:lineRule="auto"/>
        <w:jc w:val="both"/>
      </w:pPr>
      <w:r w:rsidRPr="004705CB">
        <w:t xml:space="preserve">Analýza učebních úloh jako příležitostí k utváření a rozvíjení kompetence k řešení problémů ukázala, že žádná ze zkoumaných dimenzí problémových učebních úloh </w:t>
      </w:r>
      <w:r w:rsidR="00945FAA" w:rsidRPr="004705CB">
        <w:t xml:space="preserve">není </w:t>
      </w:r>
      <w:r w:rsidR="002E02F5" w:rsidRPr="004705CB">
        <w:t>většinově zastoupena v jiné než první úrovni</w:t>
      </w:r>
      <w:r w:rsidR="00176B81" w:rsidRPr="004705CB">
        <w:t>.</w:t>
      </w:r>
      <w:r w:rsidR="002E02F5" w:rsidRPr="004705CB">
        <w:t xml:space="preserve"> </w:t>
      </w:r>
      <w:r w:rsidR="00176B81" w:rsidRPr="004705CB">
        <w:t xml:space="preserve">Z celkového počtu 1229 analyzovaných učebních úloh </w:t>
      </w:r>
      <w:r w:rsidR="002E02F5" w:rsidRPr="004705CB">
        <w:t xml:space="preserve">do první úrovně spadalo v rámci jednotlivých dimenzí vždy </w:t>
      </w:r>
      <w:r w:rsidR="007A6469" w:rsidRPr="004705CB">
        <w:t>cca 77</w:t>
      </w:r>
      <w:r w:rsidR="002E02F5" w:rsidRPr="004705CB">
        <w:t xml:space="preserve"> % učebních úloh</w:t>
      </w:r>
      <w:r w:rsidR="00176B81" w:rsidRPr="004705CB">
        <w:t xml:space="preserve">. Druhá úroveň byla v závislosti na zkoumané dimenzi zastoupena </w:t>
      </w:r>
      <w:r w:rsidR="007A6469" w:rsidRPr="004705CB">
        <w:t>cca 20 %</w:t>
      </w:r>
      <w:r w:rsidR="003D44C9" w:rsidRPr="004705CB">
        <w:t>. Učební úlohy třetí úrovně, tedy takové, které jednoznačně vedou k utváření a rozvíjení kompetence k řešení problémů, jsou ve zkoumaných učebnicích zastoupeny</w:t>
      </w:r>
      <w:r w:rsidR="007A6469" w:rsidRPr="004705CB">
        <w:t xml:space="preserve"> cca 3 %. </w:t>
      </w:r>
      <w:r w:rsidR="00E63E33" w:rsidRPr="004705CB">
        <w:t>Podrobnější rozbo</w:t>
      </w:r>
      <w:r w:rsidR="00C95FD8">
        <w:t>r prezentujeme v </w:t>
      </w:r>
      <w:r w:rsidR="00C95FD8" w:rsidRPr="00DC1EB5">
        <w:t xml:space="preserve">tabulkách </w:t>
      </w:r>
      <w:r w:rsidR="00DC1EB5" w:rsidRPr="00DC1EB5">
        <w:t>9</w:t>
      </w:r>
      <w:r w:rsidR="00C95FD8" w:rsidRPr="00DC1EB5">
        <w:t>–</w:t>
      </w:r>
      <w:r w:rsidR="00DC1EB5" w:rsidRPr="00DC1EB5">
        <w:t>11</w:t>
      </w:r>
      <w:r w:rsidR="00E63E33" w:rsidRPr="00DC1EB5">
        <w:t>.</w:t>
      </w:r>
      <w:r w:rsidR="00E63E33" w:rsidRPr="004705CB">
        <w:t xml:space="preserve"> </w:t>
      </w:r>
      <w:r w:rsidR="002E02F5" w:rsidRPr="004705CB">
        <w:t xml:space="preserve">To </w:t>
      </w:r>
      <w:r w:rsidR="007A6469" w:rsidRPr="004705CB">
        <w:t>ukazuje</w:t>
      </w:r>
      <w:r w:rsidR="002E02F5" w:rsidRPr="004705CB">
        <w:t>, že</w:t>
      </w:r>
      <w:r w:rsidR="007A6469" w:rsidRPr="004705CB">
        <w:t xml:space="preserve"> </w:t>
      </w:r>
      <w:r w:rsidR="002E02F5" w:rsidRPr="004705CB">
        <w:t xml:space="preserve">v učebnicích </w:t>
      </w:r>
      <w:r w:rsidR="007A6469" w:rsidRPr="004705CB">
        <w:t>dominují</w:t>
      </w:r>
      <w:r w:rsidR="002E02F5" w:rsidRPr="004705CB">
        <w:t xml:space="preserve"> úlohy, které vykazují</w:t>
      </w:r>
      <w:r w:rsidR="007A6469" w:rsidRPr="004705CB">
        <w:t xml:space="preserve"> </w:t>
      </w:r>
      <w:r w:rsidR="002E02F5" w:rsidRPr="004705CB">
        <w:t xml:space="preserve">nejnižší </w:t>
      </w:r>
      <w:r w:rsidR="007A6469" w:rsidRPr="004705CB">
        <w:t xml:space="preserve">potenciál k utváření a rozvíjení kompetence k řešení problémů. </w:t>
      </w:r>
      <w:r w:rsidR="002E02F5" w:rsidRPr="004705CB">
        <w:t>Takové úlohy</w:t>
      </w:r>
      <w:r w:rsidR="00064C09" w:rsidRPr="004705CB">
        <w:t xml:space="preserve"> </w:t>
      </w:r>
      <w:r w:rsidR="002E02F5" w:rsidRPr="004705CB">
        <w:t>směřují především k zapamatování či</w:t>
      </w:r>
      <w:r w:rsidR="00064C09" w:rsidRPr="004705CB">
        <w:t xml:space="preserve"> </w:t>
      </w:r>
      <w:r w:rsidR="00E11FDE">
        <w:t xml:space="preserve">zopakování jednotlivých faktů a přímo nesměřují k </w:t>
      </w:r>
      <w:r w:rsidR="00064C09" w:rsidRPr="004705CB">
        <w:t>utváření a rozvíjení kompetence k řešení problémů</w:t>
      </w:r>
      <w:r w:rsidR="00E11FDE">
        <w:t>.</w:t>
      </w:r>
      <w:r w:rsidR="00BE2CAC">
        <w:t xml:space="preserve"> </w:t>
      </w:r>
      <w:r w:rsidR="00F13C0A" w:rsidRPr="004705CB">
        <w:t>Z uvedeného vyplývá</w:t>
      </w:r>
      <w:r w:rsidR="004A0F52">
        <w:t>,</w:t>
      </w:r>
      <w:r w:rsidR="00F13C0A" w:rsidRPr="004705CB">
        <w:t xml:space="preserve"> že zastoupení jednotlivých dimenzí příležitostí k utváření a rozvíjení kompetence k řešení problémů je v jednotlivých učebnicích velmi obdobné. </w:t>
      </w:r>
    </w:p>
    <w:p w:rsidR="00694697" w:rsidRDefault="00694697" w:rsidP="00655C1F">
      <w:pPr>
        <w:rPr>
          <w:b/>
        </w:rPr>
      </w:pPr>
      <w:bookmarkStart w:id="99" w:name="_Toc399013073"/>
    </w:p>
    <w:p w:rsidR="00FB20B9" w:rsidRPr="00694697" w:rsidRDefault="00FB20B9" w:rsidP="00655C1F">
      <w:r w:rsidRPr="00694697">
        <w:t xml:space="preserve">Tabulka </w:t>
      </w:r>
      <w:r w:rsidR="003818A1" w:rsidRPr="00694697">
        <w:fldChar w:fldCharType="begin"/>
      </w:r>
      <w:r w:rsidRPr="00694697">
        <w:instrText xml:space="preserve"> SEQ Tabulka \* ARABIC </w:instrText>
      </w:r>
      <w:r w:rsidR="003818A1" w:rsidRPr="00694697">
        <w:fldChar w:fldCharType="separate"/>
      </w:r>
      <w:r w:rsidRPr="00694697">
        <w:rPr>
          <w:noProof/>
        </w:rPr>
        <w:t>9</w:t>
      </w:r>
      <w:bookmarkEnd w:id="99"/>
      <w:r w:rsidR="003818A1" w:rsidRPr="00694697">
        <w:fldChar w:fldCharType="end"/>
      </w:r>
    </w:p>
    <w:p w:rsidR="00FC70CD" w:rsidRDefault="00FC70CD" w:rsidP="00066EDE">
      <w:pPr>
        <w:widowControl w:val="0"/>
        <w:autoSpaceDE w:val="0"/>
        <w:autoSpaceDN w:val="0"/>
        <w:adjustRightInd w:val="0"/>
        <w:rPr>
          <w:rFonts w:eastAsiaTheme="minorEastAsia"/>
          <w:i/>
        </w:rPr>
      </w:pPr>
      <w:r w:rsidRPr="004A0F52">
        <w:rPr>
          <w:rFonts w:eastAsiaTheme="minorEastAsia"/>
          <w:i/>
        </w:rPr>
        <w:t xml:space="preserve">Zastoupení </w:t>
      </w:r>
      <w:r w:rsidR="00943FF2" w:rsidRPr="004A0F52">
        <w:rPr>
          <w:rFonts w:eastAsiaTheme="minorEastAsia"/>
          <w:i/>
        </w:rPr>
        <w:t xml:space="preserve">jednotlivých </w:t>
      </w:r>
      <w:r w:rsidRPr="004A0F52">
        <w:rPr>
          <w:rFonts w:eastAsiaTheme="minorEastAsia"/>
          <w:i/>
        </w:rPr>
        <w:t>úrovní dimenze systémovosti ve zkoumaných učebnicích</w:t>
      </w:r>
    </w:p>
    <w:p w:rsidR="00CA1403" w:rsidRDefault="00CA1403" w:rsidP="00CA1403">
      <w:pPr>
        <w:autoSpaceDE w:val="0"/>
        <w:autoSpaceDN w:val="0"/>
        <w:adjustRightInd w:val="0"/>
        <w:spacing w:line="320" w:lineRule="atLeast"/>
        <w:ind w:left="60" w:right="60"/>
        <w:jc w:val="center"/>
        <w:rPr>
          <w:rFonts w:ascii="Arial" w:hAnsi="Arial" w:cs="Arial"/>
          <w:b/>
          <w:bCs/>
          <w:color w:val="000000"/>
          <w:sz w:val="18"/>
          <w:szCs w:val="18"/>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279"/>
        <w:gridCol w:w="705"/>
        <w:gridCol w:w="582"/>
        <w:gridCol w:w="724"/>
        <w:gridCol w:w="566"/>
        <w:gridCol w:w="725"/>
        <w:gridCol w:w="566"/>
        <w:gridCol w:w="664"/>
        <w:gridCol w:w="567"/>
        <w:gridCol w:w="709"/>
        <w:gridCol w:w="567"/>
        <w:gridCol w:w="709"/>
        <w:gridCol w:w="567"/>
      </w:tblGrid>
      <w:tr w:rsidR="00CA1403" w:rsidRPr="00844548" w:rsidTr="002C5AAA">
        <w:trPr>
          <w:jc w:val="center"/>
        </w:trPr>
        <w:tc>
          <w:tcPr>
            <w:tcW w:w="1279" w:type="dxa"/>
            <w:vMerge w:val="restart"/>
            <w:tcBorders>
              <w:right w:val="single" w:sz="12" w:space="0" w:color="auto"/>
            </w:tcBorders>
          </w:tcPr>
          <w:p w:rsidR="00CA1403" w:rsidRPr="00844548" w:rsidRDefault="00CA1403" w:rsidP="002C5AAA">
            <w:pPr>
              <w:jc w:val="both"/>
              <w:rPr>
                <w:sz w:val="20"/>
                <w:szCs w:val="20"/>
              </w:rPr>
            </w:pPr>
            <w:r>
              <w:rPr>
                <w:sz w:val="20"/>
                <w:szCs w:val="20"/>
              </w:rPr>
              <w:t>Systémovost</w:t>
            </w:r>
          </w:p>
        </w:tc>
        <w:tc>
          <w:tcPr>
            <w:tcW w:w="1287" w:type="dxa"/>
            <w:gridSpan w:val="2"/>
            <w:tcBorders>
              <w:top w:val="single" w:sz="12" w:space="0" w:color="auto"/>
              <w:left w:val="single" w:sz="12" w:space="0" w:color="auto"/>
              <w:bottom w:val="single" w:sz="6" w:space="0" w:color="auto"/>
              <w:right w:val="single" w:sz="12" w:space="0" w:color="auto"/>
            </w:tcBorders>
          </w:tcPr>
          <w:p w:rsidR="00CA1403" w:rsidRPr="00844548" w:rsidRDefault="00CA1403" w:rsidP="002C5AAA">
            <w:pPr>
              <w:jc w:val="center"/>
              <w:rPr>
                <w:sz w:val="20"/>
                <w:szCs w:val="20"/>
              </w:rPr>
            </w:pPr>
            <w:r w:rsidRPr="00844548">
              <w:rPr>
                <w:sz w:val="20"/>
                <w:szCs w:val="20"/>
              </w:rPr>
              <w:t>Fraus</w:t>
            </w:r>
          </w:p>
        </w:tc>
        <w:tc>
          <w:tcPr>
            <w:tcW w:w="1290" w:type="dxa"/>
            <w:gridSpan w:val="2"/>
            <w:tcBorders>
              <w:left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NČGS</w:t>
            </w:r>
          </w:p>
        </w:tc>
        <w:tc>
          <w:tcPr>
            <w:tcW w:w="1291" w:type="dxa"/>
            <w:gridSpan w:val="2"/>
            <w:tcBorders>
              <w:top w:val="single" w:sz="12" w:space="0" w:color="auto"/>
              <w:left w:val="single" w:sz="12" w:space="0" w:color="auto"/>
              <w:bottom w:val="single" w:sz="6" w:space="0" w:color="auto"/>
              <w:right w:val="single" w:sz="12" w:space="0" w:color="auto"/>
            </w:tcBorders>
          </w:tcPr>
          <w:p w:rsidR="00CA1403" w:rsidRPr="00844548" w:rsidRDefault="00CA1403" w:rsidP="002C5AAA">
            <w:pPr>
              <w:jc w:val="center"/>
              <w:rPr>
                <w:sz w:val="20"/>
                <w:szCs w:val="20"/>
              </w:rPr>
            </w:pPr>
            <w:r w:rsidRPr="00844548">
              <w:rPr>
                <w:sz w:val="20"/>
                <w:szCs w:val="20"/>
              </w:rPr>
              <w:t>Nová škola</w:t>
            </w:r>
          </w:p>
        </w:tc>
        <w:tc>
          <w:tcPr>
            <w:tcW w:w="1231" w:type="dxa"/>
            <w:gridSpan w:val="2"/>
            <w:tcBorders>
              <w:left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Prodos</w:t>
            </w:r>
          </w:p>
        </w:tc>
        <w:tc>
          <w:tcPr>
            <w:tcW w:w="1276" w:type="dxa"/>
            <w:gridSpan w:val="2"/>
            <w:tcBorders>
              <w:top w:val="single" w:sz="12" w:space="0" w:color="auto"/>
              <w:left w:val="single" w:sz="12" w:space="0" w:color="auto"/>
              <w:bottom w:val="single" w:sz="6" w:space="0" w:color="auto"/>
              <w:right w:val="single" w:sz="12" w:space="0" w:color="auto"/>
            </w:tcBorders>
          </w:tcPr>
          <w:p w:rsidR="00CA1403" w:rsidRPr="00844548" w:rsidRDefault="00CA1403" w:rsidP="002C5AAA">
            <w:pPr>
              <w:jc w:val="center"/>
              <w:rPr>
                <w:sz w:val="20"/>
                <w:szCs w:val="20"/>
              </w:rPr>
            </w:pPr>
            <w:r w:rsidRPr="00844548">
              <w:rPr>
                <w:sz w:val="20"/>
                <w:szCs w:val="20"/>
              </w:rPr>
              <w:t>SPN</w:t>
            </w:r>
          </w:p>
        </w:tc>
        <w:tc>
          <w:tcPr>
            <w:tcW w:w="1276" w:type="dxa"/>
            <w:gridSpan w:val="2"/>
            <w:tcBorders>
              <w:left w:val="single" w:sz="12" w:space="0" w:color="auto"/>
            </w:tcBorders>
          </w:tcPr>
          <w:p w:rsidR="00CA1403" w:rsidRPr="00844548" w:rsidRDefault="00CA1403" w:rsidP="002C5AAA">
            <w:pPr>
              <w:jc w:val="center"/>
              <w:rPr>
                <w:sz w:val="20"/>
                <w:szCs w:val="20"/>
              </w:rPr>
            </w:pPr>
            <w:r w:rsidRPr="00844548">
              <w:rPr>
                <w:sz w:val="20"/>
                <w:szCs w:val="20"/>
              </w:rPr>
              <w:t>Celkem</w:t>
            </w:r>
          </w:p>
        </w:tc>
      </w:tr>
      <w:tr w:rsidR="00CA1403" w:rsidRPr="00844548" w:rsidTr="002C5AAA">
        <w:trPr>
          <w:jc w:val="center"/>
        </w:trPr>
        <w:tc>
          <w:tcPr>
            <w:tcW w:w="1279" w:type="dxa"/>
            <w:vMerge/>
            <w:tcBorders>
              <w:bottom w:val="single" w:sz="6" w:space="0" w:color="auto"/>
              <w:right w:val="single" w:sz="12" w:space="0" w:color="auto"/>
            </w:tcBorders>
          </w:tcPr>
          <w:p w:rsidR="00CA1403" w:rsidRPr="00844548" w:rsidRDefault="00CA1403" w:rsidP="002C5AAA">
            <w:pPr>
              <w:jc w:val="both"/>
              <w:rPr>
                <w:sz w:val="20"/>
                <w:szCs w:val="20"/>
              </w:rPr>
            </w:pPr>
          </w:p>
        </w:tc>
        <w:tc>
          <w:tcPr>
            <w:tcW w:w="705" w:type="dxa"/>
            <w:tcBorders>
              <w:top w:val="single" w:sz="6" w:space="0" w:color="auto"/>
              <w:left w:val="single" w:sz="12" w:space="0" w:color="auto"/>
              <w:bottom w:val="single" w:sz="12" w:space="0" w:color="auto"/>
            </w:tcBorders>
          </w:tcPr>
          <w:p w:rsidR="00CA1403" w:rsidRPr="00844548" w:rsidRDefault="00CA1403" w:rsidP="002C5AAA">
            <w:pPr>
              <w:jc w:val="center"/>
              <w:rPr>
                <w:sz w:val="20"/>
                <w:szCs w:val="20"/>
              </w:rPr>
            </w:pPr>
            <w:r w:rsidRPr="00844548">
              <w:rPr>
                <w:sz w:val="20"/>
                <w:szCs w:val="20"/>
              </w:rPr>
              <w:t>Počet</w:t>
            </w:r>
          </w:p>
        </w:tc>
        <w:tc>
          <w:tcPr>
            <w:tcW w:w="582" w:type="dxa"/>
            <w:tcBorders>
              <w:top w:val="single" w:sz="6" w:space="0" w:color="auto"/>
              <w:bottom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w:t>
            </w:r>
          </w:p>
        </w:tc>
        <w:tc>
          <w:tcPr>
            <w:tcW w:w="724" w:type="dxa"/>
            <w:tcBorders>
              <w:left w:val="single" w:sz="12" w:space="0" w:color="auto"/>
              <w:bottom w:val="single" w:sz="12" w:space="0" w:color="auto"/>
            </w:tcBorders>
          </w:tcPr>
          <w:p w:rsidR="00CA1403" w:rsidRPr="00844548" w:rsidRDefault="00CA1403" w:rsidP="002C5AAA">
            <w:pPr>
              <w:jc w:val="center"/>
              <w:rPr>
                <w:sz w:val="20"/>
                <w:szCs w:val="20"/>
              </w:rPr>
            </w:pPr>
            <w:r w:rsidRPr="00844548">
              <w:rPr>
                <w:sz w:val="20"/>
                <w:szCs w:val="20"/>
              </w:rPr>
              <w:t>Počet</w:t>
            </w:r>
          </w:p>
        </w:tc>
        <w:tc>
          <w:tcPr>
            <w:tcW w:w="566" w:type="dxa"/>
            <w:tcBorders>
              <w:bottom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w:t>
            </w:r>
          </w:p>
        </w:tc>
        <w:tc>
          <w:tcPr>
            <w:tcW w:w="725" w:type="dxa"/>
            <w:tcBorders>
              <w:top w:val="single" w:sz="6" w:space="0" w:color="auto"/>
              <w:left w:val="single" w:sz="12" w:space="0" w:color="auto"/>
              <w:bottom w:val="single" w:sz="12" w:space="0" w:color="auto"/>
            </w:tcBorders>
          </w:tcPr>
          <w:p w:rsidR="00CA1403" w:rsidRPr="00844548" w:rsidRDefault="00CA1403" w:rsidP="002C5AAA">
            <w:pPr>
              <w:jc w:val="center"/>
              <w:rPr>
                <w:sz w:val="20"/>
                <w:szCs w:val="20"/>
              </w:rPr>
            </w:pPr>
            <w:r w:rsidRPr="00844548">
              <w:rPr>
                <w:sz w:val="20"/>
                <w:szCs w:val="20"/>
              </w:rPr>
              <w:t>Počet</w:t>
            </w:r>
          </w:p>
        </w:tc>
        <w:tc>
          <w:tcPr>
            <w:tcW w:w="566" w:type="dxa"/>
            <w:tcBorders>
              <w:top w:val="single" w:sz="6" w:space="0" w:color="auto"/>
              <w:bottom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w:t>
            </w:r>
          </w:p>
        </w:tc>
        <w:tc>
          <w:tcPr>
            <w:tcW w:w="664" w:type="dxa"/>
            <w:tcBorders>
              <w:left w:val="single" w:sz="12" w:space="0" w:color="auto"/>
              <w:bottom w:val="single" w:sz="12" w:space="0" w:color="auto"/>
            </w:tcBorders>
          </w:tcPr>
          <w:p w:rsidR="00CA1403" w:rsidRPr="00844548" w:rsidRDefault="00CA1403" w:rsidP="002C5AAA">
            <w:pPr>
              <w:jc w:val="center"/>
              <w:rPr>
                <w:sz w:val="20"/>
                <w:szCs w:val="20"/>
              </w:rPr>
            </w:pPr>
            <w:r w:rsidRPr="00844548">
              <w:rPr>
                <w:sz w:val="20"/>
                <w:szCs w:val="20"/>
              </w:rPr>
              <w:t>Počet</w:t>
            </w:r>
          </w:p>
        </w:tc>
        <w:tc>
          <w:tcPr>
            <w:tcW w:w="567" w:type="dxa"/>
            <w:tcBorders>
              <w:bottom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w:t>
            </w:r>
          </w:p>
        </w:tc>
        <w:tc>
          <w:tcPr>
            <w:tcW w:w="709" w:type="dxa"/>
            <w:tcBorders>
              <w:top w:val="single" w:sz="6" w:space="0" w:color="auto"/>
              <w:left w:val="single" w:sz="12" w:space="0" w:color="auto"/>
              <w:bottom w:val="single" w:sz="12" w:space="0" w:color="auto"/>
            </w:tcBorders>
          </w:tcPr>
          <w:p w:rsidR="00CA1403" w:rsidRPr="00844548" w:rsidRDefault="00CA1403" w:rsidP="002C5AAA">
            <w:pPr>
              <w:jc w:val="center"/>
              <w:rPr>
                <w:sz w:val="20"/>
                <w:szCs w:val="20"/>
              </w:rPr>
            </w:pPr>
            <w:r w:rsidRPr="00844548">
              <w:rPr>
                <w:sz w:val="20"/>
                <w:szCs w:val="20"/>
              </w:rPr>
              <w:t>Počet</w:t>
            </w:r>
          </w:p>
        </w:tc>
        <w:tc>
          <w:tcPr>
            <w:tcW w:w="567" w:type="dxa"/>
            <w:tcBorders>
              <w:top w:val="single" w:sz="6" w:space="0" w:color="auto"/>
              <w:bottom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w:t>
            </w:r>
          </w:p>
        </w:tc>
        <w:tc>
          <w:tcPr>
            <w:tcW w:w="709" w:type="dxa"/>
            <w:tcBorders>
              <w:left w:val="single" w:sz="12" w:space="0" w:color="auto"/>
              <w:bottom w:val="single" w:sz="12" w:space="0" w:color="auto"/>
            </w:tcBorders>
          </w:tcPr>
          <w:p w:rsidR="00CA1403" w:rsidRPr="00844548" w:rsidRDefault="00CA1403" w:rsidP="002C5AAA">
            <w:pPr>
              <w:jc w:val="center"/>
              <w:rPr>
                <w:sz w:val="20"/>
                <w:szCs w:val="20"/>
              </w:rPr>
            </w:pPr>
            <w:r w:rsidRPr="00844548">
              <w:rPr>
                <w:sz w:val="20"/>
                <w:szCs w:val="20"/>
              </w:rPr>
              <w:t>Počet</w:t>
            </w:r>
          </w:p>
        </w:tc>
        <w:tc>
          <w:tcPr>
            <w:tcW w:w="567" w:type="dxa"/>
            <w:tcBorders>
              <w:bottom w:val="single" w:sz="12" w:space="0" w:color="auto"/>
            </w:tcBorders>
          </w:tcPr>
          <w:p w:rsidR="00CA1403" w:rsidRPr="00844548" w:rsidRDefault="00CA1403" w:rsidP="002C5AAA">
            <w:pPr>
              <w:jc w:val="center"/>
              <w:rPr>
                <w:sz w:val="20"/>
                <w:szCs w:val="20"/>
              </w:rPr>
            </w:pPr>
            <w:r w:rsidRPr="00844548">
              <w:rPr>
                <w:sz w:val="20"/>
                <w:szCs w:val="20"/>
              </w:rPr>
              <w:t>%</w:t>
            </w:r>
          </w:p>
        </w:tc>
      </w:tr>
      <w:tr w:rsidR="00CA1403" w:rsidRPr="00844548" w:rsidTr="002C5AAA">
        <w:trPr>
          <w:jc w:val="center"/>
        </w:trPr>
        <w:tc>
          <w:tcPr>
            <w:tcW w:w="1279" w:type="dxa"/>
            <w:tcBorders>
              <w:top w:val="single" w:sz="6" w:space="0" w:color="auto"/>
              <w:bottom w:val="nil"/>
              <w:right w:val="single" w:sz="12" w:space="0" w:color="auto"/>
            </w:tcBorders>
            <w:shd w:val="clear" w:color="auto" w:fill="auto"/>
          </w:tcPr>
          <w:p w:rsidR="00CA1403" w:rsidRPr="00844548" w:rsidRDefault="00CA1403" w:rsidP="002C5AAA">
            <w:pPr>
              <w:spacing w:before="60" w:after="60"/>
              <w:rPr>
                <w:sz w:val="20"/>
                <w:szCs w:val="20"/>
              </w:rPr>
            </w:pPr>
            <w:r>
              <w:rPr>
                <w:sz w:val="20"/>
                <w:szCs w:val="20"/>
              </w:rPr>
              <w:t>Úroveň 1</w:t>
            </w:r>
          </w:p>
        </w:tc>
        <w:tc>
          <w:tcPr>
            <w:tcW w:w="705"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180</w:t>
            </w:r>
          </w:p>
        </w:tc>
        <w:tc>
          <w:tcPr>
            <w:tcW w:w="582"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69</w:t>
            </w:r>
          </w:p>
        </w:tc>
        <w:tc>
          <w:tcPr>
            <w:tcW w:w="724"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170</w:t>
            </w:r>
          </w:p>
        </w:tc>
        <w:tc>
          <w:tcPr>
            <w:tcW w:w="566"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75,2</w:t>
            </w:r>
          </w:p>
        </w:tc>
        <w:tc>
          <w:tcPr>
            <w:tcW w:w="725"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231</w:t>
            </w:r>
          </w:p>
        </w:tc>
        <w:tc>
          <w:tcPr>
            <w:tcW w:w="566"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78,5</w:t>
            </w:r>
          </w:p>
        </w:tc>
        <w:tc>
          <w:tcPr>
            <w:tcW w:w="664"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75</w:t>
            </w:r>
          </w:p>
        </w:tc>
        <w:tc>
          <w:tcPr>
            <w:tcW w:w="567"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75</w:t>
            </w:r>
          </w:p>
        </w:tc>
        <w:tc>
          <w:tcPr>
            <w:tcW w:w="709"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278</w:t>
            </w:r>
          </w:p>
        </w:tc>
        <w:tc>
          <w:tcPr>
            <w:tcW w:w="567"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79,9</w:t>
            </w:r>
          </w:p>
        </w:tc>
        <w:tc>
          <w:tcPr>
            <w:tcW w:w="709"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934</w:t>
            </w:r>
          </w:p>
        </w:tc>
        <w:tc>
          <w:tcPr>
            <w:tcW w:w="567" w:type="dxa"/>
            <w:tcBorders>
              <w:top w:val="single" w:sz="12" w:space="0" w:color="auto"/>
              <w:left w:val="single" w:sz="12" w:space="0" w:color="auto"/>
              <w:bottom w:val="single" w:sz="12" w:space="0" w:color="auto"/>
            </w:tcBorders>
          </w:tcPr>
          <w:p w:rsidR="00CA1403" w:rsidRPr="00844548" w:rsidRDefault="00CA1403" w:rsidP="002C5AAA">
            <w:pPr>
              <w:spacing w:before="60" w:after="60"/>
              <w:jc w:val="both"/>
              <w:rPr>
                <w:sz w:val="20"/>
                <w:szCs w:val="20"/>
              </w:rPr>
            </w:pPr>
            <w:r>
              <w:rPr>
                <w:sz w:val="20"/>
                <w:szCs w:val="20"/>
              </w:rPr>
              <w:t>76</w:t>
            </w:r>
          </w:p>
        </w:tc>
      </w:tr>
      <w:tr w:rsidR="00CA1403" w:rsidRPr="00844548" w:rsidTr="002C5AAA">
        <w:trPr>
          <w:jc w:val="center"/>
        </w:trPr>
        <w:tc>
          <w:tcPr>
            <w:tcW w:w="1279" w:type="dxa"/>
            <w:tcBorders>
              <w:top w:val="nil"/>
              <w:bottom w:val="nil"/>
              <w:right w:val="single" w:sz="12" w:space="0" w:color="auto"/>
            </w:tcBorders>
            <w:shd w:val="clear" w:color="auto" w:fill="auto"/>
          </w:tcPr>
          <w:p w:rsidR="00CA1403" w:rsidRPr="00844548" w:rsidRDefault="007E079C" w:rsidP="002C5AAA">
            <w:pPr>
              <w:spacing w:before="60" w:after="60"/>
              <w:rPr>
                <w:sz w:val="20"/>
                <w:szCs w:val="20"/>
              </w:rPr>
            </w:pPr>
            <w:r>
              <w:rPr>
                <w:sz w:val="20"/>
                <w:szCs w:val="20"/>
              </w:rPr>
              <w:t>Úroveň</w:t>
            </w:r>
            <w:r w:rsidR="00CA1403">
              <w:rPr>
                <w:sz w:val="20"/>
                <w:szCs w:val="20"/>
              </w:rPr>
              <w:t xml:space="preserve"> 2</w:t>
            </w:r>
          </w:p>
        </w:tc>
        <w:tc>
          <w:tcPr>
            <w:tcW w:w="705"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68</w:t>
            </w:r>
          </w:p>
        </w:tc>
        <w:tc>
          <w:tcPr>
            <w:tcW w:w="582"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26</w:t>
            </w:r>
          </w:p>
        </w:tc>
        <w:tc>
          <w:tcPr>
            <w:tcW w:w="724"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46</w:t>
            </w:r>
          </w:p>
        </w:tc>
        <w:tc>
          <w:tcPr>
            <w:tcW w:w="566"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20,4</w:t>
            </w:r>
          </w:p>
        </w:tc>
        <w:tc>
          <w:tcPr>
            <w:tcW w:w="725"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49</w:t>
            </w:r>
          </w:p>
        </w:tc>
        <w:tc>
          <w:tcPr>
            <w:tcW w:w="566"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16,7</w:t>
            </w:r>
          </w:p>
        </w:tc>
        <w:tc>
          <w:tcPr>
            <w:tcW w:w="664"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20</w:t>
            </w:r>
          </w:p>
        </w:tc>
        <w:tc>
          <w:tcPr>
            <w:tcW w:w="567"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20</w:t>
            </w:r>
          </w:p>
        </w:tc>
        <w:tc>
          <w:tcPr>
            <w:tcW w:w="709"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60</w:t>
            </w:r>
          </w:p>
        </w:tc>
        <w:tc>
          <w:tcPr>
            <w:tcW w:w="567"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17,2</w:t>
            </w:r>
          </w:p>
        </w:tc>
        <w:tc>
          <w:tcPr>
            <w:tcW w:w="709"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243</w:t>
            </w:r>
          </w:p>
        </w:tc>
        <w:tc>
          <w:tcPr>
            <w:tcW w:w="567" w:type="dxa"/>
            <w:tcBorders>
              <w:top w:val="single" w:sz="12" w:space="0" w:color="auto"/>
              <w:left w:val="single" w:sz="12" w:space="0" w:color="auto"/>
              <w:bottom w:val="single" w:sz="12" w:space="0" w:color="auto"/>
            </w:tcBorders>
          </w:tcPr>
          <w:p w:rsidR="00CA1403" w:rsidRPr="00844548" w:rsidRDefault="00CA1403" w:rsidP="002C5AAA">
            <w:pPr>
              <w:spacing w:before="60" w:after="60"/>
              <w:jc w:val="both"/>
              <w:rPr>
                <w:sz w:val="20"/>
                <w:szCs w:val="20"/>
              </w:rPr>
            </w:pPr>
            <w:r>
              <w:rPr>
                <w:sz w:val="20"/>
                <w:szCs w:val="20"/>
              </w:rPr>
              <w:t>19,8</w:t>
            </w:r>
          </w:p>
        </w:tc>
      </w:tr>
      <w:tr w:rsidR="00CA1403" w:rsidRPr="00844548" w:rsidTr="002C5AAA">
        <w:trPr>
          <w:jc w:val="center"/>
        </w:trPr>
        <w:tc>
          <w:tcPr>
            <w:tcW w:w="1279" w:type="dxa"/>
            <w:tcBorders>
              <w:top w:val="nil"/>
              <w:bottom w:val="nil"/>
              <w:right w:val="single" w:sz="12" w:space="0" w:color="auto"/>
            </w:tcBorders>
          </w:tcPr>
          <w:p w:rsidR="00CA1403" w:rsidRPr="00844548" w:rsidRDefault="00CA1403" w:rsidP="002C5AAA">
            <w:pPr>
              <w:spacing w:before="60" w:after="60"/>
              <w:rPr>
                <w:sz w:val="20"/>
                <w:szCs w:val="20"/>
              </w:rPr>
            </w:pPr>
            <w:r>
              <w:rPr>
                <w:sz w:val="20"/>
                <w:szCs w:val="20"/>
              </w:rPr>
              <w:t>Úroveň 3</w:t>
            </w:r>
          </w:p>
        </w:tc>
        <w:tc>
          <w:tcPr>
            <w:tcW w:w="705"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13</w:t>
            </w:r>
          </w:p>
        </w:tc>
        <w:tc>
          <w:tcPr>
            <w:tcW w:w="582"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5</w:t>
            </w:r>
          </w:p>
        </w:tc>
        <w:tc>
          <w:tcPr>
            <w:tcW w:w="724"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10</w:t>
            </w:r>
          </w:p>
        </w:tc>
        <w:tc>
          <w:tcPr>
            <w:tcW w:w="566"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4,4</w:t>
            </w:r>
          </w:p>
        </w:tc>
        <w:tc>
          <w:tcPr>
            <w:tcW w:w="725"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14</w:t>
            </w:r>
          </w:p>
        </w:tc>
        <w:tc>
          <w:tcPr>
            <w:tcW w:w="566"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4,8</w:t>
            </w:r>
          </w:p>
        </w:tc>
        <w:tc>
          <w:tcPr>
            <w:tcW w:w="664"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5</w:t>
            </w:r>
          </w:p>
        </w:tc>
        <w:tc>
          <w:tcPr>
            <w:tcW w:w="567"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5</w:t>
            </w:r>
          </w:p>
        </w:tc>
        <w:tc>
          <w:tcPr>
            <w:tcW w:w="709"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10</w:t>
            </w:r>
          </w:p>
        </w:tc>
        <w:tc>
          <w:tcPr>
            <w:tcW w:w="567"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2,9</w:t>
            </w:r>
          </w:p>
        </w:tc>
        <w:tc>
          <w:tcPr>
            <w:tcW w:w="709"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52</w:t>
            </w:r>
          </w:p>
        </w:tc>
        <w:tc>
          <w:tcPr>
            <w:tcW w:w="567" w:type="dxa"/>
            <w:tcBorders>
              <w:top w:val="single" w:sz="12" w:space="0" w:color="auto"/>
              <w:left w:val="single" w:sz="12" w:space="0" w:color="auto"/>
              <w:bottom w:val="single" w:sz="12" w:space="0" w:color="auto"/>
            </w:tcBorders>
          </w:tcPr>
          <w:p w:rsidR="00CA1403" w:rsidRPr="00844548" w:rsidRDefault="00CA1403" w:rsidP="002C5AAA">
            <w:pPr>
              <w:spacing w:before="60" w:after="60"/>
              <w:jc w:val="both"/>
              <w:rPr>
                <w:sz w:val="20"/>
                <w:szCs w:val="20"/>
              </w:rPr>
            </w:pPr>
            <w:r>
              <w:rPr>
                <w:sz w:val="20"/>
                <w:szCs w:val="20"/>
              </w:rPr>
              <w:t>4,2</w:t>
            </w:r>
          </w:p>
        </w:tc>
      </w:tr>
      <w:tr w:rsidR="00CA1403" w:rsidRPr="00844548" w:rsidTr="002C5AAA">
        <w:trPr>
          <w:jc w:val="center"/>
        </w:trPr>
        <w:tc>
          <w:tcPr>
            <w:tcW w:w="1279" w:type="dxa"/>
            <w:tcBorders>
              <w:top w:val="single" w:sz="6" w:space="0" w:color="auto"/>
              <w:right w:val="single" w:sz="12" w:space="0" w:color="auto"/>
            </w:tcBorders>
          </w:tcPr>
          <w:p w:rsidR="00CA1403" w:rsidRPr="00844548" w:rsidRDefault="00CA1403" w:rsidP="002C5AAA">
            <w:pPr>
              <w:rPr>
                <w:sz w:val="20"/>
                <w:szCs w:val="20"/>
              </w:rPr>
            </w:pPr>
            <w:r w:rsidRPr="00844548">
              <w:rPr>
                <w:sz w:val="20"/>
                <w:szCs w:val="20"/>
              </w:rPr>
              <w:t>Celkem</w:t>
            </w:r>
          </w:p>
        </w:tc>
        <w:tc>
          <w:tcPr>
            <w:tcW w:w="705" w:type="dxa"/>
            <w:tcBorders>
              <w:top w:val="single" w:sz="12" w:space="0" w:color="auto"/>
              <w:left w:val="single" w:sz="12" w:space="0" w:color="auto"/>
              <w:bottom w:val="single" w:sz="12" w:space="0" w:color="auto"/>
            </w:tcBorders>
          </w:tcPr>
          <w:p w:rsidR="00CA1403" w:rsidRPr="00844548" w:rsidRDefault="00CA1403" w:rsidP="002C5AAA">
            <w:pPr>
              <w:jc w:val="both"/>
              <w:rPr>
                <w:sz w:val="20"/>
                <w:szCs w:val="20"/>
              </w:rPr>
            </w:pPr>
            <w:r>
              <w:rPr>
                <w:sz w:val="20"/>
                <w:szCs w:val="20"/>
              </w:rPr>
              <w:t>261</w:t>
            </w:r>
          </w:p>
        </w:tc>
        <w:tc>
          <w:tcPr>
            <w:tcW w:w="582" w:type="dxa"/>
            <w:tcBorders>
              <w:top w:val="single" w:sz="12" w:space="0" w:color="auto"/>
              <w:bottom w:val="single" w:sz="12" w:space="0" w:color="auto"/>
              <w:right w:val="single" w:sz="12" w:space="0" w:color="auto"/>
            </w:tcBorders>
          </w:tcPr>
          <w:p w:rsidR="00CA1403" w:rsidRPr="00844548" w:rsidRDefault="00CA1403" w:rsidP="002C5AAA">
            <w:pPr>
              <w:jc w:val="both"/>
              <w:rPr>
                <w:sz w:val="20"/>
                <w:szCs w:val="20"/>
              </w:rPr>
            </w:pPr>
            <w:r w:rsidRPr="00844548">
              <w:rPr>
                <w:sz w:val="20"/>
                <w:szCs w:val="20"/>
              </w:rPr>
              <w:t>100</w:t>
            </w:r>
          </w:p>
        </w:tc>
        <w:tc>
          <w:tcPr>
            <w:tcW w:w="724" w:type="dxa"/>
            <w:tcBorders>
              <w:top w:val="single" w:sz="12" w:space="0" w:color="auto"/>
              <w:left w:val="single" w:sz="12" w:space="0" w:color="auto"/>
            </w:tcBorders>
          </w:tcPr>
          <w:p w:rsidR="00CA1403" w:rsidRPr="00844548" w:rsidRDefault="00CA1403" w:rsidP="002C5AAA">
            <w:pPr>
              <w:jc w:val="both"/>
              <w:rPr>
                <w:sz w:val="20"/>
                <w:szCs w:val="20"/>
              </w:rPr>
            </w:pPr>
            <w:r>
              <w:rPr>
                <w:sz w:val="20"/>
                <w:szCs w:val="20"/>
              </w:rPr>
              <w:t>226</w:t>
            </w:r>
          </w:p>
        </w:tc>
        <w:tc>
          <w:tcPr>
            <w:tcW w:w="566" w:type="dxa"/>
            <w:tcBorders>
              <w:top w:val="single" w:sz="12" w:space="0" w:color="auto"/>
              <w:right w:val="single" w:sz="12" w:space="0" w:color="auto"/>
            </w:tcBorders>
          </w:tcPr>
          <w:p w:rsidR="00CA1403" w:rsidRPr="00844548" w:rsidRDefault="00CA1403" w:rsidP="002C5AAA">
            <w:pPr>
              <w:jc w:val="both"/>
              <w:rPr>
                <w:sz w:val="20"/>
                <w:szCs w:val="20"/>
              </w:rPr>
            </w:pPr>
            <w:r w:rsidRPr="00844548">
              <w:rPr>
                <w:sz w:val="20"/>
                <w:szCs w:val="20"/>
              </w:rPr>
              <w:t>100</w:t>
            </w:r>
          </w:p>
        </w:tc>
        <w:tc>
          <w:tcPr>
            <w:tcW w:w="725" w:type="dxa"/>
            <w:tcBorders>
              <w:top w:val="single" w:sz="12" w:space="0" w:color="auto"/>
              <w:left w:val="single" w:sz="12" w:space="0" w:color="auto"/>
              <w:bottom w:val="single" w:sz="12" w:space="0" w:color="auto"/>
            </w:tcBorders>
          </w:tcPr>
          <w:p w:rsidR="00CA1403" w:rsidRPr="00844548" w:rsidRDefault="00CA1403" w:rsidP="002C5AAA">
            <w:pPr>
              <w:jc w:val="both"/>
              <w:rPr>
                <w:sz w:val="20"/>
                <w:szCs w:val="20"/>
              </w:rPr>
            </w:pPr>
            <w:r>
              <w:rPr>
                <w:sz w:val="20"/>
                <w:szCs w:val="20"/>
              </w:rPr>
              <w:t>294</w:t>
            </w:r>
          </w:p>
        </w:tc>
        <w:tc>
          <w:tcPr>
            <w:tcW w:w="566" w:type="dxa"/>
            <w:tcBorders>
              <w:top w:val="single" w:sz="12" w:space="0" w:color="auto"/>
              <w:bottom w:val="single" w:sz="12" w:space="0" w:color="auto"/>
              <w:right w:val="single" w:sz="12" w:space="0" w:color="auto"/>
            </w:tcBorders>
          </w:tcPr>
          <w:p w:rsidR="00CA1403" w:rsidRPr="00844548" w:rsidRDefault="00CA1403" w:rsidP="002C5AAA">
            <w:pPr>
              <w:jc w:val="both"/>
              <w:rPr>
                <w:sz w:val="20"/>
                <w:szCs w:val="20"/>
              </w:rPr>
            </w:pPr>
            <w:r w:rsidRPr="00844548">
              <w:rPr>
                <w:sz w:val="20"/>
                <w:szCs w:val="20"/>
              </w:rPr>
              <w:t>100</w:t>
            </w:r>
          </w:p>
        </w:tc>
        <w:tc>
          <w:tcPr>
            <w:tcW w:w="664" w:type="dxa"/>
            <w:tcBorders>
              <w:top w:val="single" w:sz="12" w:space="0" w:color="auto"/>
              <w:left w:val="single" w:sz="12" w:space="0" w:color="auto"/>
            </w:tcBorders>
          </w:tcPr>
          <w:p w:rsidR="00CA1403" w:rsidRPr="00844548" w:rsidRDefault="00CA1403" w:rsidP="002C5AAA">
            <w:pPr>
              <w:jc w:val="both"/>
              <w:rPr>
                <w:sz w:val="20"/>
                <w:szCs w:val="20"/>
              </w:rPr>
            </w:pPr>
            <w:r>
              <w:rPr>
                <w:sz w:val="20"/>
                <w:szCs w:val="20"/>
              </w:rPr>
              <w:t>100</w:t>
            </w:r>
          </w:p>
        </w:tc>
        <w:tc>
          <w:tcPr>
            <w:tcW w:w="567" w:type="dxa"/>
            <w:tcBorders>
              <w:top w:val="single" w:sz="12" w:space="0" w:color="auto"/>
              <w:right w:val="single" w:sz="12" w:space="0" w:color="auto"/>
            </w:tcBorders>
          </w:tcPr>
          <w:p w:rsidR="00CA1403" w:rsidRPr="00844548" w:rsidRDefault="00CA1403" w:rsidP="002C5AAA">
            <w:pPr>
              <w:jc w:val="both"/>
              <w:rPr>
                <w:sz w:val="20"/>
                <w:szCs w:val="20"/>
              </w:rPr>
            </w:pPr>
            <w:r w:rsidRPr="00844548">
              <w:rPr>
                <w:sz w:val="20"/>
                <w:szCs w:val="20"/>
              </w:rPr>
              <w:t>100</w:t>
            </w:r>
          </w:p>
        </w:tc>
        <w:tc>
          <w:tcPr>
            <w:tcW w:w="709" w:type="dxa"/>
            <w:tcBorders>
              <w:top w:val="single" w:sz="12" w:space="0" w:color="auto"/>
              <w:left w:val="single" w:sz="12" w:space="0" w:color="auto"/>
              <w:bottom w:val="single" w:sz="12" w:space="0" w:color="auto"/>
            </w:tcBorders>
          </w:tcPr>
          <w:p w:rsidR="00CA1403" w:rsidRPr="00844548" w:rsidRDefault="00CA1403" w:rsidP="002C5AAA">
            <w:pPr>
              <w:jc w:val="both"/>
              <w:rPr>
                <w:sz w:val="20"/>
                <w:szCs w:val="20"/>
              </w:rPr>
            </w:pPr>
            <w:r>
              <w:rPr>
                <w:sz w:val="20"/>
                <w:szCs w:val="20"/>
              </w:rPr>
              <w:t>348</w:t>
            </w:r>
          </w:p>
        </w:tc>
        <w:tc>
          <w:tcPr>
            <w:tcW w:w="567" w:type="dxa"/>
            <w:tcBorders>
              <w:top w:val="single" w:sz="12" w:space="0" w:color="auto"/>
              <w:bottom w:val="single" w:sz="12" w:space="0" w:color="auto"/>
              <w:right w:val="single" w:sz="12" w:space="0" w:color="auto"/>
            </w:tcBorders>
          </w:tcPr>
          <w:p w:rsidR="00CA1403" w:rsidRPr="00844548" w:rsidRDefault="00CA1403" w:rsidP="002C5AAA">
            <w:pPr>
              <w:jc w:val="both"/>
              <w:rPr>
                <w:sz w:val="20"/>
                <w:szCs w:val="20"/>
              </w:rPr>
            </w:pPr>
            <w:r w:rsidRPr="00844548">
              <w:rPr>
                <w:sz w:val="20"/>
                <w:szCs w:val="20"/>
              </w:rPr>
              <w:t>100</w:t>
            </w:r>
          </w:p>
        </w:tc>
        <w:tc>
          <w:tcPr>
            <w:tcW w:w="709" w:type="dxa"/>
            <w:tcBorders>
              <w:top w:val="single" w:sz="12" w:space="0" w:color="auto"/>
              <w:left w:val="single" w:sz="12" w:space="0" w:color="auto"/>
            </w:tcBorders>
          </w:tcPr>
          <w:p w:rsidR="00CA1403" w:rsidRPr="00844548" w:rsidRDefault="00CA1403" w:rsidP="002C5AAA">
            <w:pPr>
              <w:jc w:val="both"/>
              <w:rPr>
                <w:sz w:val="20"/>
                <w:szCs w:val="20"/>
              </w:rPr>
            </w:pPr>
            <w:r>
              <w:rPr>
                <w:sz w:val="20"/>
                <w:szCs w:val="20"/>
              </w:rPr>
              <w:t>1229</w:t>
            </w:r>
          </w:p>
        </w:tc>
        <w:tc>
          <w:tcPr>
            <w:tcW w:w="567" w:type="dxa"/>
            <w:tcBorders>
              <w:top w:val="single" w:sz="12" w:space="0" w:color="auto"/>
            </w:tcBorders>
          </w:tcPr>
          <w:p w:rsidR="00CA1403" w:rsidRPr="00844548" w:rsidRDefault="00CA1403" w:rsidP="002C5AAA">
            <w:pPr>
              <w:jc w:val="both"/>
              <w:rPr>
                <w:sz w:val="20"/>
                <w:szCs w:val="20"/>
              </w:rPr>
            </w:pPr>
            <w:r w:rsidRPr="00844548">
              <w:rPr>
                <w:sz w:val="20"/>
                <w:szCs w:val="20"/>
              </w:rPr>
              <w:t>100</w:t>
            </w:r>
          </w:p>
        </w:tc>
      </w:tr>
    </w:tbl>
    <w:p w:rsidR="00CA1403" w:rsidRDefault="00CA1403" w:rsidP="00CA1403">
      <w:pPr>
        <w:autoSpaceDE w:val="0"/>
        <w:autoSpaceDN w:val="0"/>
        <w:adjustRightInd w:val="0"/>
        <w:spacing w:line="320" w:lineRule="atLeast"/>
        <w:ind w:left="60" w:right="60"/>
        <w:jc w:val="center"/>
        <w:rPr>
          <w:rFonts w:ascii="Arial" w:hAnsi="Arial" w:cs="Arial"/>
          <w:b/>
          <w:bCs/>
          <w:color w:val="000000"/>
          <w:sz w:val="18"/>
          <w:szCs w:val="18"/>
        </w:rPr>
      </w:pPr>
    </w:p>
    <w:p w:rsidR="00CA1403" w:rsidRPr="00FB20B9" w:rsidRDefault="00CA1403" w:rsidP="00CA1403">
      <w:pPr>
        <w:pStyle w:val="Titulek"/>
        <w:keepNext/>
        <w:rPr>
          <w:b w:val="0"/>
          <w:sz w:val="24"/>
        </w:rPr>
      </w:pPr>
      <w:bookmarkStart w:id="100" w:name="_Toc399013074"/>
      <w:r w:rsidRPr="00FB20B9">
        <w:rPr>
          <w:b w:val="0"/>
          <w:sz w:val="24"/>
        </w:rPr>
        <w:t xml:space="preserve">Tabulka </w:t>
      </w:r>
      <w:r w:rsidR="003818A1" w:rsidRPr="00FB20B9">
        <w:rPr>
          <w:b w:val="0"/>
          <w:sz w:val="24"/>
        </w:rPr>
        <w:fldChar w:fldCharType="begin"/>
      </w:r>
      <w:r w:rsidRPr="00FB20B9">
        <w:rPr>
          <w:b w:val="0"/>
          <w:sz w:val="24"/>
        </w:rPr>
        <w:instrText xml:space="preserve"> SEQ Tabulka \* ARABIC </w:instrText>
      </w:r>
      <w:r w:rsidR="003818A1" w:rsidRPr="00FB20B9">
        <w:rPr>
          <w:b w:val="0"/>
          <w:sz w:val="24"/>
        </w:rPr>
        <w:fldChar w:fldCharType="separate"/>
      </w:r>
      <w:r>
        <w:rPr>
          <w:b w:val="0"/>
          <w:noProof/>
          <w:sz w:val="24"/>
        </w:rPr>
        <w:t>10</w:t>
      </w:r>
      <w:bookmarkEnd w:id="100"/>
      <w:r w:rsidR="003818A1" w:rsidRPr="00FB20B9">
        <w:rPr>
          <w:b w:val="0"/>
          <w:sz w:val="24"/>
        </w:rPr>
        <w:fldChar w:fldCharType="end"/>
      </w:r>
    </w:p>
    <w:p w:rsidR="00CA1403" w:rsidRPr="004A0F52" w:rsidRDefault="00CA1403" w:rsidP="00CA1403">
      <w:pPr>
        <w:widowControl w:val="0"/>
        <w:autoSpaceDE w:val="0"/>
        <w:autoSpaceDN w:val="0"/>
        <w:adjustRightInd w:val="0"/>
        <w:rPr>
          <w:rFonts w:eastAsiaTheme="minorEastAsia"/>
          <w:i/>
        </w:rPr>
      </w:pPr>
      <w:r w:rsidRPr="004A0F52">
        <w:rPr>
          <w:rFonts w:eastAsiaTheme="minorEastAsia"/>
          <w:i/>
        </w:rPr>
        <w:t>Zastoupení jednotlivých úrovní dimenze komplexity ve zkoumaných učebnicích</w:t>
      </w:r>
    </w:p>
    <w:p w:rsidR="00CA1403" w:rsidRDefault="00CA1403" w:rsidP="00CA1403">
      <w:pPr>
        <w:autoSpaceDE w:val="0"/>
        <w:autoSpaceDN w:val="0"/>
        <w:adjustRightInd w:val="0"/>
        <w:spacing w:line="320" w:lineRule="atLeast"/>
        <w:ind w:left="60" w:right="60"/>
        <w:jc w:val="center"/>
        <w:rPr>
          <w:rFonts w:ascii="Arial" w:hAnsi="Arial" w:cs="Arial"/>
          <w:b/>
          <w:bCs/>
          <w:color w:val="000000"/>
          <w:sz w:val="18"/>
          <w:szCs w:val="18"/>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279"/>
        <w:gridCol w:w="705"/>
        <w:gridCol w:w="582"/>
        <w:gridCol w:w="724"/>
        <w:gridCol w:w="566"/>
        <w:gridCol w:w="725"/>
        <w:gridCol w:w="566"/>
        <w:gridCol w:w="664"/>
        <w:gridCol w:w="567"/>
        <w:gridCol w:w="709"/>
        <w:gridCol w:w="567"/>
        <w:gridCol w:w="709"/>
        <w:gridCol w:w="567"/>
      </w:tblGrid>
      <w:tr w:rsidR="00CA1403" w:rsidRPr="00844548" w:rsidTr="002C5AAA">
        <w:trPr>
          <w:jc w:val="center"/>
        </w:trPr>
        <w:tc>
          <w:tcPr>
            <w:tcW w:w="1279" w:type="dxa"/>
            <w:vMerge w:val="restart"/>
            <w:tcBorders>
              <w:right w:val="single" w:sz="12" w:space="0" w:color="auto"/>
            </w:tcBorders>
          </w:tcPr>
          <w:p w:rsidR="00CA1403" w:rsidRPr="00844548" w:rsidRDefault="00CA1403" w:rsidP="002C5AAA">
            <w:pPr>
              <w:jc w:val="both"/>
              <w:rPr>
                <w:sz w:val="20"/>
                <w:szCs w:val="20"/>
              </w:rPr>
            </w:pPr>
            <w:r>
              <w:rPr>
                <w:sz w:val="20"/>
                <w:szCs w:val="20"/>
              </w:rPr>
              <w:t>Komplexita</w:t>
            </w:r>
          </w:p>
        </w:tc>
        <w:tc>
          <w:tcPr>
            <w:tcW w:w="1287" w:type="dxa"/>
            <w:gridSpan w:val="2"/>
            <w:tcBorders>
              <w:top w:val="single" w:sz="12" w:space="0" w:color="auto"/>
              <w:left w:val="single" w:sz="12" w:space="0" w:color="auto"/>
              <w:bottom w:val="single" w:sz="6" w:space="0" w:color="auto"/>
              <w:right w:val="single" w:sz="12" w:space="0" w:color="auto"/>
            </w:tcBorders>
          </w:tcPr>
          <w:p w:rsidR="00CA1403" w:rsidRPr="00844548" w:rsidRDefault="00CA1403" w:rsidP="002C5AAA">
            <w:pPr>
              <w:jc w:val="center"/>
              <w:rPr>
                <w:sz w:val="20"/>
                <w:szCs w:val="20"/>
              </w:rPr>
            </w:pPr>
            <w:r w:rsidRPr="00844548">
              <w:rPr>
                <w:sz w:val="20"/>
                <w:szCs w:val="20"/>
              </w:rPr>
              <w:t>Fraus</w:t>
            </w:r>
          </w:p>
        </w:tc>
        <w:tc>
          <w:tcPr>
            <w:tcW w:w="1290" w:type="dxa"/>
            <w:gridSpan w:val="2"/>
            <w:tcBorders>
              <w:left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NČGS</w:t>
            </w:r>
          </w:p>
        </w:tc>
        <w:tc>
          <w:tcPr>
            <w:tcW w:w="1291" w:type="dxa"/>
            <w:gridSpan w:val="2"/>
            <w:tcBorders>
              <w:top w:val="single" w:sz="12" w:space="0" w:color="auto"/>
              <w:left w:val="single" w:sz="12" w:space="0" w:color="auto"/>
              <w:bottom w:val="single" w:sz="6" w:space="0" w:color="auto"/>
              <w:right w:val="single" w:sz="12" w:space="0" w:color="auto"/>
            </w:tcBorders>
          </w:tcPr>
          <w:p w:rsidR="00CA1403" w:rsidRPr="00844548" w:rsidRDefault="00CA1403" w:rsidP="002C5AAA">
            <w:pPr>
              <w:jc w:val="center"/>
              <w:rPr>
                <w:sz w:val="20"/>
                <w:szCs w:val="20"/>
              </w:rPr>
            </w:pPr>
            <w:r w:rsidRPr="00844548">
              <w:rPr>
                <w:sz w:val="20"/>
                <w:szCs w:val="20"/>
              </w:rPr>
              <w:t>Nová škola</w:t>
            </w:r>
          </w:p>
        </w:tc>
        <w:tc>
          <w:tcPr>
            <w:tcW w:w="1231" w:type="dxa"/>
            <w:gridSpan w:val="2"/>
            <w:tcBorders>
              <w:left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Prodos</w:t>
            </w:r>
          </w:p>
        </w:tc>
        <w:tc>
          <w:tcPr>
            <w:tcW w:w="1276" w:type="dxa"/>
            <w:gridSpan w:val="2"/>
            <w:tcBorders>
              <w:top w:val="single" w:sz="12" w:space="0" w:color="auto"/>
              <w:left w:val="single" w:sz="12" w:space="0" w:color="auto"/>
              <w:bottom w:val="single" w:sz="6" w:space="0" w:color="auto"/>
              <w:right w:val="single" w:sz="12" w:space="0" w:color="auto"/>
            </w:tcBorders>
          </w:tcPr>
          <w:p w:rsidR="00CA1403" w:rsidRPr="00844548" w:rsidRDefault="00CA1403" w:rsidP="002C5AAA">
            <w:pPr>
              <w:jc w:val="center"/>
              <w:rPr>
                <w:sz w:val="20"/>
                <w:szCs w:val="20"/>
              </w:rPr>
            </w:pPr>
            <w:r w:rsidRPr="00844548">
              <w:rPr>
                <w:sz w:val="20"/>
                <w:szCs w:val="20"/>
              </w:rPr>
              <w:t>SPN</w:t>
            </w:r>
          </w:p>
        </w:tc>
        <w:tc>
          <w:tcPr>
            <w:tcW w:w="1276" w:type="dxa"/>
            <w:gridSpan w:val="2"/>
            <w:tcBorders>
              <w:left w:val="single" w:sz="12" w:space="0" w:color="auto"/>
            </w:tcBorders>
          </w:tcPr>
          <w:p w:rsidR="00CA1403" w:rsidRPr="00844548" w:rsidRDefault="00CA1403" w:rsidP="002C5AAA">
            <w:pPr>
              <w:jc w:val="center"/>
              <w:rPr>
                <w:sz w:val="20"/>
                <w:szCs w:val="20"/>
              </w:rPr>
            </w:pPr>
            <w:r w:rsidRPr="00844548">
              <w:rPr>
                <w:sz w:val="20"/>
                <w:szCs w:val="20"/>
              </w:rPr>
              <w:t>Celkem</w:t>
            </w:r>
          </w:p>
        </w:tc>
      </w:tr>
      <w:tr w:rsidR="00CA1403" w:rsidRPr="00844548" w:rsidTr="002C5AAA">
        <w:trPr>
          <w:jc w:val="center"/>
        </w:trPr>
        <w:tc>
          <w:tcPr>
            <w:tcW w:w="1279" w:type="dxa"/>
            <w:vMerge/>
            <w:tcBorders>
              <w:bottom w:val="single" w:sz="6" w:space="0" w:color="auto"/>
              <w:right w:val="single" w:sz="12" w:space="0" w:color="auto"/>
            </w:tcBorders>
          </w:tcPr>
          <w:p w:rsidR="00CA1403" w:rsidRPr="00844548" w:rsidRDefault="00CA1403" w:rsidP="002C5AAA">
            <w:pPr>
              <w:jc w:val="both"/>
              <w:rPr>
                <w:sz w:val="20"/>
                <w:szCs w:val="20"/>
              </w:rPr>
            </w:pPr>
          </w:p>
        </w:tc>
        <w:tc>
          <w:tcPr>
            <w:tcW w:w="705" w:type="dxa"/>
            <w:tcBorders>
              <w:top w:val="single" w:sz="6" w:space="0" w:color="auto"/>
              <w:left w:val="single" w:sz="12" w:space="0" w:color="auto"/>
              <w:bottom w:val="single" w:sz="12" w:space="0" w:color="auto"/>
            </w:tcBorders>
          </w:tcPr>
          <w:p w:rsidR="00CA1403" w:rsidRPr="00844548" w:rsidRDefault="00CA1403" w:rsidP="002C5AAA">
            <w:pPr>
              <w:jc w:val="center"/>
              <w:rPr>
                <w:sz w:val="20"/>
                <w:szCs w:val="20"/>
              </w:rPr>
            </w:pPr>
            <w:r w:rsidRPr="00844548">
              <w:rPr>
                <w:sz w:val="20"/>
                <w:szCs w:val="20"/>
              </w:rPr>
              <w:t>Počet</w:t>
            </w:r>
          </w:p>
        </w:tc>
        <w:tc>
          <w:tcPr>
            <w:tcW w:w="582" w:type="dxa"/>
            <w:tcBorders>
              <w:top w:val="single" w:sz="6" w:space="0" w:color="auto"/>
              <w:bottom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w:t>
            </w:r>
          </w:p>
        </w:tc>
        <w:tc>
          <w:tcPr>
            <w:tcW w:w="724" w:type="dxa"/>
            <w:tcBorders>
              <w:left w:val="single" w:sz="12" w:space="0" w:color="auto"/>
              <w:bottom w:val="single" w:sz="12" w:space="0" w:color="auto"/>
            </w:tcBorders>
          </w:tcPr>
          <w:p w:rsidR="00CA1403" w:rsidRPr="00844548" w:rsidRDefault="00CA1403" w:rsidP="002C5AAA">
            <w:pPr>
              <w:jc w:val="center"/>
              <w:rPr>
                <w:sz w:val="20"/>
                <w:szCs w:val="20"/>
              </w:rPr>
            </w:pPr>
            <w:r w:rsidRPr="00844548">
              <w:rPr>
                <w:sz w:val="20"/>
                <w:szCs w:val="20"/>
              </w:rPr>
              <w:t>Počet</w:t>
            </w:r>
          </w:p>
        </w:tc>
        <w:tc>
          <w:tcPr>
            <w:tcW w:w="566" w:type="dxa"/>
            <w:tcBorders>
              <w:bottom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w:t>
            </w:r>
          </w:p>
        </w:tc>
        <w:tc>
          <w:tcPr>
            <w:tcW w:w="725" w:type="dxa"/>
            <w:tcBorders>
              <w:top w:val="single" w:sz="6" w:space="0" w:color="auto"/>
              <w:left w:val="single" w:sz="12" w:space="0" w:color="auto"/>
              <w:bottom w:val="single" w:sz="12" w:space="0" w:color="auto"/>
            </w:tcBorders>
          </w:tcPr>
          <w:p w:rsidR="00CA1403" w:rsidRPr="00844548" w:rsidRDefault="00CA1403" w:rsidP="002C5AAA">
            <w:pPr>
              <w:jc w:val="center"/>
              <w:rPr>
                <w:sz w:val="20"/>
                <w:szCs w:val="20"/>
              </w:rPr>
            </w:pPr>
            <w:r w:rsidRPr="00844548">
              <w:rPr>
                <w:sz w:val="20"/>
                <w:szCs w:val="20"/>
              </w:rPr>
              <w:t>Počet</w:t>
            </w:r>
          </w:p>
        </w:tc>
        <w:tc>
          <w:tcPr>
            <w:tcW w:w="566" w:type="dxa"/>
            <w:tcBorders>
              <w:top w:val="single" w:sz="6" w:space="0" w:color="auto"/>
              <w:bottom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w:t>
            </w:r>
          </w:p>
        </w:tc>
        <w:tc>
          <w:tcPr>
            <w:tcW w:w="664" w:type="dxa"/>
            <w:tcBorders>
              <w:left w:val="single" w:sz="12" w:space="0" w:color="auto"/>
              <w:bottom w:val="single" w:sz="12" w:space="0" w:color="auto"/>
            </w:tcBorders>
          </w:tcPr>
          <w:p w:rsidR="00CA1403" w:rsidRPr="00844548" w:rsidRDefault="00CA1403" w:rsidP="002C5AAA">
            <w:pPr>
              <w:jc w:val="center"/>
              <w:rPr>
                <w:sz w:val="20"/>
                <w:szCs w:val="20"/>
              </w:rPr>
            </w:pPr>
            <w:r w:rsidRPr="00844548">
              <w:rPr>
                <w:sz w:val="20"/>
                <w:szCs w:val="20"/>
              </w:rPr>
              <w:t>Počet</w:t>
            </w:r>
          </w:p>
        </w:tc>
        <w:tc>
          <w:tcPr>
            <w:tcW w:w="567" w:type="dxa"/>
            <w:tcBorders>
              <w:bottom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w:t>
            </w:r>
          </w:p>
        </w:tc>
        <w:tc>
          <w:tcPr>
            <w:tcW w:w="709" w:type="dxa"/>
            <w:tcBorders>
              <w:top w:val="single" w:sz="6" w:space="0" w:color="auto"/>
              <w:left w:val="single" w:sz="12" w:space="0" w:color="auto"/>
              <w:bottom w:val="single" w:sz="12" w:space="0" w:color="auto"/>
            </w:tcBorders>
          </w:tcPr>
          <w:p w:rsidR="00CA1403" w:rsidRPr="00844548" w:rsidRDefault="00CA1403" w:rsidP="002C5AAA">
            <w:pPr>
              <w:jc w:val="center"/>
              <w:rPr>
                <w:sz w:val="20"/>
                <w:szCs w:val="20"/>
              </w:rPr>
            </w:pPr>
            <w:r w:rsidRPr="00844548">
              <w:rPr>
                <w:sz w:val="20"/>
                <w:szCs w:val="20"/>
              </w:rPr>
              <w:t>Počet</w:t>
            </w:r>
          </w:p>
        </w:tc>
        <w:tc>
          <w:tcPr>
            <w:tcW w:w="567" w:type="dxa"/>
            <w:tcBorders>
              <w:top w:val="single" w:sz="6" w:space="0" w:color="auto"/>
              <w:bottom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w:t>
            </w:r>
          </w:p>
        </w:tc>
        <w:tc>
          <w:tcPr>
            <w:tcW w:w="709" w:type="dxa"/>
            <w:tcBorders>
              <w:left w:val="single" w:sz="12" w:space="0" w:color="auto"/>
              <w:bottom w:val="single" w:sz="12" w:space="0" w:color="auto"/>
            </w:tcBorders>
          </w:tcPr>
          <w:p w:rsidR="00CA1403" w:rsidRPr="00844548" w:rsidRDefault="00CA1403" w:rsidP="002C5AAA">
            <w:pPr>
              <w:jc w:val="center"/>
              <w:rPr>
                <w:sz w:val="20"/>
                <w:szCs w:val="20"/>
              </w:rPr>
            </w:pPr>
            <w:r w:rsidRPr="00844548">
              <w:rPr>
                <w:sz w:val="20"/>
                <w:szCs w:val="20"/>
              </w:rPr>
              <w:t>Počet</w:t>
            </w:r>
          </w:p>
        </w:tc>
        <w:tc>
          <w:tcPr>
            <w:tcW w:w="567" w:type="dxa"/>
            <w:tcBorders>
              <w:bottom w:val="single" w:sz="12" w:space="0" w:color="auto"/>
            </w:tcBorders>
          </w:tcPr>
          <w:p w:rsidR="00CA1403" w:rsidRPr="00844548" w:rsidRDefault="00CA1403" w:rsidP="002C5AAA">
            <w:pPr>
              <w:jc w:val="center"/>
              <w:rPr>
                <w:sz w:val="20"/>
                <w:szCs w:val="20"/>
              </w:rPr>
            </w:pPr>
            <w:r w:rsidRPr="00844548">
              <w:rPr>
                <w:sz w:val="20"/>
                <w:szCs w:val="20"/>
              </w:rPr>
              <w:t>%</w:t>
            </w:r>
          </w:p>
        </w:tc>
      </w:tr>
      <w:tr w:rsidR="00CA1403" w:rsidRPr="00844548" w:rsidTr="002C5AAA">
        <w:trPr>
          <w:jc w:val="center"/>
        </w:trPr>
        <w:tc>
          <w:tcPr>
            <w:tcW w:w="1279" w:type="dxa"/>
            <w:tcBorders>
              <w:top w:val="single" w:sz="6" w:space="0" w:color="auto"/>
              <w:bottom w:val="nil"/>
              <w:right w:val="single" w:sz="12" w:space="0" w:color="auto"/>
            </w:tcBorders>
            <w:shd w:val="clear" w:color="auto" w:fill="auto"/>
          </w:tcPr>
          <w:p w:rsidR="00CA1403" w:rsidRPr="00844548" w:rsidRDefault="00CA1403" w:rsidP="002C5AAA">
            <w:pPr>
              <w:spacing w:before="60" w:after="60"/>
              <w:rPr>
                <w:sz w:val="20"/>
                <w:szCs w:val="20"/>
              </w:rPr>
            </w:pPr>
            <w:r>
              <w:rPr>
                <w:sz w:val="20"/>
                <w:szCs w:val="20"/>
              </w:rPr>
              <w:t>Úroveň 1</w:t>
            </w:r>
          </w:p>
        </w:tc>
        <w:tc>
          <w:tcPr>
            <w:tcW w:w="705"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195</w:t>
            </w:r>
          </w:p>
        </w:tc>
        <w:tc>
          <w:tcPr>
            <w:tcW w:w="582"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74,7</w:t>
            </w:r>
          </w:p>
        </w:tc>
        <w:tc>
          <w:tcPr>
            <w:tcW w:w="724"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170</w:t>
            </w:r>
          </w:p>
        </w:tc>
        <w:tc>
          <w:tcPr>
            <w:tcW w:w="566"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75,2</w:t>
            </w:r>
          </w:p>
        </w:tc>
        <w:tc>
          <w:tcPr>
            <w:tcW w:w="725"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237</w:t>
            </w:r>
          </w:p>
        </w:tc>
        <w:tc>
          <w:tcPr>
            <w:tcW w:w="566"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80,6</w:t>
            </w:r>
          </w:p>
        </w:tc>
        <w:tc>
          <w:tcPr>
            <w:tcW w:w="664"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79</w:t>
            </w:r>
          </w:p>
        </w:tc>
        <w:tc>
          <w:tcPr>
            <w:tcW w:w="567"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79</w:t>
            </w:r>
          </w:p>
        </w:tc>
        <w:tc>
          <w:tcPr>
            <w:tcW w:w="709"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275</w:t>
            </w:r>
          </w:p>
        </w:tc>
        <w:tc>
          <w:tcPr>
            <w:tcW w:w="567"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79</w:t>
            </w:r>
          </w:p>
        </w:tc>
        <w:tc>
          <w:tcPr>
            <w:tcW w:w="709"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956</w:t>
            </w:r>
          </w:p>
        </w:tc>
        <w:tc>
          <w:tcPr>
            <w:tcW w:w="567" w:type="dxa"/>
            <w:tcBorders>
              <w:top w:val="single" w:sz="12" w:space="0" w:color="auto"/>
              <w:left w:val="single" w:sz="12" w:space="0" w:color="auto"/>
              <w:bottom w:val="single" w:sz="12" w:space="0" w:color="auto"/>
            </w:tcBorders>
          </w:tcPr>
          <w:p w:rsidR="00CA1403" w:rsidRPr="00844548" w:rsidRDefault="00CA1403" w:rsidP="002C5AAA">
            <w:pPr>
              <w:spacing w:before="60" w:after="60"/>
              <w:jc w:val="both"/>
              <w:rPr>
                <w:sz w:val="20"/>
                <w:szCs w:val="20"/>
              </w:rPr>
            </w:pPr>
            <w:r>
              <w:rPr>
                <w:sz w:val="20"/>
                <w:szCs w:val="20"/>
              </w:rPr>
              <w:t>77,8</w:t>
            </w:r>
          </w:p>
        </w:tc>
      </w:tr>
      <w:tr w:rsidR="00CA1403" w:rsidRPr="00844548" w:rsidTr="002C5AAA">
        <w:trPr>
          <w:jc w:val="center"/>
        </w:trPr>
        <w:tc>
          <w:tcPr>
            <w:tcW w:w="1279" w:type="dxa"/>
            <w:tcBorders>
              <w:top w:val="nil"/>
              <w:bottom w:val="nil"/>
              <w:right w:val="single" w:sz="12" w:space="0" w:color="auto"/>
            </w:tcBorders>
            <w:shd w:val="clear" w:color="auto" w:fill="auto"/>
          </w:tcPr>
          <w:p w:rsidR="00CA1403" w:rsidRPr="00844548" w:rsidRDefault="007E079C" w:rsidP="002C5AAA">
            <w:pPr>
              <w:spacing w:before="60" w:after="60"/>
              <w:rPr>
                <w:sz w:val="20"/>
                <w:szCs w:val="20"/>
              </w:rPr>
            </w:pPr>
            <w:r>
              <w:rPr>
                <w:sz w:val="20"/>
                <w:szCs w:val="20"/>
              </w:rPr>
              <w:t>Úroveň</w:t>
            </w:r>
            <w:r w:rsidR="00CA1403">
              <w:rPr>
                <w:sz w:val="20"/>
                <w:szCs w:val="20"/>
              </w:rPr>
              <w:t xml:space="preserve"> 2</w:t>
            </w:r>
          </w:p>
        </w:tc>
        <w:tc>
          <w:tcPr>
            <w:tcW w:w="705"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53</w:t>
            </w:r>
          </w:p>
        </w:tc>
        <w:tc>
          <w:tcPr>
            <w:tcW w:w="582"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20,3</w:t>
            </w:r>
          </w:p>
        </w:tc>
        <w:tc>
          <w:tcPr>
            <w:tcW w:w="724"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52</w:t>
            </w:r>
          </w:p>
        </w:tc>
        <w:tc>
          <w:tcPr>
            <w:tcW w:w="566"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23</w:t>
            </w:r>
          </w:p>
        </w:tc>
        <w:tc>
          <w:tcPr>
            <w:tcW w:w="725"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50</w:t>
            </w:r>
          </w:p>
        </w:tc>
        <w:tc>
          <w:tcPr>
            <w:tcW w:w="566"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17</w:t>
            </w:r>
          </w:p>
        </w:tc>
        <w:tc>
          <w:tcPr>
            <w:tcW w:w="664"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20</w:t>
            </w:r>
          </w:p>
        </w:tc>
        <w:tc>
          <w:tcPr>
            <w:tcW w:w="567"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20</w:t>
            </w:r>
          </w:p>
        </w:tc>
        <w:tc>
          <w:tcPr>
            <w:tcW w:w="709"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69</w:t>
            </w:r>
          </w:p>
        </w:tc>
        <w:tc>
          <w:tcPr>
            <w:tcW w:w="567"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19,9</w:t>
            </w:r>
          </w:p>
        </w:tc>
        <w:tc>
          <w:tcPr>
            <w:tcW w:w="709"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244</w:t>
            </w:r>
          </w:p>
        </w:tc>
        <w:tc>
          <w:tcPr>
            <w:tcW w:w="567" w:type="dxa"/>
            <w:tcBorders>
              <w:top w:val="single" w:sz="12" w:space="0" w:color="auto"/>
              <w:left w:val="single" w:sz="12" w:space="0" w:color="auto"/>
              <w:bottom w:val="single" w:sz="12" w:space="0" w:color="auto"/>
            </w:tcBorders>
          </w:tcPr>
          <w:p w:rsidR="00CA1403" w:rsidRPr="00844548" w:rsidRDefault="00CA1403" w:rsidP="002C5AAA">
            <w:pPr>
              <w:spacing w:before="60" w:after="60"/>
              <w:jc w:val="both"/>
              <w:rPr>
                <w:sz w:val="20"/>
                <w:szCs w:val="20"/>
              </w:rPr>
            </w:pPr>
            <w:r>
              <w:rPr>
                <w:sz w:val="20"/>
                <w:szCs w:val="20"/>
              </w:rPr>
              <w:t>19,8</w:t>
            </w:r>
          </w:p>
        </w:tc>
      </w:tr>
      <w:tr w:rsidR="00CA1403" w:rsidRPr="00844548" w:rsidTr="002C5AAA">
        <w:trPr>
          <w:jc w:val="center"/>
        </w:trPr>
        <w:tc>
          <w:tcPr>
            <w:tcW w:w="1279" w:type="dxa"/>
            <w:tcBorders>
              <w:top w:val="nil"/>
              <w:bottom w:val="nil"/>
              <w:right w:val="single" w:sz="12" w:space="0" w:color="auto"/>
            </w:tcBorders>
          </w:tcPr>
          <w:p w:rsidR="00CA1403" w:rsidRPr="00844548" w:rsidRDefault="00CA1403" w:rsidP="002C5AAA">
            <w:pPr>
              <w:spacing w:before="60" w:after="60"/>
              <w:rPr>
                <w:sz w:val="20"/>
                <w:szCs w:val="20"/>
              </w:rPr>
            </w:pPr>
            <w:r>
              <w:rPr>
                <w:sz w:val="20"/>
                <w:szCs w:val="20"/>
              </w:rPr>
              <w:t>Úroveň 3</w:t>
            </w:r>
          </w:p>
        </w:tc>
        <w:tc>
          <w:tcPr>
            <w:tcW w:w="705"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13</w:t>
            </w:r>
          </w:p>
        </w:tc>
        <w:tc>
          <w:tcPr>
            <w:tcW w:w="582"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5</w:t>
            </w:r>
          </w:p>
        </w:tc>
        <w:tc>
          <w:tcPr>
            <w:tcW w:w="724"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4</w:t>
            </w:r>
          </w:p>
        </w:tc>
        <w:tc>
          <w:tcPr>
            <w:tcW w:w="566"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1,8</w:t>
            </w:r>
          </w:p>
        </w:tc>
        <w:tc>
          <w:tcPr>
            <w:tcW w:w="725"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7</w:t>
            </w:r>
          </w:p>
        </w:tc>
        <w:tc>
          <w:tcPr>
            <w:tcW w:w="566"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2,4</w:t>
            </w:r>
          </w:p>
        </w:tc>
        <w:tc>
          <w:tcPr>
            <w:tcW w:w="664"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1</w:t>
            </w:r>
          </w:p>
        </w:tc>
        <w:tc>
          <w:tcPr>
            <w:tcW w:w="567"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1</w:t>
            </w:r>
          </w:p>
        </w:tc>
        <w:tc>
          <w:tcPr>
            <w:tcW w:w="709"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4</w:t>
            </w:r>
          </w:p>
        </w:tc>
        <w:tc>
          <w:tcPr>
            <w:tcW w:w="567"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1,1</w:t>
            </w:r>
          </w:p>
        </w:tc>
        <w:tc>
          <w:tcPr>
            <w:tcW w:w="709"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29</w:t>
            </w:r>
          </w:p>
        </w:tc>
        <w:tc>
          <w:tcPr>
            <w:tcW w:w="567" w:type="dxa"/>
            <w:tcBorders>
              <w:top w:val="single" w:sz="12" w:space="0" w:color="auto"/>
              <w:left w:val="single" w:sz="12" w:space="0" w:color="auto"/>
              <w:bottom w:val="single" w:sz="12" w:space="0" w:color="auto"/>
            </w:tcBorders>
          </w:tcPr>
          <w:p w:rsidR="00CA1403" w:rsidRPr="00844548" w:rsidRDefault="00CA1403" w:rsidP="002C5AAA">
            <w:pPr>
              <w:spacing w:before="60" w:after="60"/>
              <w:jc w:val="both"/>
              <w:rPr>
                <w:sz w:val="20"/>
                <w:szCs w:val="20"/>
              </w:rPr>
            </w:pPr>
            <w:r>
              <w:rPr>
                <w:sz w:val="20"/>
                <w:szCs w:val="20"/>
              </w:rPr>
              <w:t>2,4</w:t>
            </w:r>
          </w:p>
        </w:tc>
      </w:tr>
      <w:tr w:rsidR="00CA1403" w:rsidRPr="00844548" w:rsidTr="002C5AAA">
        <w:trPr>
          <w:jc w:val="center"/>
        </w:trPr>
        <w:tc>
          <w:tcPr>
            <w:tcW w:w="1279" w:type="dxa"/>
            <w:tcBorders>
              <w:top w:val="single" w:sz="6" w:space="0" w:color="auto"/>
              <w:right w:val="single" w:sz="12" w:space="0" w:color="auto"/>
            </w:tcBorders>
          </w:tcPr>
          <w:p w:rsidR="00CA1403" w:rsidRPr="00844548" w:rsidRDefault="00CA1403" w:rsidP="002C5AAA">
            <w:pPr>
              <w:rPr>
                <w:sz w:val="20"/>
                <w:szCs w:val="20"/>
              </w:rPr>
            </w:pPr>
            <w:r w:rsidRPr="00844548">
              <w:rPr>
                <w:sz w:val="20"/>
                <w:szCs w:val="20"/>
              </w:rPr>
              <w:t>Celkem</w:t>
            </w:r>
          </w:p>
        </w:tc>
        <w:tc>
          <w:tcPr>
            <w:tcW w:w="705" w:type="dxa"/>
            <w:tcBorders>
              <w:top w:val="single" w:sz="12" w:space="0" w:color="auto"/>
              <w:left w:val="single" w:sz="12" w:space="0" w:color="auto"/>
              <w:bottom w:val="single" w:sz="12" w:space="0" w:color="auto"/>
            </w:tcBorders>
          </w:tcPr>
          <w:p w:rsidR="00CA1403" w:rsidRPr="00844548" w:rsidRDefault="00CA1403" w:rsidP="002C5AAA">
            <w:pPr>
              <w:jc w:val="both"/>
              <w:rPr>
                <w:sz w:val="20"/>
                <w:szCs w:val="20"/>
              </w:rPr>
            </w:pPr>
            <w:r>
              <w:rPr>
                <w:sz w:val="20"/>
                <w:szCs w:val="20"/>
              </w:rPr>
              <w:t>261</w:t>
            </w:r>
          </w:p>
        </w:tc>
        <w:tc>
          <w:tcPr>
            <w:tcW w:w="582" w:type="dxa"/>
            <w:tcBorders>
              <w:top w:val="single" w:sz="12" w:space="0" w:color="auto"/>
              <w:bottom w:val="single" w:sz="12" w:space="0" w:color="auto"/>
              <w:right w:val="single" w:sz="12" w:space="0" w:color="auto"/>
            </w:tcBorders>
          </w:tcPr>
          <w:p w:rsidR="00CA1403" w:rsidRPr="00844548" w:rsidRDefault="00CA1403" w:rsidP="002C5AAA">
            <w:pPr>
              <w:jc w:val="both"/>
              <w:rPr>
                <w:sz w:val="20"/>
                <w:szCs w:val="20"/>
              </w:rPr>
            </w:pPr>
            <w:r w:rsidRPr="00844548">
              <w:rPr>
                <w:sz w:val="20"/>
                <w:szCs w:val="20"/>
              </w:rPr>
              <w:t>100</w:t>
            </w:r>
          </w:p>
        </w:tc>
        <w:tc>
          <w:tcPr>
            <w:tcW w:w="724" w:type="dxa"/>
            <w:tcBorders>
              <w:top w:val="single" w:sz="12" w:space="0" w:color="auto"/>
              <w:left w:val="single" w:sz="12" w:space="0" w:color="auto"/>
            </w:tcBorders>
          </w:tcPr>
          <w:p w:rsidR="00CA1403" w:rsidRPr="00844548" w:rsidRDefault="00CA1403" w:rsidP="002C5AAA">
            <w:pPr>
              <w:jc w:val="both"/>
              <w:rPr>
                <w:sz w:val="20"/>
                <w:szCs w:val="20"/>
              </w:rPr>
            </w:pPr>
            <w:r>
              <w:rPr>
                <w:sz w:val="20"/>
                <w:szCs w:val="20"/>
              </w:rPr>
              <w:t>226</w:t>
            </w:r>
          </w:p>
        </w:tc>
        <w:tc>
          <w:tcPr>
            <w:tcW w:w="566" w:type="dxa"/>
            <w:tcBorders>
              <w:top w:val="single" w:sz="12" w:space="0" w:color="auto"/>
              <w:right w:val="single" w:sz="12" w:space="0" w:color="auto"/>
            </w:tcBorders>
          </w:tcPr>
          <w:p w:rsidR="00CA1403" w:rsidRPr="00844548" w:rsidRDefault="00CA1403" w:rsidP="002C5AAA">
            <w:pPr>
              <w:jc w:val="both"/>
              <w:rPr>
                <w:sz w:val="20"/>
                <w:szCs w:val="20"/>
              </w:rPr>
            </w:pPr>
            <w:r w:rsidRPr="00844548">
              <w:rPr>
                <w:sz w:val="20"/>
                <w:szCs w:val="20"/>
              </w:rPr>
              <w:t>100</w:t>
            </w:r>
          </w:p>
        </w:tc>
        <w:tc>
          <w:tcPr>
            <w:tcW w:w="725" w:type="dxa"/>
            <w:tcBorders>
              <w:top w:val="single" w:sz="12" w:space="0" w:color="auto"/>
              <w:left w:val="single" w:sz="12" w:space="0" w:color="auto"/>
              <w:bottom w:val="single" w:sz="12" w:space="0" w:color="auto"/>
            </w:tcBorders>
          </w:tcPr>
          <w:p w:rsidR="00CA1403" w:rsidRPr="00844548" w:rsidRDefault="00CA1403" w:rsidP="002C5AAA">
            <w:pPr>
              <w:jc w:val="both"/>
              <w:rPr>
                <w:sz w:val="20"/>
                <w:szCs w:val="20"/>
              </w:rPr>
            </w:pPr>
            <w:r>
              <w:rPr>
                <w:sz w:val="20"/>
                <w:szCs w:val="20"/>
              </w:rPr>
              <w:t>294</w:t>
            </w:r>
          </w:p>
        </w:tc>
        <w:tc>
          <w:tcPr>
            <w:tcW w:w="566" w:type="dxa"/>
            <w:tcBorders>
              <w:top w:val="single" w:sz="12" w:space="0" w:color="auto"/>
              <w:bottom w:val="single" w:sz="12" w:space="0" w:color="auto"/>
              <w:right w:val="single" w:sz="12" w:space="0" w:color="auto"/>
            </w:tcBorders>
          </w:tcPr>
          <w:p w:rsidR="00CA1403" w:rsidRPr="00844548" w:rsidRDefault="00CA1403" w:rsidP="002C5AAA">
            <w:pPr>
              <w:jc w:val="both"/>
              <w:rPr>
                <w:sz w:val="20"/>
                <w:szCs w:val="20"/>
              </w:rPr>
            </w:pPr>
            <w:r w:rsidRPr="00844548">
              <w:rPr>
                <w:sz w:val="20"/>
                <w:szCs w:val="20"/>
              </w:rPr>
              <w:t>100</w:t>
            </w:r>
          </w:p>
        </w:tc>
        <w:tc>
          <w:tcPr>
            <w:tcW w:w="664" w:type="dxa"/>
            <w:tcBorders>
              <w:top w:val="single" w:sz="12" w:space="0" w:color="auto"/>
              <w:left w:val="single" w:sz="12" w:space="0" w:color="auto"/>
            </w:tcBorders>
          </w:tcPr>
          <w:p w:rsidR="00CA1403" w:rsidRPr="00844548" w:rsidRDefault="00CA1403" w:rsidP="002C5AAA">
            <w:pPr>
              <w:jc w:val="both"/>
              <w:rPr>
                <w:sz w:val="20"/>
                <w:szCs w:val="20"/>
              </w:rPr>
            </w:pPr>
            <w:r>
              <w:rPr>
                <w:sz w:val="20"/>
                <w:szCs w:val="20"/>
              </w:rPr>
              <w:t>100</w:t>
            </w:r>
          </w:p>
        </w:tc>
        <w:tc>
          <w:tcPr>
            <w:tcW w:w="567" w:type="dxa"/>
            <w:tcBorders>
              <w:top w:val="single" w:sz="12" w:space="0" w:color="auto"/>
              <w:right w:val="single" w:sz="12" w:space="0" w:color="auto"/>
            </w:tcBorders>
          </w:tcPr>
          <w:p w:rsidR="00CA1403" w:rsidRPr="00844548" w:rsidRDefault="00CA1403" w:rsidP="002C5AAA">
            <w:pPr>
              <w:jc w:val="both"/>
              <w:rPr>
                <w:sz w:val="20"/>
                <w:szCs w:val="20"/>
              </w:rPr>
            </w:pPr>
            <w:r w:rsidRPr="00844548">
              <w:rPr>
                <w:sz w:val="20"/>
                <w:szCs w:val="20"/>
              </w:rPr>
              <w:t>100</w:t>
            </w:r>
          </w:p>
        </w:tc>
        <w:tc>
          <w:tcPr>
            <w:tcW w:w="709" w:type="dxa"/>
            <w:tcBorders>
              <w:top w:val="single" w:sz="12" w:space="0" w:color="auto"/>
              <w:left w:val="single" w:sz="12" w:space="0" w:color="auto"/>
              <w:bottom w:val="single" w:sz="12" w:space="0" w:color="auto"/>
            </w:tcBorders>
          </w:tcPr>
          <w:p w:rsidR="00CA1403" w:rsidRPr="00844548" w:rsidRDefault="00CA1403" w:rsidP="002C5AAA">
            <w:pPr>
              <w:jc w:val="both"/>
              <w:rPr>
                <w:sz w:val="20"/>
                <w:szCs w:val="20"/>
              </w:rPr>
            </w:pPr>
            <w:r>
              <w:rPr>
                <w:sz w:val="20"/>
                <w:szCs w:val="20"/>
              </w:rPr>
              <w:t>348</w:t>
            </w:r>
          </w:p>
        </w:tc>
        <w:tc>
          <w:tcPr>
            <w:tcW w:w="567" w:type="dxa"/>
            <w:tcBorders>
              <w:top w:val="single" w:sz="12" w:space="0" w:color="auto"/>
              <w:bottom w:val="single" w:sz="12" w:space="0" w:color="auto"/>
              <w:right w:val="single" w:sz="12" w:space="0" w:color="auto"/>
            </w:tcBorders>
          </w:tcPr>
          <w:p w:rsidR="00CA1403" w:rsidRPr="00844548" w:rsidRDefault="00CA1403" w:rsidP="002C5AAA">
            <w:pPr>
              <w:jc w:val="both"/>
              <w:rPr>
                <w:sz w:val="20"/>
                <w:szCs w:val="20"/>
              </w:rPr>
            </w:pPr>
            <w:r w:rsidRPr="00844548">
              <w:rPr>
                <w:sz w:val="20"/>
                <w:szCs w:val="20"/>
              </w:rPr>
              <w:t>100</w:t>
            </w:r>
          </w:p>
        </w:tc>
        <w:tc>
          <w:tcPr>
            <w:tcW w:w="709" w:type="dxa"/>
            <w:tcBorders>
              <w:top w:val="single" w:sz="12" w:space="0" w:color="auto"/>
              <w:left w:val="single" w:sz="12" w:space="0" w:color="auto"/>
            </w:tcBorders>
          </w:tcPr>
          <w:p w:rsidR="00CA1403" w:rsidRPr="00844548" w:rsidRDefault="00CA1403" w:rsidP="002C5AAA">
            <w:pPr>
              <w:jc w:val="both"/>
              <w:rPr>
                <w:sz w:val="20"/>
                <w:szCs w:val="20"/>
              </w:rPr>
            </w:pPr>
            <w:r>
              <w:rPr>
                <w:sz w:val="20"/>
                <w:szCs w:val="20"/>
              </w:rPr>
              <w:t>1229</w:t>
            </w:r>
          </w:p>
        </w:tc>
        <w:tc>
          <w:tcPr>
            <w:tcW w:w="567" w:type="dxa"/>
            <w:tcBorders>
              <w:top w:val="single" w:sz="12" w:space="0" w:color="auto"/>
            </w:tcBorders>
          </w:tcPr>
          <w:p w:rsidR="00CA1403" w:rsidRPr="00844548" w:rsidRDefault="00CA1403" w:rsidP="002C5AAA">
            <w:pPr>
              <w:jc w:val="both"/>
              <w:rPr>
                <w:sz w:val="20"/>
                <w:szCs w:val="20"/>
              </w:rPr>
            </w:pPr>
            <w:r w:rsidRPr="00844548">
              <w:rPr>
                <w:sz w:val="20"/>
                <w:szCs w:val="20"/>
              </w:rPr>
              <w:t>100</w:t>
            </w:r>
          </w:p>
        </w:tc>
      </w:tr>
    </w:tbl>
    <w:p w:rsidR="00CA1403" w:rsidRDefault="00CA1403" w:rsidP="00CA1403">
      <w:pPr>
        <w:widowControl w:val="0"/>
        <w:autoSpaceDE w:val="0"/>
        <w:autoSpaceDN w:val="0"/>
        <w:adjustRightInd w:val="0"/>
        <w:rPr>
          <w:rFonts w:eastAsiaTheme="minorEastAsia"/>
        </w:rPr>
      </w:pPr>
    </w:p>
    <w:p w:rsidR="00CA1403" w:rsidRPr="00FB20B9" w:rsidRDefault="00CA1403" w:rsidP="00CA1403">
      <w:pPr>
        <w:pStyle w:val="Titulek"/>
        <w:keepNext/>
        <w:rPr>
          <w:b w:val="0"/>
          <w:sz w:val="24"/>
        </w:rPr>
      </w:pPr>
      <w:bookmarkStart w:id="101" w:name="_Toc399013075"/>
      <w:r w:rsidRPr="00FB20B9">
        <w:rPr>
          <w:b w:val="0"/>
          <w:sz w:val="24"/>
        </w:rPr>
        <w:t xml:space="preserve">Tabulka </w:t>
      </w:r>
      <w:r w:rsidR="003818A1" w:rsidRPr="00FB20B9">
        <w:rPr>
          <w:b w:val="0"/>
          <w:sz w:val="24"/>
        </w:rPr>
        <w:fldChar w:fldCharType="begin"/>
      </w:r>
      <w:r w:rsidRPr="00FB20B9">
        <w:rPr>
          <w:b w:val="0"/>
          <w:sz w:val="24"/>
        </w:rPr>
        <w:instrText xml:space="preserve"> SEQ Tabulka \* ARABIC </w:instrText>
      </w:r>
      <w:r w:rsidR="003818A1" w:rsidRPr="00FB20B9">
        <w:rPr>
          <w:b w:val="0"/>
          <w:sz w:val="24"/>
        </w:rPr>
        <w:fldChar w:fldCharType="separate"/>
      </w:r>
      <w:r>
        <w:rPr>
          <w:b w:val="0"/>
          <w:noProof/>
          <w:sz w:val="24"/>
        </w:rPr>
        <w:t>11</w:t>
      </w:r>
      <w:bookmarkEnd w:id="101"/>
      <w:r w:rsidR="003818A1" w:rsidRPr="00FB20B9">
        <w:rPr>
          <w:b w:val="0"/>
          <w:sz w:val="24"/>
        </w:rPr>
        <w:fldChar w:fldCharType="end"/>
      </w:r>
    </w:p>
    <w:p w:rsidR="00CA1403" w:rsidRPr="004A0F52" w:rsidRDefault="00CA1403" w:rsidP="00CA1403">
      <w:pPr>
        <w:widowControl w:val="0"/>
        <w:autoSpaceDE w:val="0"/>
        <w:autoSpaceDN w:val="0"/>
        <w:adjustRightInd w:val="0"/>
        <w:rPr>
          <w:rFonts w:eastAsiaTheme="minorEastAsia"/>
          <w:i/>
        </w:rPr>
      </w:pPr>
      <w:r w:rsidRPr="004A0F52">
        <w:rPr>
          <w:rFonts w:eastAsiaTheme="minorEastAsia"/>
          <w:i/>
        </w:rPr>
        <w:t>Zastoupení jednotlivých úrovní dimenze náročnosti ve zkoumaných učebnicích</w:t>
      </w:r>
    </w:p>
    <w:p w:rsidR="00CA1403" w:rsidRDefault="00CA1403" w:rsidP="00CA1403">
      <w:pPr>
        <w:widowControl w:val="0"/>
        <w:autoSpaceDE w:val="0"/>
        <w:autoSpaceDN w:val="0"/>
        <w:adjustRightInd w:val="0"/>
        <w:rPr>
          <w:rFonts w:eastAsiaTheme="minorEastAsia"/>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279"/>
        <w:gridCol w:w="705"/>
        <w:gridCol w:w="582"/>
        <w:gridCol w:w="724"/>
        <w:gridCol w:w="566"/>
        <w:gridCol w:w="725"/>
        <w:gridCol w:w="566"/>
        <w:gridCol w:w="664"/>
        <w:gridCol w:w="567"/>
        <w:gridCol w:w="709"/>
        <w:gridCol w:w="567"/>
        <w:gridCol w:w="709"/>
        <w:gridCol w:w="567"/>
      </w:tblGrid>
      <w:tr w:rsidR="00CA1403" w:rsidRPr="00844548" w:rsidTr="002C5AAA">
        <w:trPr>
          <w:jc w:val="center"/>
        </w:trPr>
        <w:tc>
          <w:tcPr>
            <w:tcW w:w="1279" w:type="dxa"/>
            <w:vMerge w:val="restart"/>
            <w:tcBorders>
              <w:right w:val="single" w:sz="12" w:space="0" w:color="auto"/>
            </w:tcBorders>
          </w:tcPr>
          <w:p w:rsidR="00CA1403" w:rsidRPr="00844548" w:rsidRDefault="00CA1403" w:rsidP="002C5AAA">
            <w:pPr>
              <w:jc w:val="both"/>
              <w:rPr>
                <w:sz w:val="20"/>
                <w:szCs w:val="20"/>
              </w:rPr>
            </w:pPr>
            <w:r>
              <w:rPr>
                <w:sz w:val="20"/>
                <w:szCs w:val="20"/>
              </w:rPr>
              <w:t>Náročnost</w:t>
            </w:r>
          </w:p>
        </w:tc>
        <w:tc>
          <w:tcPr>
            <w:tcW w:w="1287" w:type="dxa"/>
            <w:gridSpan w:val="2"/>
            <w:tcBorders>
              <w:top w:val="single" w:sz="12" w:space="0" w:color="auto"/>
              <w:left w:val="single" w:sz="12" w:space="0" w:color="auto"/>
              <w:bottom w:val="single" w:sz="6" w:space="0" w:color="auto"/>
              <w:right w:val="single" w:sz="12" w:space="0" w:color="auto"/>
            </w:tcBorders>
          </w:tcPr>
          <w:p w:rsidR="00CA1403" w:rsidRPr="00844548" w:rsidRDefault="00CA1403" w:rsidP="002C5AAA">
            <w:pPr>
              <w:jc w:val="center"/>
              <w:rPr>
                <w:sz w:val="20"/>
                <w:szCs w:val="20"/>
              </w:rPr>
            </w:pPr>
            <w:r w:rsidRPr="00844548">
              <w:rPr>
                <w:sz w:val="20"/>
                <w:szCs w:val="20"/>
              </w:rPr>
              <w:t>Fraus</w:t>
            </w:r>
          </w:p>
        </w:tc>
        <w:tc>
          <w:tcPr>
            <w:tcW w:w="1290" w:type="dxa"/>
            <w:gridSpan w:val="2"/>
            <w:tcBorders>
              <w:left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NČGS</w:t>
            </w:r>
          </w:p>
        </w:tc>
        <w:tc>
          <w:tcPr>
            <w:tcW w:w="1291" w:type="dxa"/>
            <w:gridSpan w:val="2"/>
            <w:tcBorders>
              <w:top w:val="single" w:sz="12" w:space="0" w:color="auto"/>
              <w:left w:val="single" w:sz="12" w:space="0" w:color="auto"/>
              <w:bottom w:val="single" w:sz="6" w:space="0" w:color="auto"/>
              <w:right w:val="single" w:sz="12" w:space="0" w:color="auto"/>
            </w:tcBorders>
          </w:tcPr>
          <w:p w:rsidR="00CA1403" w:rsidRPr="00844548" w:rsidRDefault="00CA1403" w:rsidP="002C5AAA">
            <w:pPr>
              <w:jc w:val="center"/>
              <w:rPr>
                <w:sz w:val="20"/>
                <w:szCs w:val="20"/>
              </w:rPr>
            </w:pPr>
            <w:r w:rsidRPr="00844548">
              <w:rPr>
                <w:sz w:val="20"/>
                <w:szCs w:val="20"/>
              </w:rPr>
              <w:t>Nová škola</w:t>
            </w:r>
          </w:p>
        </w:tc>
        <w:tc>
          <w:tcPr>
            <w:tcW w:w="1231" w:type="dxa"/>
            <w:gridSpan w:val="2"/>
            <w:tcBorders>
              <w:left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Prodos</w:t>
            </w:r>
          </w:p>
        </w:tc>
        <w:tc>
          <w:tcPr>
            <w:tcW w:w="1276" w:type="dxa"/>
            <w:gridSpan w:val="2"/>
            <w:tcBorders>
              <w:top w:val="single" w:sz="12" w:space="0" w:color="auto"/>
              <w:left w:val="single" w:sz="12" w:space="0" w:color="auto"/>
              <w:bottom w:val="single" w:sz="6" w:space="0" w:color="auto"/>
              <w:right w:val="single" w:sz="12" w:space="0" w:color="auto"/>
            </w:tcBorders>
          </w:tcPr>
          <w:p w:rsidR="00CA1403" w:rsidRPr="00844548" w:rsidRDefault="00CA1403" w:rsidP="002C5AAA">
            <w:pPr>
              <w:jc w:val="center"/>
              <w:rPr>
                <w:sz w:val="20"/>
                <w:szCs w:val="20"/>
              </w:rPr>
            </w:pPr>
            <w:r w:rsidRPr="00844548">
              <w:rPr>
                <w:sz w:val="20"/>
                <w:szCs w:val="20"/>
              </w:rPr>
              <w:t>SPN</w:t>
            </w:r>
          </w:p>
        </w:tc>
        <w:tc>
          <w:tcPr>
            <w:tcW w:w="1276" w:type="dxa"/>
            <w:gridSpan w:val="2"/>
            <w:tcBorders>
              <w:left w:val="single" w:sz="12" w:space="0" w:color="auto"/>
            </w:tcBorders>
          </w:tcPr>
          <w:p w:rsidR="00CA1403" w:rsidRPr="00844548" w:rsidRDefault="00CA1403" w:rsidP="002C5AAA">
            <w:pPr>
              <w:jc w:val="center"/>
              <w:rPr>
                <w:sz w:val="20"/>
                <w:szCs w:val="20"/>
              </w:rPr>
            </w:pPr>
            <w:r w:rsidRPr="00844548">
              <w:rPr>
                <w:sz w:val="20"/>
                <w:szCs w:val="20"/>
              </w:rPr>
              <w:t>Celkem</w:t>
            </w:r>
          </w:p>
        </w:tc>
      </w:tr>
      <w:tr w:rsidR="00CA1403" w:rsidRPr="00844548" w:rsidTr="002C5AAA">
        <w:trPr>
          <w:jc w:val="center"/>
        </w:trPr>
        <w:tc>
          <w:tcPr>
            <w:tcW w:w="1279" w:type="dxa"/>
            <w:vMerge/>
            <w:tcBorders>
              <w:bottom w:val="single" w:sz="6" w:space="0" w:color="auto"/>
              <w:right w:val="single" w:sz="12" w:space="0" w:color="auto"/>
            </w:tcBorders>
          </w:tcPr>
          <w:p w:rsidR="00CA1403" w:rsidRPr="00844548" w:rsidRDefault="00CA1403" w:rsidP="002C5AAA">
            <w:pPr>
              <w:jc w:val="both"/>
              <w:rPr>
                <w:sz w:val="20"/>
                <w:szCs w:val="20"/>
              </w:rPr>
            </w:pPr>
          </w:p>
        </w:tc>
        <w:tc>
          <w:tcPr>
            <w:tcW w:w="705" w:type="dxa"/>
            <w:tcBorders>
              <w:top w:val="single" w:sz="6" w:space="0" w:color="auto"/>
              <w:left w:val="single" w:sz="12" w:space="0" w:color="auto"/>
              <w:bottom w:val="single" w:sz="12" w:space="0" w:color="auto"/>
            </w:tcBorders>
          </w:tcPr>
          <w:p w:rsidR="00CA1403" w:rsidRPr="00844548" w:rsidRDefault="00CA1403" w:rsidP="002C5AAA">
            <w:pPr>
              <w:jc w:val="center"/>
              <w:rPr>
                <w:sz w:val="20"/>
                <w:szCs w:val="20"/>
              </w:rPr>
            </w:pPr>
            <w:r w:rsidRPr="00844548">
              <w:rPr>
                <w:sz w:val="20"/>
                <w:szCs w:val="20"/>
              </w:rPr>
              <w:t>Počet</w:t>
            </w:r>
          </w:p>
        </w:tc>
        <w:tc>
          <w:tcPr>
            <w:tcW w:w="582" w:type="dxa"/>
            <w:tcBorders>
              <w:top w:val="single" w:sz="6" w:space="0" w:color="auto"/>
              <w:bottom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w:t>
            </w:r>
          </w:p>
        </w:tc>
        <w:tc>
          <w:tcPr>
            <w:tcW w:w="724" w:type="dxa"/>
            <w:tcBorders>
              <w:left w:val="single" w:sz="12" w:space="0" w:color="auto"/>
              <w:bottom w:val="single" w:sz="12" w:space="0" w:color="auto"/>
            </w:tcBorders>
          </w:tcPr>
          <w:p w:rsidR="00CA1403" w:rsidRPr="00844548" w:rsidRDefault="00CA1403" w:rsidP="002C5AAA">
            <w:pPr>
              <w:jc w:val="center"/>
              <w:rPr>
                <w:sz w:val="20"/>
                <w:szCs w:val="20"/>
              </w:rPr>
            </w:pPr>
            <w:r w:rsidRPr="00844548">
              <w:rPr>
                <w:sz w:val="20"/>
                <w:szCs w:val="20"/>
              </w:rPr>
              <w:t>Počet</w:t>
            </w:r>
          </w:p>
        </w:tc>
        <w:tc>
          <w:tcPr>
            <w:tcW w:w="566" w:type="dxa"/>
            <w:tcBorders>
              <w:bottom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w:t>
            </w:r>
          </w:p>
        </w:tc>
        <w:tc>
          <w:tcPr>
            <w:tcW w:w="725" w:type="dxa"/>
            <w:tcBorders>
              <w:top w:val="single" w:sz="6" w:space="0" w:color="auto"/>
              <w:left w:val="single" w:sz="12" w:space="0" w:color="auto"/>
              <w:bottom w:val="single" w:sz="12" w:space="0" w:color="auto"/>
            </w:tcBorders>
          </w:tcPr>
          <w:p w:rsidR="00CA1403" w:rsidRPr="00844548" w:rsidRDefault="00CA1403" w:rsidP="002C5AAA">
            <w:pPr>
              <w:jc w:val="center"/>
              <w:rPr>
                <w:sz w:val="20"/>
                <w:szCs w:val="20"/>
              </w:rPr>
            </w:pPr>
            <w:r w:rsidRPr="00844548">
              <w:rPr>
                <w:sz w:val="20"/>
                <w:szCs w:val="20"/>
              </w:rPr>
              <w:t>Počet</w:t>
            </w:r>
          </w:p>
        </w:tc>
        <w:tc>
          <w:tcPr>
            <w:tcW w:w="566" w:type="dxa"/>
            <w:tcBorders>
              <w:top w:val="single" w:sz="6" w:space="0" w:color="auto"/>
              <w:bottom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w:t>
            </w:r>
          </w:p>
        </w:tc>
        <w:tc>
          <w:tcPr>
            <w:tcW w:w="664" w:type="dxa"/>
            <w:tcBorders>
              <w:left w:val="single" w:sz="12" w:space="0" w:color="auto"/>
              <w:bottom w:val="single" w:sz="12" w:space="0" w:color="auto"/>
            </w:tcBorders>
          </w:tcPr>
          <w:p w:rsidR="00CA1403" w:rsidRPr="00844548" w:rsidRDefault="00CA1403" w:rsidP="002C5AAA">
            <w:pPr>
              <w:jc w:val="center"/>
              <w:rPr>
                <w:sz w:val="20"/>
                <w:szCs w:val="20"/>
              </w:rPr>
            </w:pPr>
            <w:r w:rsidRPr="00844548">
              <w:rPr>
                <w:sz w:val="20"/>
                <w:szCs w:val="20"/>
              </w:rPr>
              <w:t>Počet</w:t>
            </w:r>
          </w:p>
        </w:tc>
        <w:tc>
          <w:tcPr>
            <w:tcW w:w="567" w:type="dxa"/>
            <w:tcBorders>
              <w:bottom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w:t>
            </w:r>
          </w:p>
        </w:tc>
        <w:tc>
          <w:tcPr>
            <w:tcW w:w="709" w:type="dxa"/>
            <w:tcBorders>
              <w:top w:val="single" w:sz="6" w:space="0" w:color="auto"/>
              <w:left w:val="single" w:sz="12" w:space="0" w:color="auto"/>
              <w:bottom w:val="single" w:sz="12" w:space="0" w:color="auto"/>
            </w:tcBorders>
          </w:tcPr>
          <w:p w:rsidR="00CA1403" w:rsidRPr="00844548" w:rsidRDefault="00CA1403" w:rsidP="002C5AAA">
            <w:pPr>
              <w:jc w:val="center"/>
              <w:rPr>
                <w:sz w:val="20"/>
                <w:szCs w:val="20"/>
              </w:rPr>
            </w:pPr>
            <w:r w:rsidRPr="00844548">
              <w:rPr>
                <w:sz w:val="20"/>
                <w:szCs w:val="20"/>
              </w:rPr>
              <w:t>Počet</w:t>
            </w:r>
          </w:p>
        </w:tc>
        <w:tc>
          <w:tcPr>
            <w:tcW w:w="567" w:type="dxa"/>
            <w:tcBorders>
              <w:top w:val="single" w:sz="6" w:space="0" w:color="auto"/>
              <w:bottom w:val="single" w:sz="12" w:space="0" w:color="auto"/>
              <w:right w:val="single" w:sz="12" w:space="0" w:color="auto"/>
            </w:tcBorders>
          </w:tcPr>
          <w:p w:rsidR="00CA1403" w:rsidRPr="00844548" w:rsidRDefault="00CA1403" w:rsidP="002C5AAA">
            <w:pPr>
              <w:jc w:val="center"/>
              <w:rPr>
                <w:sz w:val="20"/>
                <w:szCs w:val="20"/>
              </w:rPr>
            </w:pPr>
            <w:r w:rsidRPr="00844548">
              <w:rPr>
                <w:sz w:val="20"/>
                <w:szCs w:val="20"/>
              </w:rPr>
              <w:t>%</w:t>
            </w:r>
          </w:p>
        </w:tc>
        <w:tc>
          <w:tcPr>
            <w:tcW w:w="709" w:type="dxa"/>
            <w:tcBorders>
              <w:left w:val="single" w:sz="12" w:space="0" w:color="auto"/>
              <w:bottom w:val="single" w:sz="12" w:space="0" w:color="auto"/>
            </w:tcBorders>
          </w:tcPr>
          <w:p w:rsidR="00CA1403" w:rsidRPr="00844548" w:rsidRDefault="00CA1403" w:rsidP="002C5AAA">
            <w:pPr>
              <w:jc w:val="center"/>
              <w:rPr>
                <w:sz w:val="20"/>
                <w:szCs w:val="20"/>
              </w:rPr>
            </w:pPr>
            <w:r w:rsidRPr="00844548">
              <w:rPr>
                <w:sz w:val="20"/>
                <w:szCs w:val="20"/>
              </w:rPr>
              <w:t>Počet</w:t>
            </w:r>
          </w:p>
        </w:tc>
        <w:tc>
          <w:tcPr>
            <w:tcW w:w="567" w:type="dxa"/>
            <w:tcBorders>
              <w:bottom w:val="single" w:sz="12" w:space="0" w:color="auto"/>
            </w:tcBorders>
          </w:tcPr>
          <w:p w:rsidR="00CA1403" w:rsidRPr="00844548" w:rsidRDefault="00CA1403" w:rsidP="002C5AAA">
            <w:pPr>
              <w:jc w:val="center"/>
              <w:rPr>
                <w:sz w:val="20"/>
                <w:szCs w:val="20"/>
              </w:rPr>
            </w:pPr>
            <w:r w:rsidRPr="00844548">
              <w:rPr>
                <w:sz w:val="20"/>
                <w:szCs w:val="20"/>
              </w:rPr>
              <w:t>%</w:t>
            </w:r>
          </w:p>
        </w:tc>
      </w:tr>
      <w:tr w:rsidR="00CA1403" w:rsidRPr="00844548" w:rsidTr="002C5AAA">
        <w:trPr>
          <w:jc w:val="center"/>
        </w:trPr>
        <w:tc>
          <w:tcPr>
            <w:tcW w:w="1279" w:type="dxa"/>
            <w:tcBorders>
              <w:top w:val="single" w:sz="6" w:space="0" w:color="auto"/>
              <w:bottom w:val="nil"/>
              <w:right w:val="single" w:sz="12" w:space="0" w:color="auto"/>
            </w:tcBorders>
            <w:shd w:val="clear" w:color="auto" w:fill="auto"/>
          </w:tcPr>
          <w:p w:rsidR="00CA1403" w:rsidRPr="00844548" w:rsidRDefault="00CA1403" w:rsidP="002C5AAA">
            <w:pPr>
              <w:spacing w:before="60" w:after="60"/>
              <w:rPr>
                <w:sz w:val="20"/>
                <w:szCs w:val="20"/>
              </w:rPr>
            </w:pPr>
            <w:r>
              <w:rPr>
                <w:sz w:val="20"/>
                <w:szCs w:val="20"/>
              </w:rPr>
              <w:t>Úroveň 1</w:t>
            </w:r>
          </w:p>
        </w:tc>
        <w:tc>
          <w:tcPr>
            <w:tcW w:w="705"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165</w:t>
            </w:r>
          </w:p>
        </w:tc>
        <w:tc>
          <w:tcPr>
            <w:tcW w:w="582"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63,3</w:t>
            </w:r>
          </w:p>
        </w:tc>
        <w:tc>
          <w:tcPr>
            <w:tcW w:w="724"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171</w:t>
            </w:r>
          </w:p>
        </w:tc>
        <w:tc>
          <w:tcPr>
            <w:tcW w:w="566"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75,7</w:t>
            </w:r>
          </w:p>
        </w:tc>
        <w:tc>
          <w:tcPr>
            <w:tcW w:w="725"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239</w:t>
            </w:r>
          </w:p>
        </w:tc>
        <w:tc>
          <w:tcPr>
            <w:tcW w:w="566"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81,3</w:t>
            </w:r>
          </w:p>
        </w:tc>
        <w:tc>
          <w:tcPr>
            <w:tcW w:w="664"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86</w:t>
            </w:r>
          </w:p>
        </w:tc>
        <w:tc>
          <w:tcPr>
            <w:tcW w:w="567"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86</w:t>
            </w:r>
          </w:p>
        </w:tc>
        <w:tc>
          <w:tcPr>
            <w:tcW w:w="709"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271</w:t>
            </w:r>
          </w:p>
        </w:tc>
        <w:tc>
          <w:tcPr>
            <w:tcW w:w="567"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77,9</w:t>
            </w:r>
          </w:p>
        </w:tc>
        <w:tc>
          <w:tcPr>
            <w:tcW w:w="709"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932</w:t>
            </w:r>
          </w:p>
        </w:tc>
        <w:tc>
          <w:tcPr>
            <w:tcW w:w="567" w:type="dxa"/>
            <w:tcBorders>
              <w:top w:val="single" w:sz="12" w:space="0" w:color="auto"/>
              <w:left w:val="single" w:sz="12" w:space="0" w:color="auto"/>
              <w:bottom w:val="single" w:sz="12" w:space="0" w:color="auto"/>
            </w:tcBorders>
          </w:tcPr>
          <w:p w:rsidR="00CA1403" w:rsidRPr="00844548" w:rsidRDefault="00CA1403" w:rsidP="002C5AAA">
            <w:pPr>
              <w:spacing w:before="60" w:after="60"/>
              <w:jc w:val="both"/>
              <w:rPr>
                <w:sz w:val="20"/>
                <w:szCs w:val="20"/>
              </w:rPr>
            </w:pPr>
            <w:r>
              <w:rPr>
                <w:sz w:val="20"/>
                <w:szCs w:val="20"/>
              </w:rPr>
              <w:t>75,8</w:t>
            </w:r>
          </w:p>
        </w:tc>
      </w:tr>
      <w:tr w:rsidR="00CA1403" w:rsidRPr="00844548" w:rsidTr="002C5AAA">
        <w:trPr>
          <w:jc w:val="center"/>
        </w:trPr>
        <w:tc>
          <w:tcPr>
            <w:tcW w:w="1279" w:type="dxa"/>
            <w:tcBorders>
              <w:top w:val="nil"/>
              <w:bottom w:val="nil"/>
              <w:right w:val="single" w:sz="12" w:space="0" w:color="auto"/>
            </w:tcBorders>
            <w:shd w:val="clear" w:color="auto" w:fill="auto"/>
          </w:tcPr>
          <w:p w:rsidR="00CA1403" w:rsidRPr="00844548" w:rsidRDefault="007E079C" w:rsidP="002C5AAA">
            <w:pPr>
              <w:spacing w:before="60" w:after="60"/>
              <w:rPr>
                <w:sz w:val="20"/>
                <w:szCs w:val="20"/>
              </w:rPr>
            </w:pPr>
            <w:r>
              <w:rPr>
                <w:sz w:val="20"/>
                <w:szCs w:val="20"/>
              </w:rPr>
              <w:t>Úroveň</w:t>
            </w:r>
            <w:r w:rsidR="00CA1403">
              <w:rPr>
                <w:sz w:val="20"/>
                <w:szCs w:val="20"/>
              </w:rPr>
              <w:t xml:space="preserve"> 2</w:t>
            </w:r>
          </w:p>
        </w:tc>
        <w:tc>
          <w:tcPr>
            <w:tcW w:w="705"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81</w:t>
            </w:r>
          </w:p>
        </w:tc>
        <w:tc>
          <w:tcPr>
            <w:tcW w:w="582"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31</w:t>
            </w:r>
          </w:p>
        </w:tc>
        <w:tc>
          <w:tcPr>
            <w:tcW w:w="724"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50</w:t>
            </w:r>
          </w:p>
        </w:tc>
        <w:tc>
          <w:tcPr>
            <w:tcW w:w="566"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22,1</w:t>
            </w:r>
          </w:p>
        </w:tc>
        <w:tc>
          <w:tcPr>
            <w:tcW w:w="725"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45</w:t>
            </w:r>
          </w:p>
        </w:tc>
        <w:tc>
          <w:tcPr>
            <w:tcW w:w="566"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15,3</w:t>
            </w:r>
          </w:p>
        </w:tc>
        <w:tc>
          <w:tcPr>
            <w:tcW w:w="664"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13</w:t>
            </w:r>
          </w:p>
        </w:tc>
        <w:tc>
          <w:tcPr>
            <w:tcW w:w="567"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13</w:t>
            </w:r>
          </w:p>
        </w:tc>
        <w:tc>
          <w:tcPr>
            <w:tcW w:w="709" w:type="dxa"/>
            <w:tcBorders>
              <w:top w:val="single" w:sz="12" w:space="0" w:color="auto"/>
              <w:left w:val="single" w:sz="12" w:space="0" w:color="auto"/>
              <w:bottom w:val="single" w:sz="12" w:space="0" w:color="auto"/>
              <w:right w:val="single" w:sz="12" w:space="0" w:color="auto"/>
            </w:tcBorders>
            <w:shd w:val="clear" w:color="auto" w:fill="auto"/>
          </w:tcPr>
          <w:p w:rsidR="00CA1403" w:rsidRPr="00844548" w:rsidRDefault="00CA1403" w:rsidP="002C5AAA">
            <w:pPr>
              <w:spacing w:before="60" w:after="60"/>
              <w:jc w:val="both"/>
              <w:rPr>
                <w:sz w:val="20"/>
                <w:szCs w:val="20"/>
              </w:rPr>
            </w:pPr>
            <w:r>
              <w:rPr>
                <w:sz w:val="20"/>
                <w:szCs w:val="20"/>
              </w:rPr>
              <w:t>71</w:t>
            </w:r>
          </w:p>
        </w:tc>
        <w:tc>
          <w:tcPr>
            <w:tcW w:w="567"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20,4</w:t>
            </w:r>
          </w:p>
        </w:tc>
        <w:tc>
          <w:tcPr>
            <w:tcW w:w="709"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260</w:t>
            </w:r>
          </w:p>
        </w:tc>
        <w:tc>
          <w:tcPr>
            <w:tcW w:w="567" w:type="dxa"/>
            <w:tcBorders>
              <w:top w:val="single" w:sz="12" w:space="0" w:color="auto"/>
              <w:left w:val="single" w:sz="12" w:space="0" w:color="auto"/>
              <w:bottom w:val="single" w:sz="12" w:space="0" w:color="auto"/>
            </w:tcBorders>
          </w:tcPr>
          <w:p w:rsidR="00CA1403" w:rsidRPr="00844548" w:rsidRDefault="00CA1403" w:rsidP="002C5AAA">
            <w:pPr>
              <w:spacing w:before="60" w:after="60"/>
              <w:jc w:val="both"/>
              <w:rPr>
                <w:sz w:val="20"/>
                <w:szCs w:val="20"/>
              </w:rPr>
            </w:pPr>
            <w:r>
              <w:rPr>
                <w:sz w:val="20"/>
                <w:szCs w:val="20"/>
              </w:rPr>
              <w:t>21,2</w:t>
            </w:r>
          </w:p>
        </w:tc>
      </w:tr>
      <w:tr w:rsidR="00CA1403" w:rsidRPr="00844548" w:rsidTr="002C5AAA">
        <w:trPr>
          <w:jc w:val="center"/>
        </w:trPr>
        <w:tc>
          <w:tcPr>
            <w:tcW w:w="1279" w:type="dxa"/>
            <w:tcBorders>
              <w:top w:val="nil"/>
              <w:bottom w:val="nil"/>
              <w:right w:val="single" w:sz="12" w:space="0" w:color="auto"/>
            </w:tcBorders>
          </w:tcPr>
          <w:p w:rsidR="00CA1403" w:rsidRPr="00844548" w:rsidRDefault="00CA1403" w:rsidP="002C5AAA">
            <w:pPr>
              <w:spacing w:before="60" w:after="60"/>
              <w:rPr>
                <w:sz w:val="20"/>
                <w:szCs w:val="20"/>
              </w:rPr>
            </w:pPr>
            <w:r>
              <w:rPr>
                <w:sz w:val="20"/>
                <w:szCs w:val="20"/>
              </w:rPr>
              <w:t>Úroveň 3</w:t>
            </w:r>
          </w:p>
        </w:tc>
        <w:tc>
          <w:tcPr>
            <w:tcW w:w="705"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15</w:t>
            </w:r>
          </w:p>
        </w:tc>
        <w:tc>
          <w:tcPr>
            <w:tcW w:w="582"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5,7</w:t>
            </w:r>
          </w:p>
        </w:tc>
        <w:tc>
          <w:tcPr>
            <w:tcW w:w="724"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5</w:t>
            </w:r>
          </w:p>
        </w:tc>
        <w:tc>
          <w:tcPr>
            <w:tcW w:w="566"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2,2</w:t>
            </w:r>
          </w:p>
        </w:tc>
        <w:tc>
          <w:tcPr>
            <w:tcW w:w="725"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10</w:t>
            </w:r>
          </w:p>
        </w:tc>
        <w:tc>
          <w:tcPr>
            <w:tcW w:w="566"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3,4</w:t>
            </w:r>
          </w:p>
        </w:tc>
        <w:tc>
          <w:tcPr>
            <w:tcW w:w="664"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1</w:t>
            </w:r>
          </w:p>
        </w:tc>
        <w:tc>
          <w:tcPr>
            <w:tcW w:w="567"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1</w:t>
            </w:r>
          </w:p>
        </w:tc>
        <w:tc>
          <w:tcPr>
            <w:tcW w:w="709"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6</w:t>
            </w:r>
          </w:p>
        </w:tc>
        <w:tc>
          <w:tcPr>
            <w:tcW w:w="567"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1,7</w:t>
            </w:r>
          </w:p>
        </w:tc>
        <w:tc>
          <w:tcPr>
            <w:tcW w:w="709" w:type="dxa"/>
            <w:tcBorders>
              <w:top w:val="single" w:sz="12" w:space="0" w:color="auto"/>
              <w:left w:val="single" w:sz="12" w:space="0" w:color="auto"/>
              <w:bottom w:val="single" w:sz="12" w:space="0" w:color="auto"/>
              <w:right w:val="single" w:sz="12" w:space="0" w:color="auto"/>
            </w:tcBorders>
          </w:tcPr>
          <w:p w:rsidR="00CA1403" w:rsidRPr="00844548" w:rsidRDefault="00CA1403" w:rsidP="002C5AAA">
            <w:pPr>
              <w:spacing w:before="60" w:after="60"/>
              <w:jc w:val="both"/>
              <w:rPr>
                <w:sz w:val="20"/>
                <w:szCs w:val="20"/>
              </w:rPr>
            </w:pPr>
            <w:r>
              <w:rPr>
                <w:sz w:val="20"/>
                <w:szCs w:val="20"/>
              </w:rPr>
              <w:t>37</w:t>
            </w:r>
          </w:p>
        </w:tc>
        <w:tc>
          <w:tcPr>
            <w:tcW w:w="567" w:type="dxa"/>
            <w:tcBorders>
              <w:top w:val="single" w:sz="12" w:space="0" w:color="auto"/>
              <w:left w:val="single" w:sz="12" w:space="0" w:color="auto"/>
              <w:bottom w:val="single" w:sz="12" w:space="0" w:color="auto"/>
            </w:tcBorders>
          </w:tcPr>
          <w:p w:rsidR="00CA1403" w:rsidRPr="00844548" w:rsidRDefault="00CA1403" w:rsidP="002C5AAA">
            <w:pPr>
              <w:spacing w:before="60" w:after="60"/>
              <w:jc w:val="both"/>
              <w:rPr>
                <w:sz w:val="20"/>
                <w:szCs w:val="20"/>
              </w:rPr>
            </w:pPr>
            <w:r>
              <w:rPr>
                <w:sz w:val="20"/>
                <w:szCs w:val="20"/>
              </w:rPr>
              <w:t>3</w:t>
            </w:r>
          </w:p>
        </w:tc>
      </w:tr>
      <w:tr w:rsidR="00CA1403" w:rsidRPr="00844548" w:rsidTr="002C5AAA">
        <w:trPr>
          <w:jc w:val="center"/>
        </w:trPr>
        <w:tc>
          <w:tcPr>
            <w:tcW w:w="1279" w:type="dxa"/>
            <w:tcBorders>
              <w:top w:val="single" w:sz="6" w:space="0" w:color="auto"/>
              <w:right w:val="single" w:sz="12" w:space="0" w:color="auto"/>
            </w:tcBorders>
          </w:tcPr>
          <w:p w:rsidR="00CA1403" w:rsidRPr="00844548" w:rsidRDefault="00CA1403" w:rsidP="002C5AAA">
            <w:pPr>
              <w:rPr>
                <w:sz w:val="20"/>
                <w:szCs w:val="20"/>
              </w:rPr>
            </w:pPr>
            <w:r w:rsidRPr="00844548">
              <w:rPr>
                <w:sz w:val="20"/>
                <w:szCs w:val="20"/>
              </w:rPr>
              <w:t>Celkem</w:t>
            </w:r>
          </w:p>
        </w:tc>
        <w:tc>
          <w:tcPr>
            <w:tcW w:w="705" w:type="dxa"/>
            <w:tcBorders>
              <w:top w:val="single" w:sz="12" w:space="0" w:color="auto"/>
              <w:left w:val="single" w:sz="12" w:space="0" w:color="auto"/>
              <w:bottom w:val="single" w:sz="12" w:space="0" w:color="auto"/>
            </w:tcBorders>
          </w:tcPr>
          <w:p w:rsidR="00CA1403" w:rsidRPr="00844548" w:rsidRDefault="00CA1403" w:rsidP="002C5AAA">
            <w:pPr>
              <w:jc w:val="both"/>
              <w:rPr>
                <w:sz w:val="20"/>
                <w:szCs w:val="20"/>
              </w:rPr>
            </w:pPr>
            <w:r>
              <w:rPr>
                <w:sz w:val="20"/>
                <w:szCs w:val="20"/>
              </w:rPr>
              <w:t>261</w:t>
            </w:r>
          </w:p>
        </w:tc>
        <w:tc>
          <w:tcPr>
            <w:tcW w:w="582" w:type="dxa"/>
            <w:tcBorders>
              <w:top w:val="single" w:sz="12" w:space="0" w:color="auto"/>
              <w:bottom w:val="single" w:sz="12" w:space="0" w:color="auto"/>
              <w:right w:val="single" w:sz="12" w:space="0" w:color="auto"/>
            </w:tcBorders>
          </w:tcPr>
          <w:p w:rsidR="00CA1403" w:rsidRPr="00844548" w:rsidRDefault="00CA1403" w:rsidP="002C5AAA">
            <w:pPr>
              <w:jc w:val="both"/>
              <w:rPr>
                <w:sz w:val="20"/>
                <w:szCs w:val="20"/>
              </w:rPr>
            </w:pPr>
            <w:r w:rsidRPr="00844548">
              <w:rPr>
                <w:sz w:val="20"/>
                <w:szCs w:val="20"/>
              </w:rPr>
              <w:t>100</w:t>
            </w:r>
          </w:p>
        </w:tc>
        <w:tc>
          <w:tcPr>
            <w:tcW w:w="724" w:type="dxa"/>
            <w:tcBorders>
              <w:top w:val="single" w:sz="12" w:space="0" w:color="auto"/>
              <w:left w:val="single" w:sz="12" w:space="0" w:color="auto"/>
            </w:tcBorders>
          </w:tcPr>
          <w:p w:rsidR="00CA1403" w:rsidRPr="00844548" w:rsidRDefault="00CA1403" w:rsidP="002C5AAA">
            <w:pPr>
              <w:jc w:val="both"/>
              <w:rPr>
                <w:sz w:val="20"/>
                <w:szCs w:val="20"/>
              </w:rPr>
            </w:pPr>
            <w:r>
              <w:rPr>
                <w:sz w:val="20"/>
                <w:szCs w:val="20"/>
              </w:rPr>
              <w:t>226</w:t>
            </w:r>
          </w:p>
        </w:tc>
        <w:tc>
          <w:tcPr>
            <w:tcW w:w="566" w:type="dxa"/>
            <w:tcBorders>
              <w:top w:val="single" w:sz="12" w:space="0" w:color="auto"/>
              <w:right w:val="single" w:sz="12" w:space="0" w:color="auto"/>
            </w:tcBorders>
          </w:tcPr>
          <w:p w:rsidR="00CA1403" w:rsidRPr="00844548" w:rsidRDefault="00CA1403" w:rsidP="002C5AAA">
            <w:pPr>
              <w:jc w:val="both"/>
              <w:rPr>
                <w:sz w:val="20"/>
                <w:szCs w:val="20"/>
              </w:rPr>
            </w:pPr>
            <w:r w:rsidRPr="00844548">
              <w:rPr>
                <w:sz w:val="20"/>
                <w:szCs w:val="20"/>
              </w:rPr>
              <w:t>100</w:t>
            </w:r>
          </w:p>
        </w:tc>
        <w:tc>
          <w:tcPr>
            <w:tcW w:w="725" w:type="dxa"/>
            <w:tcBorders>
              <w:top w:val="single" w:sz="12" w:space="0" w:color="auto"/>
              <w:left w:val="single" w:sz="12" w:space="0" w:color="auto"/>
              <w:bottom w:val="single" w:sz="12" w:space="0" w:color="auto"/>
            </w:tcBorders>
          </w:tcPr>
          <w:p w:rsidR="00CA1403" w:rsidRPr="00844548" w:rsidRDefault="00CA1403" w:rsidP="002C5AAA">
            <w:pPr>
              <w:jc w:val="both"/>
              <w:rPr>
                <w:sz w:val="20"/>
                <w:szCs w:val="20"/>
              </w:rPr>
            </w:pPr>
            <w:r>
              <w:rPr>
                <w:sz w:val="20"/>
                <w:szCs w:val="20"/>
              </w:rPr>
              <w:t>294</w:t>
            </w:r>
          </w:p>
        </w:tc>
        <w:tc>
          <w:tcPr>
            <w:tcW w:w="566" w:type="dxa"/>
            <w:tcBorders>
              <w:top w:val="single" w:sz="12" w:space="0" w:color="auto"/>
              <w:bottom w:val="single" w:sz="12" w:space="0" w:color="auto"/>
              <w:right w:val="single" w:sz="12" w:space="0" w:color="auto"/>
            </w:tcBorders>
          </w:tcPr>
          <w:p w:rsidR="00CA1403" w:rsidRPr="00844548" w:rsidRDefault="00CA1403" w:rsidP="002C5AAA">
            <w:pPr>
              <w:jc w:val="both"/>
              <w:rPr>
                <w:sz w:val="20"/>
                <w:szCs w:val="20"/>
              </w:rPr>
            </w:pPr>
            <w:r w:rsidRPr="00844548">
              <w:rPr>
                <w:sz w:val="20"/>
                <w:szCs w:val="20"/>
              </w:rPr>
              <w:t>100</w:t>
            </w:r>
          </w:p>
        </w:tc>
        <w:tc>
          <w:tcPr>
            <w:tcW w:w="664" w:type="dxa"/>
            <w:tcBorders>
              <w:top w:val="single" w:sz="12" w:space="0" w:color="auto"/>
              <w:left w:val="single" w:sz="12" w:space="0" w:color="auto"/>
            </w:tcBorders>
          </w:tcPr>
          <w:p w:rsidR="00CA1403" w:rsidRPr="00844548" w:rsidRDefault="00CA1403" w:rsidP="002C5AAA">
            <w:pPr>
              <w:jc w:val="both"/>
              <w:rPr>
                <w:sz w:val="20"/>
                <w:szCs w:val="20"/>
              </w:rPr>
            </w:pPr>
            <w:r>
              <w:rPr>
                <w:sz w:val="20"/>
                <w:szCs w:val="20"/>
              </w:rPr>
              <w:t>100</w:t>
            </w:r>
          </w:p>
        </w:tc>
        <w:tc>
          <w:tcPr>
            <w:tcW w:w="567" w:type="dxa"/>
            <w:tcBorders>
              <w:top w:val="single" w:sz="12" w:space="0" w:color="auto"/>
              <w:right w:val="single" w:sz="12" w:space="0" w:color="auto"/>
            </w:tcBorders>
          </w:tcPr>
          <w:p w:rsidR="00CA1403" w:rsidRPr="00844548" w:rsidRDefault="00CA1403" w:rsidP="002C5AAA">
            <w:pPr>
              <w:jc w:val="both"/>
              <w:rPr>
                <w:sz w:val="20"/>
                <w:szCs w:val="20"/>
              </w:rPr>
            </w:pPr>
            <w:r w:rsidRPr="00844548">
              <w:rPr>
                <w:sz w:val="20"/>
                <w:szCs w:val="20"/>
              </w:rPr>
              <w:t>100</w:t>
            </w:r>
          </w:p>
        </w:tc>
        <w:tc>
          <w:tcPr>
            <w:tcW w:w="709" w:type="dxa"/>
            <w:tcBorders>
              <w:top w:val="single" w:sz="12" w:space="0" w:color="auto"/>
              <w:left w:val="single" w:sz="12" w:space="0" w:color="auto"/>
              <w:bottom w:val="single" w:sz="12" w:space="0" w:color="auto"/>
            </w:tcBorders>
          </w:tcPr>
          <w:p w:rsidR="00CA1403" w:rsidRPr="00844548" w:rsidRDefault="00CA1403" w:rsidP="002C5AAA">
            <w:pPr>
              <w:jc w:val="both"/>
              <w:rPr>
                <w:sz w:val="20"/>
                <w:szCs w:val="20"/>
              </w:rPr>
            </w:pPr>
            <w:r>
              <w:rPr>
                <w:sz w:val="20"/>
                <w:szCs w:val="20"/>
              </w:rPr>
              <w:t>348</w:t>
            </w:r>
          </w:p>
        </w:tc>
        <w:tc>
          <w:tcPr>
            <w:tcW w:w="567" w:type="dxa"/>
            <w:tcBorders>
              <w:top w:val="single" w:sz="12" w:space="0" w:color="auto"/>
              <w:bottom w:val="single" w:sz="12" w:space="0" w:color="auto"/>
              <w:right w:val="single" w:sz="12" w:space="0" w:color="auto"/>
            </w:tcBorders>
          </w:tcPr>
          <w:p w:rsidR="00CA1403" w:rsidRPr="00844548" w:rsidRDefault="00CA1403" w:rsidP="002C5AAA">
            <w:pPr>
              <w:jc w:val="both"/>
              <w:rPr>
                <w:sz w:val="20"/>
                <w:szCs w:val="20"/>
              </w:rPr>
            </w:pPr>
            <w:r w:rsidRPr="00844548">
              <w:rPr>
                <w:sz w:val="20"/>
                <w:szCs w:val="20"/>
              </w:rPr>
              <w:t>100</w:t>
            </w:r>
          </w:p>
        </w:tc>
        <w:tc>
          <w:tcPr>
            <w:tcW w:w="709" w:type="dxa"/>
            <w:tcBorders>
              <w:top w:val="single" w:sz="12" w:space="0" w:color="auto"/>
              <w:left w:val="single" w:sz="12" w:space="0" w:color="auto"/>
            </w:tcBorders>
          </w:tcPr>
          <w:p w:rsidR="00CA1403" w:rsidRPr="00844548" w:rsidRDefault="00CA1403" w:rsidP="002C5AAA">
            <w:pPr>
              <w:jc w:val="both"/>
              <w:rPr>
                <w:sz w:val="20"/>
                <w:szCs w:val="20"/>
              </w:rPr>
            </w:pPr>
            <w:r>
              <w:rPr>
                <w:sz w:val="20"/>
                <w:szCs w:val="20"/>
              </w:rPr>
              <w:t>1229</w:t>
            </w:r>
          </w:p>
        </w:tc>
        <w:tc>
          <w:tcPr>
            <w:tcW w:w="567" w:type="dxa"/>
            <w:tcBorders>
              <w:top w:val="single" w:sz="12" w:space="0" w:color="auto"/>
            </w:tcBorders>
          </w:tcPr>
          <w:p w:rsidR="00CA1403" w:rsidRPr="00844548" w:rsidRDefault="00CA1403" w:rsidP="002C5AAA">
            <w:pPr>
              <w:jc w:val="both"/>
              <w:rPr>
                <w:sz w:val="20"/>
                <w:szCs w:val="20"/>
              </w:rPr>
            </w:pPr>
            <w:r w:rsidRPr="00844548">
              <w:rPr>
                <w:sz w:val="20"/>
                <w:szCs w:val="20"/>
              </w:rPr>
              <w:t>100</w:t>
            </w:r>
          </w:p>
        </w:tc>
      </w:tr>
    </w:tbl>
    <w:p w:rsidR="00CA1403" w:rsidRDefault="00CA1403" w:rsidP="00CA1403">
      <w:pPr>
        <w:autoSpaceDE w:val="0"/>
        <w:autoSpaceDN w:val="0"/>
        <w:adjustRightInd w:val="0"/>
        <w:spacing w:line="320" w:lineRule="atLeast"/>
        <w:ind w:right="60"/>
      </w:pPr>
    </w:p>
    <w:p w:rsidR="00CA1403" w:rsidRDefault="00CA1403" w:rsidP="00325967">
      <w:pPr>
        <w:widowControl w:val="0"/>
        <w:autoSpaceDE w:val="0"/>
        <w:autoSpaceDN w:val="0"/>
        <w:adjustRightInd w:val="0"/>
        <w:spacing w:line="276" w:lineRule="auto"/>
        <w:jc w:val="both"/>
        <w:rPr>
          <w:rFonts w:eastAsiaTheme="minorEastAsia"/>
          <w:i/>
        </w:rPr>
      </w:pPr>
      <w:r w:rsidRPr="004705CB">
        <w:t xml:space="preserve">Pokud přepočteme </w:t>
      </w:r>
      <w:r>
        <w:t>pro</w:t>
      </w:r>
      <w:r w:rsidRPr="004705CB">
        <w:t xml:space="preserve"> potřeby vizualizace dat</w:t>
      </w:r>
      <w:r>
        <w:t xml:space="preserve"> absolutní hodnoty prezentované</w:t>
      </w:r>
      <w:r w:rsidRPr="004705CB">
        <w:t xml:space="preserve"> v tab</w:t>
      </w:r>
      <w:r>
        <w:t>ulkách</w:t>
      </w:r>
      <w:r w:rsidRPr="004705CB">
        <w:t xml:space="preserve"> </w:t>
      </w:r>
      <w:r>
        <w:t>9</w:t>
      </w:r>
      <w:r w:rsidRPr="004705CB">
        <w:t>–</w:t>
      </w:r>
      <w:r>
        <w:t>11</w:t>
      </w:r>
      <w:r w:rsidRPr="004705CB">
        <w:t xml:space="preserve"> na průměrné hodnoty (což může být ortodoxními metodology vnímáno s ohledem na charakter výzkumných dat jako sporné), je možné usuzovat na relativně vyšší průměrné hodnoty učebních úloh zastoupených v učebnici nakladatelství Fraus (srov. obr. </w:t>
      </w:r>
      <w:r>
        <w:t>18</w:t>
      </w:r>
      <w:r w:rsidRPr="004705CB">
        <w:t xml:space="preserve">). Uvedené zjištění nicméně není možné přeceňovat, neboť hodnoty průměrů jednotlivých dimenzí se v jednotlivých zkoumaných učebnicích odlišují pouze sporadicky. </w:t>
      </w:r>
      <w:r>
        <w:t>Učební úlohy ve</w:t>
      </w:r>
      <w:r w:rsidR="007E079C">
        <w:t xml:space="preserve"> všech zkoumaných učebnicích skór</w:t>
      </w:r>
      <w:r>
        <w:t xml:space="preserve">ovaly v jednotlivých dimenzích příležitostí k utváření a rozvíjení kompetence k řešení problémů velmi nízko. </w:t>
      </w:r>
      <w:r w:rsidRPr="004705CB">
        <w:t xml:space="preserve">O </w:t>
      </w:r>
      <w:r>
        <w:t>skladbě</w:t>
      </w:r>
      <w:r w:rsidRPr="004705CB">
        <w:t xml:space="preserve"> učebních úloh vypovídá také shodná hodnota mediánu ve všech zkoumaných dimenzích (</w:t>
      </w:r>
      <w:r w:rsidRPr="004705CB">
        <w:rPr>
          <w:iCs/>
        </w:rPr>
        <w:t xml:space="preserve">Md = </w:t>
      </w:r>
      <w:r w:rsidRPr="004705CB">
        <w:t>1).</w:t>
      </w:r>
      <w:r w:rsidR="00BE2CAC">
        <w:t xml:space="preserve"> </w:t>
      </w:r>
      <w:r>
        <w:t>Hodnoty průměrů a mediánů jsou uvedeny v tabulce 12.</w:t>
      </w:r>
    </w:p>
    <w:p w:rsidR="00CA1403" w:rsidRPr="00325967" w:rsidRDefault="00CA1403" w:rsidP="00066EDE">
      <w:pPr>
        <w:widowControl w:val="0"/>
        <w:autoSpaceDE w:val="0"/>
        <w:autoSpaceDN w:val="0"/>
        <w:adjustRightInd w:val="0"/>
        <w:rPr>
          <w:rFonts w:eastAsiaTheme="minorEastAsia"/>
        </w:rPr>
      </w:pPr>
    </w:p>
    <w:p w:rsidR="00A51033" w:rsidRDefault="00A51033" w:rsidP="00066EDE">
      <w:pPr>
        <w:widowControl w:val="0"/>
        <w:autoSpaceDE w:val="0"/>
        <w:autoSpaceDN w:val="0"/>
        <w:adjustRightInd w:val="0"/>
        <w:rPr>
          <w:rFonts w:eastAsiaTheme="minorEastAsia"/>
        </w:rPr>
      </w:pPr>
    </w:p>
    <w:p w:rsidR="00A51033" w:rsidRDefault="00A40A91" w:rsidP="002C15C4">
      <w:pPr>
        <w:widowControl w:val="0"/>
        <w:autoSpaceDE w:val="0"/>
        <w:autoSpaceDN w:val="0"/>
        <w:adjustRightInd w:val="0"/>
        <w:jc w:val="center"/>
        <w:rPr>
          <w:rFonts w:eastAsiaTheme="minorEastAsia"/>
        </w:rPr>
      </w:pPr>
      <w:r>
        <w:rPr>
          <w:noProof/>
        </w:rPr>
        <w:drawing>
          <wp:inline distT="0" distB="0" distL="0" distR="0">
            <wp:extent cx="4398570" cy="4203865"/>
            <wp:effectExtent l="19050" t="0" r="1980" b="0"/>
            <wp:docPr id="21"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cstate="print"/>
                    <a:srcRect r="19373"/>
                    <a:stretch>
                      <a:fillRect/>
                    </a:stretch>
                  </pic:blipFill>
                  <pic:spPr bwMode="auto">
                    <a:xfrm>
                      <a:off x="0" y="0"/>
                      <a:ext cx="4398570" cy="4203865"/>
                    </a:xfrm>
                    <a:prstGeom prst="rect">
                      <a:avLst/>
                    </a:prstGeom>
                    <a:noFill/>
                    <a:ln w="9525">
                      <a:noFill/>
                      <a:miter lim="800000"/>
                      <a:headEnd/>
                      <a:tailEnd/>
                    </a:ln>
                  </pic:spPr>
                </pic:pic>
              </a:graphicData>
            </a:graphic>
          </wp:inline>
        </w:drawing>
      </w:r>
    </w:p>
    <w:p w:rsidR="00A40A91" w:rsidRPr="00FB20B9" w:rsidRDefault="00FB20B9" w:rsidP="00FB20B9">
      <w:pPr>
        <w:pStyle w:val="Titulek"/>
        <w:rPr>
          <w:rFonts w:eastAsiaTheme="minorEastAsia"/>
          <w:b w:val="0"/>
          <w:sz w:val="24"/>
        </w:rPr>
      </w:pPr>
      <w:bookmarkStart w:id="102" w:name="_Toc399789156"/>
      <w:r w:rsidRPr="00FB20B9">
        <w:rPr>
          <w:b w:val="0"/>
          <w:i/>
          <w:sz w:val="24"/>
        </w:rPr>
        <w:t xml:space="preserve">Obrázek </w:t>
      </w:r>
      <w:r w:rsidR="003818A1" w:rsidRPr="00FB20B9">
        <w:rPr>
          <w:b w:val="0"/>
          <w:i/>
          <w:sz w:val="24"/>
        </w:rPr>
        <w:fldChar w:fldCharType="begin"/>
      </w:r>
      <w:r w:rsidRPr="00FB20B9">
        <w:rPr>
          <w:b w:val="0"/>
          <w:i/>
          <w:sz w:val="24"/>
        </w:rPr>
        <w:instrText xml:space="preserve"> SEQ Obrázek \* ARABIC </w:instrText>
      </w:r>
      <w:r w:rsidR="003818A1" w:rsidRPr="00FB20B9">
        <w:rPr>
          <w:b w:val="0"/>
          <w:i/>
          <w:sz w:val="24"/>
        </w:rPr>
        <w:fldChar w:fldCharType="separate"/>
      </w:r>
      <w:r>
        <w:rPr>
          <w:b w:val="0"/>
          <w:i/>
          <w:noProof/>
          <w:sz w:val="24"/>
        </w:rPr>
        <w:t>18</w:t>
      </w:r>
      <w:r w:rsidR="003818A1" w:rsidRPr="00FB20B9">
        <w:rPr>
          <w:b w:val="0"/>
          <w:i/>
          <w:sz w:val="24"/>
        </w:rPr>
        <w:fldChar w:fldCharType="end"/>
      </w:r>
      <w:r w:rsidRPr="00FB20B9">
        <w:rPr>
          <w:rFonts w:eastAsiaTheme="minorEastAsia"/>
          <w:b w:val="0"/>
          <w:i/>
          <w:sz w:val="24"/>
        </w:rPr>
        <w:t xml:space="preserve">. </w:t>
      </w:r>
      <w:r w:rsidR="00A40A91" w:rsidRPr="00FB20B9">
        <w:rPr>
          <w:rFonts w:eastAsiaTheme="minorEastAsia"/>
          <w:b w:val="0"/>
          <w:sz w:val="24"/>
        </w:rPr>
        <w:t>Průměr</w:t>
      </w:r>
      <w:r w:rsidR="004A0F52" w:rsidRPr="00FB20B9">
        <w:rPr>
          <w:rFonts w:eastAsiaTheme="minorEastAsia"/>
          <w:b w:val="0"/>
          <w:sz w:val="24"/>
        </w:rPr>
        <w:t>né hodnoty</w:t>
      </w:r>
      <w:r w:rsidR="00A40A91" w:rsidRPr="00FB20B9">
        <w:rPr>
          <w:rFonts w:eastAsiaTheme="minorEastAsia"/>
          <w:b w:val="0"/>
          <w:sz w:val="24"/>
        </w:rPr>
        <w:t xml:space="preserve"> jednotlivých dimenzí </w:t>
      </w:r>
      <w:r w:rsidR="004A0F52" w:rsidRPr="00FB20B9">
        <w:rPr>
          <w:rFonts w:eastAsiaTheme="minorEastAsia"/>
          <w:b w:val="0"/>
          <w:sz w:val="24"/>
        </w:rPr>
        <w:t>problémových učebních úloh v učebnicích z jednotlivých vydavatelství.</w:t>
      </w:r>
      <w:bookmarkEnd w:id="102"/>
    </w:p>
    <w:p w:rsidR="00A720FB" w:rsidRDefault="00A720FB">
      <w:pPr>
        <w:rPr>
          <w:rFonts w:eastAsiaTheme="minorEastAsia"/>
        </w:rPr>
      </w:pPr>
      <w:r>
        <w:rPr>
          <w:rFonts w:eastAsiaTheme="minorEastAsia"/>
        </w:rPr>
        <w:br w:type="page"/>
      </w:r>
    </w:p>
    <w:p w:rsidR="00A51033" w:rsidRPr="00FB20B9" w:rsidRDefault="00FB20B9" w:rsidP="00FB20B9">
      <w:pPr>
        <w:pStyle w:val="Titulek"/>
        <w:rPr>
          <w:rFonts w:eastAsiaTheme="minorEastAsia"/>
          <w:b w:val="0"/>
          <w:sz w:val="24"/>
        </w:rPr>
      </w:pPr>
      <w:bookmarkStart w:id="103" w:name="_Toc399013076"/>
      <w:r w:rsidRPr="00FB20B9">
        <w:rPr>
          <w:b w:val="0"/>
          <w:sz w:val="24"/>
        </w:rPr>
        <w:t xml:space="preserve">Tabulka </w:t>
      </w:r>
      <w:r w:rsidR="003818A1" w:rsidRPr="00FB20B9">
        <w:rPr>
          <w:b w:val="0"/>
          <w:sz w:val="24"/>
        </w:rPr>
        <w:fldChar w:fldCharType="begin"/>
      </w:r>
      <w:r w:rsidRPr="00FB20B9">
        <w:rPr>
          <w:b w:val="0"/>
          <w:sz w:val="24"/>
        </w:rPr>
        <w:instrText xml:space="preserve"> SEQ Tabulka \* ARABIC </w:instrText>
      </w:r>
      <w:r w:rsidR="003818A1" w:rsidRPr="00FB20B9">
        <w:rPr>
          <w:b w:val="0"/>
          <w:sz w:val="24"/>
        </w:rPr>
        <w:fldChar w:fldCharType="separate"/>
      </w:r>
      <w:r>
        <w:rPr>
          <w:b w:val="0"/>
          <w:noProof/>
          <w:sz w:val="24"/>
        </w:rPr>
        <w:t>12</w:t>
      </w:r>
      <w:bookmarkEnd w:id="103"/>
      <w:r w:rsidR="003818A1" w:rsidRPr="00FB20B9">
        <w:rPr>
          <w:b w:val="0"/>
          <w:sz w:val="24"/>
        </w:rPr>
        <w:fldChar w:fldCharType="end"/>
      </w:r>
    </w:p>
    <w:p w:rsidR="00A40A91" w:rsidRPr="004A0F52" w:rsidRDefault="00A40A91" w:rsidP="00066EDE">
      <w:pPr>
        <w:widowControl w:val="0"/>
        <w:autoSpaceDE w:val="0"/>
        <w:autoSpaceDN w:val="0"/>
        <w:adjustRightInd w:val="0"/>
        <w:rPr>
          <w:rFonts w:eastAsiaTheme="minorEastAsia"/>
          <w:i/>
        </w:rPr>
      </w:pPr>
      <w:r w:rsidRPr="004A0F52">
        <w:rPr>
          <w:rFonts w:eastAsiaTheme="minorEastAsia"/>
          <w:i/>
        </w:rPr>
        <w:t xml:space="preserve">Hodnoty </w:t>
      </w:r>
      <w:r w:rsidR="00B76C35" w:rsidRPr="004A0F52">
        <w:rPr>
          <w:rFonts w:eastAsiaTheme="minorEastAsia"/>
          <w:i/>
        </w:rPr>
        <w:t>průměru a mediánu jednotlivých dimenzí příležitostí k utváření a rozvíjení kompetence k řešení problémů ve zkoumaných učebnicích</w:t>
      </w:r>
      <w:r w:rsidR="00A87907" w:rsidRPr="004A0F52">
        <w:rPr>
          <w:rFonts w:eastAsiaTheme="minorEastAsia"/>
          <w:i/>
        </w:rPr>
        <w:t>.</w:t>
      </w:r>
    </w:p>
    <w:tbl>
      <w:tblPr>
        <w:tblW w:w="5743"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firstRow="0" w:lastRow="0" w:firstColumn="0" w:lastColumn="0" w:noHBand="0" w:noVBand="0"/>
      </w:tblPr>
      <w:tblGrid>
        <w:gridCol w:w="1198"/>
        <w:gridCol w:w="880"/>
        <w:gridCol w:w="1255"/>
        <w:gridCol w:w="1134"/>
        <w:gridCol w:w="1276"/>
      </w:tblGrid>
      <w:tr w:rsidR="005E4807" w:rsidRPr="005E4807" w:rsidTr="00B5646E">
        <w:trPr>
          <w:cantSplit/>
          <w:jc w:val="center"/>
        </w:trPr>
        <w:tc>
          <w:tcPr>
            <w:tcW w:w="5743" w:type="dxa"/>
            <w:gridSpan w:val="5"/>
            <w:tcBorders>
              <w:top w:val="nil"/>
              <w:left w:val="nil"/>
              <w:bottom w:val="single" w:sz="18" w:space="0" w:color="000000"/>
              <w:right w:val="nil"/>
            </w:tcBorders>
            <w:shd w:val="clear" w:color="auto" w:fill="FFFFFF"/>
          </w:tcPr>
          <w:p w:rsidR="005E4807" w:rsidRPr="005E4807" w:rsidRDefault="005E4807" w:rsidP="005E4807">
            <w:pPr>
              <w:autoSpaceDE w:val="0"/>
              <w:autoSpaceDN w:val="0"/>
              <w:adjustRightInd w:val="0"/>
              <w:spacing w:line="320" w:lineRule="atLeast"/>
              <w:ind w:left="60" w:right="60"/>
              <w:jc w:val="center"/>
              <w:rPr>
                <w:rFonts w:ascii="Arial" w:hAnsi="Arial" w:cs="Arial"/>
                <w:color w:val="000000"/>
                <w:sz w:val="18"/>
                <w:szCs w:val="18"/>
              </w:rPr>
            </w:pPr>
          </w:p>
        </w:tc>
      </w:tr>
      <w:tr w:rsidR="005E4807" w:rsidRPr="005E4807" w:rsidTr="00B5646E">
        <w:trPr>
          <w:cantSplit/>
          <w:jc w:val="center"/>
        </w:trPr>
        <w:tc>
          <w:tcPr>
            <w:tcW w:w="2078" w:type="dxa"/>
            <w:gridSpan w:val="2"/>
            <w:tcBorders>
              <w:top w:val="single" w:sz="18" w:space="0" w:color="000000"/>
              <w:left w:val="nil"/>
              <w:bottom w:val="single" w:sz="18" w:space="0" w:color="000000"/>
              <w:right w:val="nil"/>
            </w:tcBorders>
            <w:shd w:val="clear" w:color="auto" w:fill="FFFFFF"/>
          </w:tcPr>
          <w:p w:rsidR="005E4807" w:rsidRPr="005E4807" w:rsidRDefault="005E4807" w:rsidP="00AF16DE">
            <w:pPr>
              <w:autoSpaceDE w:val="0"/>
              <w:autoSpaceDN w:val="0"/>
              <w:adjustRightInd w:val="0"/>
              <w:ind w:left="60" w:right="60"/>
              <w:rPr>
                <w:rFonts w:ascii="Arial" w:hAnsi="Arial" w:cs="Arial"/>
                <w:color w:val="000000"/>
                <w:sz w:val="18"/>
                <w:szCs w:val="18"/>
              </w:rPr>
            </w:pPr>
            <w:r w:rsidRPr="005E4807">
              <w:rPr>
                <w:rFonts w:ascii="Arial" w:hAnsi="Arial" w:cs="Arial"/>
                <w:color w:val="000000"/>
                <w:sz w:val="18"/>
                <w:szCs w:val="18"/>
              </w:rPr>
              <w:t>vyd</w:t>
            </w:r>
            <w:r w:rsidR="00E71A6A">
              <w:rPr>
                <w:rFonts w:ascii="Arial" w:hAnsi="Arial" w:cs="Arial"/>
                <w:color w:val="000000"/>
                <w:sz w:val="18"/>
                <w:szCs w:val="18"/>
              </w:rPr>
              <w:t>avatelství</w:t>
            </w:r>
          </w:p>
        </w:tc>
        <w:tc>
          <w:tcPr>
            <w:tcW w:w="1255" w:type="dxa"/>
            <w:tcBorders>
              <w:top w:val="single" w:sz="18" w:space="0" w:color="000000"/>
              <w:left w:val="nil"/>
              <w:bottom w:val="single" w:sz="18" w:space="0" w:color="000000"/>
              <w:right w:val="nil"/>
            </w:tcBorders>
            <w:shd w:val="clear" w:color="auto" w:fill="FFFFFF"/>
          </w:tcPr>
          <w:p w:rsidR="005E4807" w:rsidRPr="005E4807" w:rsidRDefault="00B5646E" w:rsidP="00AF16DE">
            <w:pPr>
              <w:autoSpaceDE w:val="0"/>
              <w:autoSpaceDN w:val="0"/>
              <w:adjustRightInd w:val="0"/>
              <w:ind w:left="60" w:right="60"/>
              <w:jc w:val="center"/>
              <w:rPr>
                <w:rFonts w:ascii="Arial" w:hAnsi="Arial" w:cs="Arial"/>
                <w:color w:val="000000"/>
                <w:sz w:val="18"/>
                <w:szCs w:val="18"/>
              </w:rPr>
            </w:pPr>
            <w:r>
              <w:rPr>
                <w:rFonts w:ascii="Arial" w:hAnsi="Arial" w:cs="Arial"/>
                <w:color w:val="000000"/>
                <w:sz w:val="18"/>
                <w:szCs w:val="18"/>
              </w:rPr>
              <w:t>Systémovost</w:t>
            </w:r>
          </w:p>
        </w:tc>
        <w:tc>
          <w:tcPr>
            <w:tcW w:w="1134" w:type="dxa"/>
            <w:tcBorders>
              <w:top w:val="single" w:sz="18" w:space="0" w:color="000000"/>
              <w:left w:val="nil"/>
              <w:bottom w:val="single" w:sz="18" w:space="0" w:color="000000"/>
              <w:right w:val="nil"/>
            </w:tcBorders>
            <w:shd w:val="clear" w:color="auto" w:fill="FFFFFF"/>
          </w:tcPr>
          <w:p w:rsidR="005E4807" w:rsidRPr="005E4807" w:rsidRDefault="00B5646E" w:rsidP="00AF16DE">
            <w:pPr>
              <w:autoSpaceDE w:val="0"/>
              <w:autoSpaceDN w:val="0"/>
              <w:adjustRightInd w:val="0"/>
              <w:ind w:left="60" w:right="60"/>
              <w:jc w:val="center"/>
              <w:rPr>
                <w:rFonts w:ascii="Arial" w:hAnsi="Arial" w:cs="Arial"/>
                <w:color w:val="000000"/>
                <w:sz w:val="18"/>
                <w:szCs w:val="18"/>
              </w:rPr>
            </w:pPr>
            <w:r>
              <w:rPr>
                <w:rFonts w:ascii="Arial" w:hAnsi="Arial" w:cs="Arial"/>
                <w:color w:val="000000"/>
                <w:sz w:val="18"/>
                <w:szCs w:val="18"/>
              </w:rPr>
              <w:t>Komplexita</w:t>
            </w:r>
          </w:p>
        </w:tc>
        <w:tc>
          <w:tcPr>
            <w:tcW w:w="1276" w:type="dxa"/>
            <w:tcBorders>
              <w:top w:val="single" w:sz="18" w:space="0" w:color="000000"/>
              <w:left w:val="nil"/>
              <w:bottom w:val="single" w:sz="18" w:space="0" w:color="000000"/>
              <w:right w:val="nil"/>
            </w:tcBorders>
            <w:shd w:val="clear" w:color="auto" w:fill="FFFFFF"/>
          </w:tcPr>
          <w:p w:rsidR="005E4807" w:rsidRPr="005E4807" w:rsidRDefault="00B5646E" w:rsidP="00AF16DE">
            <w:pPr>
              <w:autoSpaceDE w:val="0"/>
              <w:autoSpaceDN w:val="0"/>
              <w:adjustRightInd w:val="0"/>
              <w:ind w:left="60" w:right="60"/>
              <w:jc w:val="center"/>
              <w:rPr>
                <w:rFonts w:ascii="Arial" w:hAnsi="Arial" w:cs="Arial"/>
                <w:color w:val="000000"/>
                <w:sz w:val="18"/>
                <w:szCs w:val="18"/>
              </w:rPr>
            </w:pPr>
            <w:r>
              <w:rPr>
                <w:rFonts w:ascii="Arial" w:hAnsi="Arial" w:cs="Arial"/>
                <w:color w:val="000000"/>
                <w:sz w:val="18"/>
                <w:szCs w:val="18"/>
              </w:rPr>
              <w:t>Náročnost</w:t>
            </w:r>
          </w:p>
        </w:tc>
      </w:tr>
      <w:tr w:rsidR="005E4807" w:rsidRPr="005E4807" w:rsidTr="00B5646E">
        <w:trPr>
          <w:cantSplit/>
          <w:jc w:val="center"/>
        </w:trPr>
        <w:tc>
          <w:tcPr>
            <w:tcW w:w="1198" w:type="dxa"/>
            <w:vMerge w:val="restart"/>
            <w:tcBorders>
              <w:top w:val="single" w:sz="18" w:space="0" w:color="000000"/>
              <w:left w:val="nil"/>
              <w:bottom w:val="nil"/>
              <w:right w:val="nil"/>
            </w:tcBorders>
            <w:shd w:val="clear" w:color="auto" w:fill="FFFFFF"/>
            <w:vAlign w:val="center"/>
          </w:tcPr>
          <w:p w:rsidR="005E4807" w:rsidRPr="005E4807" w:rsidRDefault="005E4807" w:rsidP="00AF16DE">
            <w:pPr>
              <w:autoSpaceDE w:val="0"/>
              <w:autoSpaceDN w:val="0"/>
              <w:adjustRightInd w:val="0"/>
              <w:ind w:left="60" w:right="60"/>
              <w:rPr>
                <w:rFonts w:ascii="Arial" w:hAnsi="Arial" w:cs="Arial"/>
                <w:color w:val="000000"/>
                <w:sz w:val="18"/>
                <w:szCs w:val="18"/>
              </w:rPr>
            </w:pPr>
            <w:r w:rsidRPr="005E4807">
              <w:rPr>
                <w:rFonts w:ascii="Arial" w:hAnsi="Arial" w:cs="Arial"/>
                <w:color w:val="000000"/>
                <w:sz w:val="18"/>
                <w:szCs w:val="18"/>
              </w:rPr>
              <w:t>Fraus</w:t>
            </w:r>
          </w:p>
        </w:tc>
        <w:tc>
          <w:tcPr>
            <w:tcW w:w="880" w:type="dxa"/>
            <w:tcBorders>
              <w:top w:val="single" w:sz="18" w:space="0" w:color="000000"/>
              <w:left w:val="nil"/>
              <w:bottom w:val="nil"/>
              <w:right w:val="nil"/>
            </w:tcBorders>
            <w:shd w:val="clear" w:color="auto" w:fill="FFFFFF"/>
            <w:vAlign w:val="center"/>
          </w:tcPr>
          <w:p w:rsidR="005E4807" w:rsidRPr="005E4807" w:rsidRDefault="005E4807" w:rsidP="00AF16DE">
            <w:pPr>
              <w:autoSpaceDE w:val="0"/>
              <w:autoSpaceDN w:val="0"/>
              <w:adjustRightInd w:val="0"/>
              <w:ind w:left="60" w:right="60"/>
              <w:rPr>
                <w:rFonts w:ascii="Arial" w:hAnsi="Arial" w:cs="Arial"/>
                <w:color w:val="000000"/>
                <w:sz w:val="18"/>
                <w:szCs w:val="18"/>
              </w:rPr>
            </w:pPr>
            <w:r w:rsidRPr="005E4807">
              <w:rPr>
                <w:rFonts w:ascii="Arial" w:hAnsi="Arial" w:cs="Arial"/>
                <w:color w:val="000000"/>
                <w:sz w:val="18"/>
                <w:szCs w:val="18"/>
              </w:rPr>
              <w:t>N</w:t>
            </w:r>
          </w:p>
        </w:tc>
        <w:tc>
          <w:tcPr>
            <w:tcW w:w="1255" w:type="dxa"/>
            <w:tcBorders>
              <w:top w:val="single" w:sz="18" w:space="0" w:color="000000"/>
              <w:left w:val="nil"/>
              <w:bottom w:val="nil"/>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261</w:t>
            </w:r>
          </w:p>
        </w:tc>
        <w:tc>
          <w:tcPr>
            <w:tcW w:w="1134" w:type="dxa"/>
            <w:tcBorders>
              <w:top w:val="single" w:sz="18" w:space="0" w:color="000000"/>
              <w:left w:val="nil"/>
              <w:bottom w:val="nil"/>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261</w:t>
            </w:r>
          </w:p>
        </w:tc>
        <w:tc>
          <w:tcPr>
            <w:tcW w:w="1276" w:type="dxa"/>
            <w:tcBorders>
              <w:top w:val="single" w:sz="18" w:space="0" w:color="000000"/>
              <w:left w:val="nil"/>
              <w:bottom w:val="nil"/>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261</w:t>
            </w:r>
          </w:p>
        </w:tc>
      </w:tr>
      <w:tr w:rsidR="005E4807" w:rsidRPr="005E4807" w:rsidTr="00B5646E">
        <w:trPr>
          <w:cantSplit/>
          <w:jc w:val="center"/>
        </w:trPr>
        <w:tc>
          <w:tcPr>
            <w:tcW w:w="1198" w:type="dxa"/>
            <w:vMerge/>
            <w:tcBorders>
              <w:top w:val="single" w:sz="16" w:space="0" w:color="000000"/>
              <w:left w:val="nil"/>
              <w:bottom w:val="nil"/>
              <w:right w:val="nil"/>
            </w:tcBorders>
            <w:shd w:val="clear" w:color="auto" w:fill="FFFFFF"/>
            <w:vAlign w:val="center"/>
          </w:tcPr>
          <w:p w:rsidR="005E4807" w:rsidRPr="005E4807" w:rsidRDefault="005E4807" w:rsidP="00AF16DE">
            <w:pPr>
              <w:autoSpaceDE w:val="0"/>
              <w:autoSpaceDN w:val="0"/>
              <w:adjustRightInd w:val="0"/>
              <w:rPr>
                <w:rFonts w:ascii="Arial" w:hAnsi="Arial" w:cs="Arial"/>
                <w:color w:val="000000"/>
                <w:sz w:val="18"/>
                <w:szCs w:val="18"/>
              </w:rPr>
            </w:pPr>
          </w:p>
        </w:tc>
        <w:tc>
          <w:tcPr>
            <w:tcW w:w="880" w:type="dxa"/>
            <w:tcBorders>
              <w:top w:val="nil"/>
              <w:left w:val="nil"/>
              <w:bottom w:val="nil"/>
              <w:right w:val="nil"/>
            </w:tcBorders>
            <w:shd w:val="clear" w:color="auto" w:fill="FFFFFF"/>
            <w:vAlign w:val="center"/>
          </w:tcPr>
          <w:p w:rsidR="005E4807" w:rsidRPr="005E4807" w:rsidRDefault="00E71A6A" w:rsidP="00AF16DE">
            <w:pPr>
              <w:autoSpaceDE w:val="0"/>
              <w:autoSpaceDN w:val="0"/>
              <w:adjustRightInd w:val="0"/>
              <w:ind w:left="60" w:right="60"/>
              <w:rPr>
                <w:rFonts w:ascii="Arial" w:hAnsi="Arial" w:cs="Arial"/>
                <w:color w:val="000000"/>
                <w:sz w:val="18"/>
                <w:szCs w:val="18"/>
              </w:rPr>
            </w:pPr>
            <w:r>
              <w:rPr>
                <w:rFonts w:ascii="Arial" w:hAnsi="Arial" w:cs="Arial"/>
                <w:color w:val="000000"/>
                <w:sz w:val="18"/>
                <w:szCs w:val="18"/>
              </w:rPr>
              <w:t>Průměr</w:t>
            </w:r>
          </w:p>
        </w:tc>
        <w:tc>
          <w:tcPr>
            <w:tcW w:w="1255" w:type="dxa"/>
            <w:tcBorders>
              <w:top w:val="nil"/>
              <w:left w:val="nil"/>
              <w:bottom w:val="nil"/>
              <w:right w:val="nil"/>
            </w:tcBorders>
            <w:shd w:val="clear" w:color="auto" w:fill="FFFFFF"/>
          </w:tcPr>
          <w:p w:rsidR="005E4807" w:rsidRPr="005E4807" w:rsidRDefault="005E4807" w:rsidP="00B5646E">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1,3</w:t>
            </w:r>
            <w:r w:rsidR="00B5646E">
              <w:rPr>
                <w:rFonts w:ascii="Arial" w:hAnsi="Arial" w:cs="Arial"/>
                <w:color w:val="000000"/>
                <w:sz w:val="18"/>
                <w:szCs w:val="18"/>
              </w:rPr>
              <w:t>6</w:t>
            </w:r>
          </w:p>
        </w:tc>
        <w:tc>
          <w:tcPr>
            <w:tcW w:w="1134" w:type="dxa"/>
            <w:tcBorders>
              <w:top w:val="nil"/>
              <w:left w:val="nil"/>
              <w:bottom w:val="nil"/>
              <w:right w:val="nil"/>
            </w:tcBorders>
            <w:shd w:val="clear" w:color="auto" w:fill="FFFFFF"/>
          </w:tcPr>
          <w:p w:rsidR="005E4807" w:rsidRPr="005E4807" w:rsidRDefault="005E4807" w:rsidP="00B5646E">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w:t>
            </w:r>
            <w:r w:rsidR="00B5646E">
              <w:rPr>
                <w:rFonts w:ascii="Arial" w:hAnsi="Arial" w:cs="Arial"/>
                <w:color w:val="000000"/>
                <w:sz w:val="18"/>
                <w:szCs w:val="18"/>
              </w:rPr>
              <w:t>30</w:t>
            </w:r>
          </w:p>
        </w:tc>
        <w:tc>
          <w:tcPr>
            <w:tcW w:w="1276" w:type="dxa"/>
            <w:tcBorders>
              <w:top w:val="nil"/>
              <w:left w:val="nil"/>
              <w:bottom w:val="nil"/>
              <w:right w:val="nil"/>
            </w:tcBorders>
            <w:shd w:val="clear" w:color="auto" w:fill="FFFFFF"/>
          </w:tcPr>
          <w:p w:rsidR="005E4807" w:rsidRPr="005E4807" w:rsidRDefault="005E4807" w:rsidP="00B5646E">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w:t>
            </w:r>
            <w:r w:rsidR="00B5646E">
              <w:rPr>
                <w:rFonts w:ascii="Arial" w:hAnsi="Arial" w:cs="Arial"/>
                <w:color w:val="000000"/>
                <w:sz w:val="18"/>
                <w:szCs w:val="18"/>
              </w:rPr>
              <w:t>43</w:t>
            </w:r>
          </w:p>
        </w:tc>
      </w:tr>
      <w:tr w:rsidR="005E4807" w:rsidRPr="005E4807" w:rsidTr="00B5646E">
        <w:trPr>
          <w:cantSplit/>
          <w:jc w:val="center"/>
        </w:trPr>
        <w:tc>
          <w:tcPr>
            <w:tcW w:w="1198" w:type="dxa"/>
            <w:vMerge/>
            <w:tcBorders>
              <w:top w:val="single" w:sz="16" w:space="0" w:color="000000"/>
              <w:left w:val="nil"/>
              <w:bottom w:val="single" w:sz="4" w:space="0" w:color="000000"/>
              <w:right w:val="nil"/>
            </w:tcBorders>
            <w:shd w:val="clear" w:color="auto" w:fill="FFFFFF"/>
            <w:vAlign w:val="center"/>
          </w:tcPr>
          <w:p w:rsidR="005E4807" w:rsidRPr="005E4807" w:rsidRDefault="005E4807" w:rsidP="00AF16DE">
            <w:pPr>
              <w:autoSpaceDE w:val="0"/>
              <w:autoSpaceDN w:val="0"/>
              <w:adjustRightInd w:val="0"/>
              <w:rPr>
                <w:rFonts w:ascii="Arial" w:hAnsi="Arial" w:cs="Arial"/>
                <w:color w:val="000000"/>
                <w:sz w:val="18"/>
                <w:szCs w:val="18"/>
              </w:rPr>
            </w:pPr>
          </w:p>
        </w:tc>
        <w:tc>
          <w:tcPr>
            <w:tcW w:w="880" w:type="dxa"/>
            <w:tcBorders>
              <w:top w:val="nil"/>
              <w:left w:val="nil"/>
              <w:bottom w:val="single" w:sz="4" w:space="0" w:color="000000"/>
              <w:right w:val="nil"/>
            </w:tcBorders>
            <w:shd w:val="clear" w:color="auto" w:fill="FFFFFF"/>
            <w:vAlign w:val="center"/>
          </w:tcPr>
          <w:p w:rsidR="005E4807" w:rsidRPr="005E4807" w:rsidRDefault="005E4807" w:rsidP="00E71A6A">
            <w:pPr>
              <w:autoSpaceDE w:val="0"/>
              <w:autoSpaceDN w:val="0"/>
              <w:adjustRightInd w:val="0"/>
              <w:ind w:left="60" w:right="60"/>
              <w:rPr>
                <w:rFonts w:ascii="Arial" w:hAnsi="Arial" w:cs="Arial"/>
                <w:color w:val="000000"/>
                <w:sz w:val="18"/>
                <w:szCs w:val="18"/>
              </w:rPr>
            </w:pPr>
            <w:r w:rsidRPr="005E4807">
              <w:rPr>
                <w:rFonts w:ascii="Arial" w:hAnsi="Arial" w:cs="Arial"/>
                <w:color w:val="000000"/>
                <w:sz w:val="18"/>
                <w:szCs w:val="18"/>
              </w:rPr>
              <w:t>Medi</w:t>
            </w:r>
            <w:r w:rsidR="00E71A6A">
              <w:rPr>
                <w:rFonts w:ascii="Arial" w:hAnsi="Arial" w:cs="Arial"/>
                <w:color w:val="000000"/>
                <w:sz w:val="18"/>
                <w:szCs w:val="18"/>
              </w:rPr>
              <w:t>á</w:t>
            </w:r>
            <w:r w:rsidRPr="005E4807">
              <w:rPr>
                <w:rFonts w:ascii="Arial" w:hAnsi="Arial" w:cs="Arial"/>
                <w:color w:val="000000"/>
                <w:sz w:val="18"/>
                <w:szCs w:val="18"/>
              </w:rPr>
              <w:t>n</w:t>
            </w:r>
          </w:p>
        </w:tc>
        <w:tc>
          <w:tcPr>
            <w:tcW w:w="1255" w:type="dxa"/>
            <w:tcBorders>
              <w:top w:val="nil"/>
              <w:left w:val="nil"/>
              <w:bottom w:val="single" w:sz="4" w:space="0" w:color="000000"/>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c>
          <w:tcPr>
            <w:tcW w:w="1134" w:type="dxa"/>
            <w:tcBorders>
              <w:top w:val="nil"/>
              <w:left w:val="nil"/>
              <w:bottom w:val="single" w:sz="4" w:space="0" w:color="000000"/>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c>
          <w:tcPr>
            <w:tcW w:w="1276" w:type="dxa"/>
            <w:tcBorders>
              <w:top w:val="nil"/>
              <w:left w:val="nil"/>
              <w:bottom w:val="single" w:sz="4" w:space="0" w:color="000000"/>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r>
      <w:tr w:rsidR="005E4807" w:rsidRPr="005E4807" w:rsidTr="00B5646E">
        <w:trPr>
          <w:cantSplit/>
          <w:jc w:val="center"/>
        </w:trPr>
        <w:tc>
          <w:tcPr>
            <w:tcW w:w="1198" w:type="dxa"/>
            <w:vMerge w:val="restart"/>
            <w:tcBorders>
              <w:top w:val="single" w:sz="4" w:space="0" w:color="000000"/>
              <w:left w:val="nil"/>
              <w:bottom w:val="nil"/>
              <w:right w:val="nil"/>
            </w:tcBorders>
            <w:shd w:val="clear" w:color="auto" w:fill="FFFFFF"/>
            <w:vAlign w:val="center"/>
          </w:tcPr>
          <w:p w:rsidR="005E4807" w:rsidRPr="005E4807" w:rsidRDefault="005E4807" w:rsidP="00AF16DE">
            <w:pPr>
              <w:autoSpaceDE w:val="0"/>
              <w:autoSpaceDN w:val="0"/>
              <w:adjustRightInd w:val="0"/>
              <w:ind w:left="60" w:right="60"/>
              <w:rPr>
                <w:rFonts w:ascii="Arial" w:hAnsi="Arial" w:cs="Arial"/>
                <w:color w:val="000000"/>
                <w:sz w:val="18"/>
                <w:szCs w:val="18"/>
              </w:rPr>
            </w:pPr>
            <w:r w:rsidRPr="005E4807">
              <w:rPr>
                <w:rFonts w:ascii="Arial" w:hAnsi="Arial" w:cs="Arial"/>
                <w:color w:val="000000"/>
                <w:sz w:val="18"/>
                <w:szCs w:val="18"/>
              </w:rPr>
              <w:t>NČGS</w:t>
            </w:r>
          </w:p>
        </w:tc>
        <w:tc>
          <w:tcPr>
            <w:tcW w:w="880" w:type="dxa"/>
            <w:tcBorders>
              <w:top w:val="single" w:sz="4" w:space="0" w:color="000000"/>
              <w:left w:val="nil"/>
              <w:bottom w:val="nil"/>
              <w:right w:val="nil"/>
            </w:tcBorders>
            <w:shd w:val="clear" w:color="auto" w:fill="FFFFFF"/>
            <w:vAlign w:val="center"/>
          </w:tcPr>
          <w:p w:rsidR="005E4807" w:rsidRPr="005E4807" w:rsidRDefault="005E4807" w:rsidP="00AF16DE">
            <w:pPr>
              <w:autoSpaceDE w:val="0"/>
              <w:autoSpaceDN w:val="0"/>
              <w:adjustRightInd w:val="0"/>
              <w:ind w:left="60" w:right="60"/>
              <w:rPr>
                <w:rFonts w:ascii="Arial" w:hAnsi="Arial" w:cs="Arial"/>
                <w:color w:val="000000"/>
                <w:sz w:val="18"/>
                <w:szCs w:val="18"/>
              </w:rPr>
            </w:pPr>
            <w:r w:rsidRPr="005E4807">
              <w:rPr>
                <w:rFonts w:ascii="Arial" w:hAnsi="Arial" w:cs="Arial"/>
                <w:color w:val="000000"/>
                <w:sz w:val="18"/>
                <w:szCs w:val="18"/>
              </w:rPr>
              <w:t>N</w:t>
            </w:r>
          </w:p>
        </w:tc>
        <w:tc>
          <w:tcPr>
            <w:tcW w:w="1255" w:type="dxa"/>
            <w:tcBorders>
              <w:top w:val="single" w:sz="4" w:space="0" w:color="000000"/>
              <w:left w:val="nil"/>
              <w:bottom w:val="nil"/>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226</w:t>
            </w:r>
          </w:p>
        </w:tc>
        <w:tc>
          <w:tcPr>
            <w:tcW w:w="1134" w:type="dxa"/>
            <w:tcBorders>
              <w:top w:val="single" w:sz="4" w:space="0" w:color="000000"/>
              <w:left w:val="nil"/>
              <w:bottom w:val="nil"/>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226</w:t>
            </w:r>
          </w:p>
        </w:tc>
        <w:tc>
          <w:tcPr>
            <w:tcW w:w="1276" w:type="dxa"/>
            <w:tcBorders>
              <w:top w:val="single" w:sz="4" w:space="0" w:color="000000"/>
              <w:left w:val="nil"/>
              <w:bottom w:val="nil"/>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226</w:t>
            </w:r>
          </w:p>
        </w:tc>
      </w:tr>
      <w:tr w:rsidR="005E4807" w:rsidRPr="005E4807" w:rsidTr="00B5646E">
        <w:trPr>
          <w:cantSplit/>
          <w:jc w:val="center"/>
        </w:trPr>
        <w:tc>
          <w:tcPr>
            <w:tcW w:w="1198" w:type="dxa"/>
            <w:vMerge/>
            <w:tcBorders>
              <w:top w:val="nil"/>
              <w:left w:val="nil"/>
              <w:bottom w:val="nil"/>
              <w:right w:val="nil"/>
            </w:tcBorders>
            <w:shd w:val="clear" w:color="auto" w:fill="FFFFFF"/>
            <w:vAlign w:val="center"/>
          </w:tcPr>
          <w:p w:rsidR="005E4807" w:rsidRPr="005E4807" w:rsidRDefault="005E4807" w:rsidP="00AF16DE">
            <w:pPr>
              <w:autoSpaceDE w:val="0"/>
              <w:autoSpaceDN w:val="0"/>
              <w:adjustRightInd w:val="0"/>
              <w:rPr>
                <w:rFonts w:ascii="Arial" w:hAnsi="Arial" w:cs="Arial"/>
                <w:color w:val="000000"/>
                <w:sz w:val="18"/>
                <w:szCs w:val="18"/>
              </w:rPr>
            </w:pPr>
          </w:p>
        </w:tc>
        <w:tc>
          <w:tcPr>
            <w:tcW w:w="880" w:type="dxa"/>
            <w:tcBorders>
              <w:top w:val="nil"/>
              <w:left w:val="nil"/>
              <w:bottom w:val="nil"/>
              <w:right w:val="nil"/>
            </w:tcBorders>
            <w:shd w:val="clear" w:color="auto" w:fill="FFFFFF"/>
            <w:vAlign w:val="center"/>
          </w:tcPr>
          <w:p w:rsidR="005E4807" w:rsidRPr="005E4807" w:rsidRDefault="00E71A6A" w:rsidP="00AF16DE">
            <w:pPr>
              <w:autoSpaceDE w:val="0"/>
              <w:autoSpaceDN w:val="0"/>
              <w:adjustRightInd w:val="0"/>
              <w:ind w:left="60" w:right="60"/>
              <w:rPr>
                <w:rFonts w:ascii="Arial" w:hAnsi="Arial" w:cs="Arial"/>
                <w:color w:val="000000"/>
                <w:sz w:val="18"/>
                <w:szCs w:val="18"/>
              </w:rPr>
            </w:pPr>
            <w:r>
              <w:rPr>
                <w:rFonts w:ascii="Arial" w:hAnsi="Arial" w:cs="Arial"/>
                <w:color w:val="000000"/>
                <w:sz w:val="18"/>
                <w:szCs w:val="18"/>
              </w:rPr>
              <w:t>Průměr</w:t>
            </w:r>
          </w:p>
        </w:tc>
        <w:tc>
          <w:tcPr>
            <w:tcW w:w="1255" w:type="dxa"/>
            <w:tcBorders>
              <w:top w:val="nil"/>
              <w:left w:val="nil"/>
              <w:bottom w:val="nil"/>
              <w:right w:val="nil"/>
            </w:tcBorders>
            <w:shd w:val="clear" w:color="auto" w:fill="FFFFFF"/>
          </w:tcPr>
          <w:p w:rsidR="005E4807" w:rsidRPr="005E4807" w:rsidRDefault="005E4807" w:rsidP="00B5646E">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1,2</w:t>
            </w:r>
            <w:r w:rsidR="00B5646E">
              <w:rPr>
                <w:rFonts w:ascii="Arial" w:hAnsi="Arial" w:cs="Arial"/>
                <w:color w:val="000000"/>
                <w:sz w:val="18"/>
                <w:szCs w:val="18"/>
              </w:rPr>
              <w:t>9</w:t>
            </w:r>
          </w:p>
        </w:tc>
        <w:tc>
          <w:tcPr>
            <w:tcW w:w="1134" w:type="dxa"/>
            <w:tcBorders>
              <w:top w:val="nil"/>
              <w:left w:val="nil"/>
              <w:bottom w:val="nil"/>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1,27</w:t>
            </w:r>
          </w:p>
        </w:tc>
        <w:tc>
          <w:tcPr>
            <w:tcW w:w="1276" w:type="dxa"/>
            <w:tcBorders>
              <w:top w:val="nil"/>
              <w:left w:val="nil"/>
              <w:bottom w:val="nil"/>
              <w:right w:val="nil"/>
            </w:tcBorders>
            <w:shd w:val="clear" w:color="auto" w:fill="FFFFFF"/>
          </w:tcPr>
          <w:p w:rsidR="005E4807" w:rsidRPr="005E4807" w:rsidRDefault="005E4807" w:rsidP="00B5646E">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1,2</w:t>
            </w:r>
            <w:r w:rsidR="00B5646E">
              <w:rPr>
                <w:rFonts w:ascii="Arial" w:hAnsi="Arial" w:cs="Arial"/>
                <w:color w:val="000000"/>
                <w:sz w:val="18"/>
                <w:szCs w:val="18"/>
              </w:rPr>
              <w:t>7</w:t>
            </w:r>
          </w:p>
        </w:tc>
      </w:tr>
      <w:tr w:rsidR="005E4807" w:rsidRPr="005E4807" w:rsidTr="00B5646E">
        <w:trPr>
          <w:cantSplit/>
          <w:jc w:val="center"/>
        </w:trPr>
        <w:tc>
          <w:tcPr>
            <w:tcW w:w="1198" w:type="dxa"/>
            <w:vMerge/>
            <w:tcBorders>
              <w:top w:val="nil"/>
              <w:left w:val="nil"/>
              <w:bottom w:val="single" w:sz="4" w:space="0" w:color="000000"/>
              <w:right w:val="nil"/>
            </w:tcBorders>
            <w:shd w:val="clear" w:color="auto" w:fill="FFFFFF"/>
            <w:vAlign w:val="center"/>
          </w:tcPr>
          <w:p w:rsidR="005E4807" w:rsidRPr="005E4807" w:rsidRDefault="005E4807" w:rsidP="00AF16DE">
            <w:pPr>
              <w:autoSpaceDE w:val="0"/>
              <w:autoSpaceDN w:val="0"/>
              <w:adjustRightInd w:val="0"/>
              <w:rPr>
                <w:rFonts w:ascii="Arial" w:hAnsi="Arial" w:cs="Arial"/>
                <w:color w:val="000000"/>
                <w:sz w:val="18"/>
                <w:szCs w:val="18"/>
              </w:rPr>
            </w:pPr>
          </w:p>
        </w:tc>
        <w:tc>
          <w:tcPr>
            <w:tcW w:w="880" w:type="dxa"/>
            <w:tcBorders>
              <w:top w:val="nil"/>
              <w:left w:val="nil"/>
              <w:bottom w:val="single" w:sz="4" w:space="0" w:color="000000"/>
              <w:right w:val="nil"/>
            </w:tcBorders>
            <w:shd w:val="clear" w:color="auto" w:fill="FFFFFF"/>
            <w:vAlign w:val="center"/>
          </w:tcPr>
          <w:p w:rsidR="005E4807" w:rsidRPr="005E4807" w:rsidRDefault="005E4807" w:rsidP="00E71A6A">
            <w:pPr>
              <w:autoSpaceDE w:val="0"/>
              <w:autoSpaceDN w:val="0"/>
              <w:adjustRightInd w:val="0"/>
              <w:ind w:left="60" w:right="60"/>
              <w:rPr>
                <w:rFonts w:ascii="Arial" w:hAnsi="Arial" w:cs="Arial"/>
                <w:color w:val="000000"/>
                <w:sz w:val="18"/>
                <w:szCs w:val="18"/>
              </w:rPr>
            </w:pPr>
            <w:r w:rsidRPr="005E4807">
              <w:rPr>
                <w:rFonts w:ascii="Arial" w:hAnsi="Arial" w:cs="Arial"/>
                <w:color w:val="000000"/>
                <w:sz w:val="18"/>
                <w:szCs w:val="18"/>
              </w:rPr>
              <w:t>Medi</w:t>
            </w:r>
            <w:r w:rsidR="00E71A6A">
              <w:rPr>
                <w:rFonts w:ascii="Arial" w:hAnsi="Arial" w:cs="Arial"/>
                <w:color w:val="000000"/>
                <w:sz w:val="18"/>
                <w:szCs w:val="18"/>
              </w:rPr>
              <w:t>á</w:t>
            </w:r>
            <w:r w:rsidRPr="005E4807">
              <w:rPr>
                <w:rFonts w:ascii="Arial" w:hAnsi="Arial" w:cs="Arial"/>
                <w:color w:val="000000"/>
                <w:sz w:val="18"/>
                <w:szCs w:val="18"/>
              </w:rPr>
              <w:t>n</w:t>
            </w:r>
          </w:p>
        </w:tc>
        <w:tc>
          <w:tcPr>
            <w:tcW w:w="1255" w:type="dxa"/>
            <w:tcBorders>
              <w:top w:val="nil"/>
              <w:left w:val="nil"/>
              <w:bottom w:val="single" w:sz="4" w:space="0" w:color="000000"/>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c>
          <w:tcPr>
            <w:tcW w:w="1134" w:type="dxa"/>
            <w:tcBorders>
              <w:top w:val="nil"/>
              <w:left w:val="nil"/>
              <w:bottom w:val="single" w:sz="4" w:space="0" w:color="000000"/>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c>
          <w:tcPr>
            <w:tcW w:w="1276" w:type="dxa"/>
            <w:tcBorders>
              <w:top w:val="nil"/>
              <w:left w:val="nil"/>
              <w:bottom w:val="single" w:sz="4" w:space="0" w:color="000000"/>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r>
      <w:tr w:rsidR="005E4807" w:rsidRPr="005E4807" w:rsidTr="00B5646E">
        <w:trPr>
          <w:cantSplit/>
          <w:jc w:val="center"/>
        </w:trPr>
        <w:tc>
          <w:tcPr>
            <w:tcW w:w="1198" w:type="dxa"/>
            <w:vMerge w:val="restart"/>
            <w:tcBorders>
              <w:top w:val="single" w:sz="4" w:space="0" w:color="000000"/>
              <w:left w:val="nil"/>
              <w:bottom w:val="nil"/>
              <w:right w:val="nil"/>
            </w:tcBorders>
            <w:shd w:val="clear" w:color="auto" w:fill="FFFFFF"/>
            <w:vAlign w:val="center"/>
          </w:tcPr>
          <w:p w:rsidR="005E4807" w:rsidRPr="005E4807" w:rsidRDefault="005E4807" w:rsidP="00AF16DE">
            <w:pPr>
              <w:autoSpaceDE w:val="0"/>
              <w:autoSpaceDN w:val="0"/>
              <w:adjustRightInd w:val="0"/>
              <w:ind w:left="60" w:right="60"/>
              <w:rPr>
                <w:rFonts w:ascii="Arial" w:hAnsi="Arial" w:cs="Arial"/>
                <w:color w:val="000000"/>
                <w:sz w:val="18"/>
                <w:szCs w:val="18"/>
              </w:rPr>
            </w:pPr>
            <w:r w:rsidRPr="005E4807">
              <w:rPr>
                <w:rFonts w:ascii="Arial" w:hAnsi="Arial" w:cs="Arial"/>
                <w:color w:val="000000"/>
                <w:sz w:val="18"/>
                <w:szCs w:val="18"/>
              </w:rPr>
              <w:t>Nová škola</w:t>
            </w:r>
          </w:p>
        </w:tc>
        <w:tc>
          <w:tcPr>
            <w:tcW w:w="880" w:type="dxa"/>
            <w:tcBorders>
              <w:top w:val="single" w:sz="4" w:space="0" w:color="000000"/>
              <w:left w:val="nil"/>
              <w:bottom w:val="nil"/>
              <w:right w:val="nil"/>
            </w:tcBorders>
            <w:shd w:val="clear" w:color="auto" w:fill="FFFFFF"/>
            <w:vAlign w:val="center"/>
          </w:tcPr>
          <w:p w:rsidR="005E4807" w:rsidRPr="005E4807" w:rsidRDefault="005E4807" w:rsidP="00AF16DE">
            <w:pPr>
              <w:autoSpaceDE w:val="0"/>
              <w:autoSpaceDN w:val="0"/>
              <w:adjustRightInd w:val="0"/>
              <w:ind w:left="60" w:right="60"/>
              <w:rPr>
                <w:rFonts w:ascii="Arial" w:hAnsi="Arial" w:cs="Arial"/>
                <w:color w:val="000000"/>
                <w:sz w:val="18"/>
                <w:szCs w:val="18"/>
              </w:rPr>
            </w:pPr>
            <w:r w:rsidRPr="005E4807">
              <w:rPr>
                <w:rFonts w:ascii="Arial" w:hAnsi="Arial" w:cs="Arial"/>
                <w:color w:val="000000"/>
                <w:sz w:val="18"/>
                <w:szCs w:val="18"/>
              </w:rPr>
              <w:t>N</w:t>
            </w:r>
          </w:p>
        </w:tc>
        <w:tc>
          <w:tcPr>
            <w:tcW w:w="1255" w:type="dxa"/>
            <w:tcBorders>
              <w:top w:val="single" w:sz="4" w:space="0" w:color="000000"/>
              <w:left w:val="nil"/>
              <w:bottom w:val="nil"/>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294</w:t>
            </w:r>
          </w:p>
        </w:tc>
        <w:tc>
          <w:tcPr>
            <w:tcW w:w="1134" w:type="dxa"/>
            <w:tcBorders>
              <w:top w:val="single" w:sz="4" w:space="0" w:color="000000"/>
              <w:left w:val="nil"/>
              <w:bottom w:val="nil"/>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294</w:t>
            </w:r>
          </w:p>
        </w:tc>
        <w:tc>
          <w:tcPr>
            <w:tcW w:w="1276" w:type="dxa"/>
            <w:tcBorders>
              <w:top w:val="single" w:sz="4" w:space="0" w:color="000000"/>
              <w:left w:val="nil"/>
              <w:bottom w:val="nil"/>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294</w:t>
            </w:r>
          </w:p>
        </w:tc>
      </w:tr>
      <w:tr w:rsidR="005E4807" w:rsidRPr="005E4807" w:rsidTr="00B5646E">
        <w:trPr>
          <w:cantSplit/>
          <w:jc w:val="center"/>
        </w:trPr>
        <w:tc>
          <w:tcPr>
            <w:tcW w:w="1198" w:type="dxa"/>
            <w:vMerge/>
            <w:tcBorders>
              <w:top w:val="nil"/>
              <w:left w:val="nil"/>
              <w:bottom w:val="nil"/>
              <w:right w:val="nil"/>
            </w:tcBorders>
            <w:shd w:val="clear" w:color="auto" w:fill="FFFFFF"/>
            <w:vAlign w:val="center"/>
          </w:tcPr>
          <w:p w:rsidR="005E4807" w:rsidRPr="005E4807" w:rsidRDefault="005E4807" w:rsidP="00AF16DE">
            <w:pPr>
              <w:autoSpaceDE w:val="0"/>
              <w:autoSpaceDN w:val="0"/>
              <w:adjustRightInd w:val="0"/>
              <w:rPr>
                <w:rFonts w:ascii="Arial" w:hAnsi="Arial" w:cs="Arial"/>
                <w:color w:val="000000"/>
                <w:sz w:val="18"/>
                <w:szCs w:val="18"/>
              </w:rPr>
            </w:pPr>
          </w:p>
        </w:tc>
        <w:tc>
          <w:tcPr>
            <w:tcW w:w="880" w:type="dxa"/>
            <w:tcBorders>
              <w:top w:val="nil"/>
              <w:left w:val="nil"/>
              <w:bottom w:val="nil"/>
              <w:right w:val="nil"/>
            </w:tcBorders>
            <w:shd w:val="clear" w:color="auto" w:fill="FFFFFF"/>
            <w:vAlign w:val="center"/>
          </w:tcPr>
          <w:p w:rsidR="005E4807" w:rsidRPr="005E4807" w:rsidRDefault="00E71A6A" w:rsidP="00AF16DE">
            <w:pPr>
              <w:autoSpaceDE w:val="0"/>
              <w:autoSpaceDN w:val="0"/>
              <w:adjustRightInd w:val="0"/>
              <w:ind w:left="60" w:right="60"/>
              <w:rPr>
                <w:rFonts w:ascii="Arial" w:hAnsi="Arial" w:cs="Arial"/>
                <w:color w:val="000000"/>
                <w:sz w:val="18"/>
                <w:szCs w:val="18"/>
              </w:rPr>
            </w:pPr>
            <w:r>
              <w:rPr>
                <w:rFonts w:ascii="Arial" w:hAnsi="Arial" w:cs="Arial"/>
                <w:color w:val="000000"/>
                <w:sz w:val="18"/>
                <w:szCs w:val="18"/>
              </w:rPr>
              <w:t>Průměr</w:t>
            </w:r>
          </w:p>
        </w:tc>
        <w:tc>
          <w:tcPr>
            <w:tcW w:w="1255" w:type="dxa"/>
            <w:tcBorders>
              <w:top w:val="nil"/>
              <w:left w:val="nil"/>
              <w:bottom w:val="nil"/>
              <w:right w:val="nil"/>
            </w:tcBorders>
            <w:shd w:val="clear" w:color="auto" w:fill="FFFFFF"/>
          </w:tcPr>
          <w:p w:rsidR="005E4807" w:rsidRPr="005E4807" w:rsidRDefault="005E4807" w:rsidP="00B5646E">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1,2</w:t>
            </w:r>
            <w:r w:rsidR="00B5646E">
              <w:rPr>
                <w:rFonts w:ascii="Arial" w:hAnsi="Arial" w:cs="Arial"/>
                <w:color w:val="000000"/>
                <w:sz w:val="18"/>
                <w:szCs w:val="18"/>
              </w:rPr>
              <w:t>6</w:t>
            </w:r>
          </w:p>
        </w:tc>
        <w:tc>
          <w:tcPr>
            <w:tcW w:w="1134" w:type="dxa"/>
            <w:tcBorders>
              <w:top w:val="nil"/>
              <w:left w:val="nil"/>
              <w:bottom w:val="nil"/>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1,22</w:t>
            </w:r>
          </w:p>
        </w:tc>
        <w:tc>
          <w:tcPr>
            <w:tcW w:w="1276" w:type="dxa"/>
            <w:tcBorders>
              <w:top w:val="nil"/>
              <w:left w:val="nil"/>
              <w:bottom w:val="nil"/>
              <w:right w:val="nil"/>
            </w:tcBorders>
            <w:shd w:val="clear" w:color="auto" w:fill="FFFFFF"/>
          </w:tcPr>
          <w:p w:rsidR="005E4807" w:rsidRPr="005E4807" w:rsidRDefault="005E4807" w:rsidP="00B5646E">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1,2</w:t>
            </w:r>
            <w:r w:rsidR="00B5646E">
              <w:rPr>
                <w:rFonts w:ascii="Arial" w:hAnsi="Arial" w:cs="Arial"/>
                <w:color w:val="000000"/>
                <w:sz w:val="18"/>
                <w:szCs w:val="18"/>
              </w:rPr>
              <w:t>2</w:t>
            </w:r>
          </w:p>
        </w:tc>
      </w:tr>
      <w:tr w:rsidR="005E4807" w:rsidRPr="005E4807" w:rsidTr="00B5646E">
        <w:trPr>
          <w:cantSplit/>
          <w:jc w:val="center"/>
        </w:trPr>
        <w:tc>
          <w:tcPr>
            <w:tcW w:w="1198" w:type="dxa"/>
            <w:vMerge/>
            <w:tcBorders>
              <w:top w:val="nil"/>
              <w:left w:val="nil"/>
              <w:bottom w:val="single" w:sz="4" w:space="0" w:color="000000"/>
              <w:right w:val="nil"/>
            </w:tcBorders>
            <w:shd w:val="clear" w:color="auto" w:fill="FFFFFF"/>
            <w:vAlign w:val="center"/>
          </w:tcPr>
          <w:p w:rsidR="005E4807" w:rsidRPr="005E4807" w:rsidRDefault="005E4807" w:rsidP="00AF16DE">
            <w:pPr>
              <w:autoSpaceDE w:val="0"/>
              <w:autoSpaceDN w:val="0"/>
              <w:adjustRightInd w:val="0"/>
              <w:rPr>
                <w:rFonts w:ascii="Arial" w:hAnsi="Arial" w:cs="Arial"/>
                <w:color w:val="000000"/>
                <w:sz w:val="18"/>
                <w:szCs w:val="18"/>
              </w:rPr>
            </w:pPr>
          </w:p>
        </w:tc>
        <w:tc>
          <w:tcPr>
            <w:tcW w:w="880" w:type="dxa"/>
            <w:tcBorders>
              <w:top w:val="nil"/>
              <w:left w:val="nil"/>
              <w:bottom w:val="single" w:sz="4" w:space="0" w:color="000000"/>
              <w:right w:val="nil"/>
            </w:tcBorders>
            <w:shd w:val="clear" w:color="auto" w:fill="FFFFFF"/>
            <w:vAlign w:val="center"/>
          </w:tcPr>
          <w:p w:rsidR="005E4807" w:rsidRPr="005E4807" w:rsidRDefault="005E4807" w:rsidP="00E71A6A">
            <w:pPr>
              <w:autoSpaceDE w:val="0"/>
              <w:autoSpaceDN w:val="0"/>
              <w:adjustRightInd w:val="0"/>
              <w:ind w:left="60" w:right="60"/>
              <w:rPr>
                <w:rFonts w:ascii="Arial" w:hAnsi="Arial" w:cs="Arial"/>
                <w:color w:val="000000"/>
                <w:sz w:val="18"/>
                <w:szCs w:val="18"/>
              </w:rPr>
            </w:pPr>
            <w:r w:rsidRPr="005E4807">
              <w:rPr>
                <w:rFonts w:ascii="Arial" w:hAnsi="Arial" w:cs="Arial"/>
                <w:color w:val="000000"/>
                <w:sz w:val="18"/>
                <w:szCs w:val="18"/>
              </w:rPr>
              <w:t>Medi</w:t>
            </w:r>
            <w:r w:rsidR="00E71A6A">
              <w:rPr>
                <w:rFonts w:ascii="Arial" w:hAnsi="Arial" w:cs="Arial"/>
                <w:color w:val="000000"/>
                <w:sz w:val="18"/>
                <w:szCs w:val="18"/>
              </w:rPr>
              <w:t>á</w:t>
            </w:r>
            <w:r w:rsidRPr="005E4807">
              <w:rPr>
                <w:rFonts w:ascii="Arial" w:hAnsi="Arial" w:cs="Arial"/>
                <w:color w:val="000000"/>
                <w:sz w:val="18"/>
                <w:szCs w:val="18"/>
              </w:rPr>
              <w:t>n</w:t>
            </w:r>
          </w:p>
        </w:tc>
        <w:tc>
          <w:tcPr>
            <w:tcW w:w="1255" w:type="dxa"/>
            <w:tcBorders>
              <w:top w:val="nil"/>
              <w:left w:val="nil"/>
              <w:bottom w:val="single" w:sz="4" w:space="0" w:color="000000"/>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c>
          <w:tcPr>
            <w:tcW w:w="1134" w:type="dxa"/>
            <w:tcBorders>
              <w:top w:val="nil"/>
              <w:left w:val="nil"/>
              <w:bottom w:val="single" w:sz="4" w:space="0" w:color="000000"/>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c>
          <w:tcPr>
            <w:tcW w:w="1276" w:type="dxa"/>
            <w:tcBorders>
              <w:top w:val="nil"/>
              <w:left w:val="nil"/>
              <w:bottom w:val="single" w:sz="4" w:space="0" w:color="000000"/>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r>
      <w:tr w:rsidR="005E4807" w:rsidRPr="005E4807" w:rsidTr="00B5646E">
        <w:trPr>
          <w:cantSplit/>
          <w:jc w:val="center"/>
        </w:trPr>
        <w:tc>
          <w:tcPr>
            <w:tcW w:w="1198" w:type="dxa"/>
            <w:vMerge w:val="restart"/>
            <w:tcBorders>
              <w:top w:val="single" w:sz="4" w:space="0" w:color="000000"/>
              <w:left w:val="nil"/>
              <w:bottom w:val="nil"/>
              <w:right w:val="nil"/>
            </w:tcBorders>
            <w:shd w:val="clear" w:color="auto" w:fill="FFFFFF"/>
            <w:vAlign w:val="center"/>
          </w:tcPr>
          <w:p w:rsidR="005E4807" w:rsidRPr="005E4807" w:rsidRDefault="005E4807" w:rsidP="00AF16DE">
            <w:pPr>
              <w:autoSpaceDE w:val="0"/>
              <w:autoSpaceDN w:val="0"/>
              <w:adjustRightInd w:val="0"/>
              <w:ind w:left="60" w:right="60"/>
              <w:rPr>
                <w:rFonts w:ascii="Arial" w:hAnsi="Arial" w:cs="Arial"/>
                <w:color w:val="000000"/>
                <w:sz w:val="18"/>
                <w:szCs w:val="18"/>
              </w:rPr>
            </w:pPr>
            <w:r w:rsidRPr="005E4807">
              <w:rPr>
                <w:rFonts w:ascii="Arial" w:hAnsi="Arial" w:cs="Arial"/>
                <w:color w:val="000000"/>
                <w:sz w:val="18"/>
                <w:szCs w:val="18"/>
              </w:rPr>
              <w:t>Prodos</w:t>
            </w:r>
          </w:p>
        </w:tc>
        <w:tc>
          <w:tcPr>
            <w:tcW w:w="880" w:type="dxa"/>
            <w:tcBorders>
              <w:top w:val="single" w:sz="4" w:space="0" w:color="000000"/>
              <w:left w:val="nil"/>
              <w:bottom w:val="nil"/>
              <w:right w:val="nil"/>
            </w:tcBorders>
            <w:shd w:val="clear" w:color="auto" w:fill="FFFFFF"/>
            <w:vAlign w:val="center"/>
          </w:tcPr>
          <w:p w:rsidR="005E4807" w:rsidRPr="005E4807" w:rsidRDefault="005E4807" w:rsidP="00AF16DE">
            <w:pPr>
              <w:autoSpaceDE w:val="0"/>
              <w:autoSpaceDN w:val="0"/>
              <w:adjustRightInd w:val="0"/>
              <w:ind w:left="60" w:right="60"/>
              <w:rPr>
                <w:rFonts w:ascii="Arial" w:hAnsi="Arial" w:cs="Arial"/>
                <w:color w:val="000000"/>
                <w:sz w:val="18"/>
                <w:szCs w:val="18"/>
              </w:rPr>
            </w:pPr>
            <w:r w:rsidRPr="005E4807">
              <w:rPr>
                <w:rFonts w:ascii="Arial" w:hAnsi="Arial" w:cs="Arial"/>
                <w:color w:val="000000"/>
                <w:sz w:val="18"/>
                <w:szCs w:val="18"/>
              </w:rPr>
              <w:t>N</w:t>
            </w:r>
          </w:p>
        </w:tc>
        <w:tc>
          <w:tcPr>
            <w:tcW w:w="1255" w:type="dxa"/>
            <w:tcBorders>
              <w:top w:val="single" w:sz="4" w:space="0" w:color="000000"/>
              <w:left w:val="nil"/>
              <w:bottom w:val="nil"/>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c>
          <w:tcPr>
            <w:tcW w:w="1134" w:type="dxa"/>
            <w:tcBorders>
              <w:top w:val="single" w:sz="4" w:space="0" w:color="000000"/>
              <w:left w:val="nil"/>
              <w:bottom w:val="nil"/>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c>
          <w:tcPr>
            <w:tcW w:w="1276" w:type="dxa"/>
            <w:tcBorders>
              <w:top w:val="single" w:sz="4" w:space="0" w:color="000000"/>
              <w:left w:val="nil"/>
              <w:bottom w:val="nil"/>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r>
      <w:tr w:rsidR="005E4807" w:rsidRPr="005E4807" w:rsidTr="00B5646E">
        <w:trPr>
          <w:cantSplit/>
          <w:jc w:val="center"/>
        </w:trPr>
        <w:tc>
          <w:tcPr>
            <w:tcW w:w="1198" w:type="dxa"/>
            <w:vMerge/>
            <w:tcBorders>
              <w:top w:val="nil"/>
              <w:left w:val="nil"/>
              <w:bottom w:val="nil"/>
              <w:right w:val="nil"/>
            </w:tcBorders>
            <w:shd w:val="clear" w:color="auto" w:fill="FFFFFF"/>
            <w:vAlign w:val="center"/>
          </w:tcPr>
          <w:p w:rsidR="005E4807" w:rsidRPr="005E4807" w:rsidRDefault="005E4807" w:rsidP="00AF16DE">
            <w:pPr>
              <w:autoSpaceDE w:val="0"/>
              <w:autoSpaceDN w:val="0"/>
              <w:adjustRightInd w:val="0"/>
              <w:rPr>
                <w:rFonts w:ascii="Arial" w:hAnsi="Arial" w:cs="Arial"/>
                <w:color w:val="000000"/>
                <w:sz w:val="18"/>
                <w:szCs w:val="18"/>
              </w:rPr>
            </w:pPr>
          </w:p>
        </w:tc>
        <w:tc>
          <w:tcPr>
            <w:tcW w:w="880" w:type="dxa"/>
            <w:tcBorders>
              <w:top w:val="nil"/>
              <w:left w:val="nil"/>
              <w:bottom w:val="nil"/>
              <w:right w:val="nil"/>
            </w:tcBorders>
            <w:shd w:val="clear" w:color="auto" w:fill="FFFFFF"/>
            <w:vAlign w:val="center"/>
          </w:tcPr>
          <w:p w:rsidR="005E4807" w:rsidRPr="005E4807" w:rsidRDefault="00E71A6A" w:rsidP="00AF16DE">
            <w:pPr>
              <w:autoSpaceDE w:val="0"/>
              <w:autoSpaceDN w:val="0"/>
              <w:adjustRightInd w:val="0"/>
              <w:ind w:left="60" w:right="60"/>
              <w:rPr>
                <w:rFonts w:ascii="Arial" w:hAnsi="Arial" w:cs="Arial"/>
                <w:color w:val="000000"/>
                <w:sz w:val="18"/>
                <w:szCs w:val="18"/>
              </w:rPr>
            </w:pPr>
            <w:r>
              <w:rPr>
                <w:rFonts w:ascii="Arial" w:hAnsi="Arial" w:cs="Arial"/>
                <w:color w:val="000000"/>
                <w:sz w:val="18"/>
                <w:szCs w:val="18"/>
              </w:rPr>
              <w:t>Průměr</w:t>
            </w:r>
          </w:p>
        </w:tc>
        <w:tc>
          <w:tcPr>
            <w:tcW w:w="1255" w:type="dxa"/>
            <w:tcBorders>
              <w:top w:val="nil"/>
              <w:left w:val="nil"/>
              <w:bottom w:val="nil"/>
              <w:right w:val="nil"/>
            </w:tcBorders>
            <w:shd w:val="clear" w:color="auto" w:fill="FFFFFF"/>
          </w:tcPr>
          <w:p w:rsidR="005E4807" w:rsidRPr="005E4807" w:rsidRDefault="005E4807" w:rsidP="00B5646E">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w:t>
            </w:r>
            <w:r w:rsidR="00B5646E">
              <w:rPr>
                <w:rFonts w:ascii="Arial" w:hAnsi="Arial" w:cs="Arial"/>
                <w:color w:val="000000"/>
                <w:sz w:val="18"/>
                <w:szCs w:val="18"/>
              </w:rPr>
              <w:t>30</w:t>
            </w:r>
          </w:p>
        </w:tc>
        <w:tc>
          <w:tcPr>
            <w:tcW w:w="1134" w:type="dxa"/>
            <w:tcBorders>
              <w:top w:val="nil"/>
              <w:left w:val="nil"/>
              <w:bottom w:val="nil"/>
              <w:right w:val="nil"/>
            </w:tcBorders>
            <w:shd w:val="clear" w:color="auto" w:fill="FFFFFF"/>
          </w:tcPr>
          <w:p w:rsidR="005E4807" w:rsidRPr="005E4807" w:rsidRDefault="005E4807" w:rsidP="00B5646E">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w:t>
            </w:r>
            <w:r w:rsidR="00B5646E">
              <w:rPr>
                <w:rFonts w:ascii="Arial" w:hAnsi="Arial" w:cs="Arial"/>
                <w:color w:val="000000"/>
                <w:sz w:val="18"/>
                <w:szCs w:val="18"/>
              </w:rPr>
              <w:t>22</w:t>
            </w:r>
          </w:p>
        </w:tc>
        <w:tc>
          <w:tcPr>
            <w:tcW w:w="1276" w:type="dxa"/>
            <w:tcBorders>
              <w:top w:val="nil"/>
              <w:left w:val="nil"/>
              <w:bottom w:val="nil"/>
              <w:right w:val="nil"/>
            </w:tcBorders>
            <w:shd w:val="clear" w:color="auto" w:fill="FFFFFF"/>
          </w:tcPr>
          <w:p w:rsidR="005E4807" w:rsidRPr="005E4807" w:rsidRDefault="005E4807" w:rsidP="00B5646E">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w:t>
            </w:r>
            <w:r w:rsidR="00B5646E">
              <w:rPr>
                <w:rFonts w:ascii="Arial" w:hAnsi="Arial" w:cs="Arial"/>
                <w:color w:val="000000"/>
                <w:sz w:val="18"/>
                <w:szCs w:val="18"/>
              </w:rPr>
              <w:t>15</w:t>
            </w:r>
          </w:p>
        </w:tc>
      </w:tr>
      <w:tr w:rsidR="005E4807" w:rsidRPr="005E4807" w:rsidTr="00B5646E">
        <w:trPr>
          <w:cantSplit/>
          <w:jc w:val="center"/>
        </w:trPr>
        <w:tc>
          <w:tcPr>
            <w:tcW w:w="1198" w:type="dxa"/>
            <w:vMerge/>
            <w:tcBorders>
              <w:top w:val="nil"/>
              <w:left w:val="nil"/>
              <w:bottom w:val="single" w:sz="4" w:space="0" w:color="000000"/>
              <w:right w:val="nil"/>
            </w:tcBorders>
            <w:shd w:val="clear" w:color="auto" w:fill="FFFFFF"/>
            <w:vAlign w:val="center"/>
          </w:tcPr>
          <w:p w:rsidR="005E4807" w:rsidRPr="005E4807" w:rsidRDefault="005E4807" w:rsidP="00AF16DE">
            <w:pPr>
              <w:autoSpaceDE w:val="0"/>
              <w:autoSpaceDN w:val="0"/>
              <w:adjustRightInd w:val="0"/>
              <w:rPr>
                <w:rFonts w:ascii="Arial" w:hAnsi="Arial" w:cs="Arial"/>
                <w:color w:val="000000"/>
                <w:sz w:val="18"/>
                <w:szCs w:val="18"/>
              </w:rPr>
            </w:pPr>
          </w:p>
        </w:tc>
        <w:tc>
          <w:tcPr>
            <w:tcW w:w="880" w:type="dxa"/>
            <w:tcBorders>
              <w:top w:val="nil"/>
              <w:left w:val="nil"/>
              <w:bottom w:val="single" w:sz="4" w:space="0" w:color="000000"/>
              <w:right w:val="nil"/>
            </w:tcBorders>
            <w:shd w:val="clear" w:color="auto" w:fill="FFFFFF"/>
            <w:vAlign w:val="center"/>
          </w:tcPr>
          <w:p w:rsidR="005E4807" w:rsidRPr="005E4807" w:rsidRDefault="005E4807" w:rsidP="00E71A6A">
            <w:pPr>
              <w:autoSpaceDE w:val="0"/>
              <w:autoSpaceDN w:val="0"/>
              <w:adjustRightInd w:val="0"/>
              <w:ind w:left="60" w:right="60"/>
              <w:rPr>
                <w:rFonts w:ascii="Arial" w:hAnsi="Arial" w:cs="Arial"/>
                <w:color w:val="000000"/>
                <w:sz w:val="18"/>
                <w:szCs w:val="18"/>
              </w:rPr>
            </w:pPr>
            <w:r w:rsidRPr="005E4807">
              <w:rPr>
                <w:rFonts w:ascii="Arial" w:hAnsi="Arial" w:cs="Arial"/>
                <w:color w:val="000000"/>
                <w:sz w:val="18"/>
                <w:szCs w:val="18"/>
              </w:rPr>
              <w:t>Medi</w:t>
            </w:r>
            <w:r w:rsidR="00E71A6A">
              <w:rPr>
                <w:rFonts w:ascii="Arial" w:hAnsi="Arial" w:cs="Arial"/>
                <w:color w:val="000000"/>
                <w:sz w:val="18"/>
                <w:szCs w:val="18"/>
              </w:rPr>
              <w:t>á</w:t>
            </w:r>
            <w:r w:rsidRPr="005E4807">
              <w:rPr>
                <w:rFonts w:ascii="Arial" w:hAnsi="Arial" w:cs="Arial"/>
                <w:color w:val="000000"/>
                <w:sz w:val="18"/>
                <w:szCs w:val="18"/>
              </w:rPr>
              <w:t>n</w:t>
            </w:r>
          </w:p>
        </w:tc>
        <w:tc>
          <w:tcPr>
            <w:tcW w:w="1255" w:type="dxa"/>
            <w:tcBorders>
              <w:top w:val="nil"/>
              <w:left w:val="nil"/>
              <w:bottom w:val="single" w:sz="4" w:space="0" w:color="000000"/>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c>
          <w:tcPr>
            <w:tcW w:w="1134" w:type="dxa"/>
            <w:tcBorders>
              <w:top w:val="nil"/>
              <w:left w:val="nil"/>
              <w:bottom w:val="single" w:sz="4" w:space="0" w:color="000000"/>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c>
          <w:tcPr>
            <w:tcW w:w="1276" w:type="dxa"/>
            <w:tcBorders>
              <w:top w:val="nil"/>
              <w:left w:val="nil"/>
              <w:bottom w:val="single" w:sz="4" w:space="0" w:color="000000"/>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r>
      <w:tr w:rsidR="005E4807" w:rsidRPr="005E4807" w:rsidTr="00B5646E">
        <w:trPr>
          <w:cantSplit/>
          <w:jc w:val="center"/>
        </w:trPr>
        <w:tc>
          <w:tcPr>
            <w:tcW w:w="1198" w:type="dxa"/>
            <w:vMerge w:val="restart"/>
            <w:tcBorders>
              <w:top w:val="single" w:sz="4" w:space="0" w:color="000000"/>
              <w:left w:val="nil"/>
              <w:bottom w:val="nil"/>
              <w:right w:val="nil"/>
            </w:tcBorders>
            <w:shd w:val="clear" w:color="auto" w:fill="FFFFFF"/>
            <w:vAlign w:val="center"/>
          </w:tcPr>
          <w:p w:rsidR="005E4807" w:rsidRPr="005E4807" w:rsidRDefault="005E4807" w:rsidP="00AF16DE">
            <w:pPr>
              <w:autoSpaceDE w:val="0"/>
              <w:autoSpaceDN w:val="0"/>
              <w:adjustRightInd w:val="0"/>
              <w:ind w:left="60" w:right="60"/>
              <w:rPr>
                <w:rFonts w:ascii="Arial" w:hAnsi="Arial" w:cs="Arial"/>
                <w:color w:val="000000"/>
                <w:sz w:val="18"/>
                <w:szCs w:val="18"/>
              </w:rPr>
            </w:pPr>
            <w:r w:rsidRPr="005E4807">
              <w:rPr>
                <w:rFonts w:ascii="Arial" w:hAnsi="Arial" w:cs="Arial"/>
                <w:color w:val="000000"/>
                <w:sz w:val="18"/>
                <w:szCs w:val="18"/>
              </w:rPr>
              <w:t>SPN</w:t>
            </w:r>
          </w:p>
        </w:tc>
        <w:tc>
          <w:tcPr>
            <w:tcW w:w="880" w:type="dxa"/>
            <w:tcBorders>
              <w:top w:val="single" w:sz="4" w:space="0" w:color="000000"/>
              <w:left w:val="nil"/>
              <w:bottom w:val="nil"/>
              <w:right w:val="nil"/>
            </w:tcBorders>
            <w:shd w:val="clear" w:color="auto" w:fill="FFFFFF"/>
            <w:vAlign w:val="center"/>
          </w:tcPr>
          <w:p w:rsidR="005E4807" w:rsidRPr="005E4807" w:rsidRDefault="005E4807" w:rsidP="00AF16DE">
            <w:pPr>
              <w:autoSpaceDE w:val="0"/>
              <w:autoSpaceDN w:val="0"/>
              <w:adjustRightInd w:val="0"/>
              <w:ind w:left="60" w:right="60"/>
              <w:rPr>
                <w:rFonts w:ascii="Arial" w:hAnsi="Arial" w:cs="Arial"/>
                <w:color w:val="000000"/>
                <w:sz w:val="18"/>
                <w:szCs w:val="18"/>
              </w:rPr>
            </w:pPr>
            <w:r w:rsidRPr="005E4807">
              <w:rPr>
                <w:rFonts w:ascii="Arial" w:hAnsi="Arial" w:cs="Arial"/>
                <w:color w:val="000000"/>
                <w:sz w:val="18"/>
                <w:szCs w:val="18"/>
              </w:rPr>
              <w:t>N</w:t>
            </w:r>
          </w:p>
        </w:tc>
        <w:tc>
          <w:tcPr>
            <w:tcW w:w="1255" w:type="dxa"/>
            <w:tcBorders>
              <w:top w:val="single" w:sz="4" w:space="0" w:color="000000"/>
              <w:left w:val="nil"/>
              <w:bottom w:val="nil"/>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348</w:t>
            </w:r>
          </w:p>
        </w:tc>
        <w:tc>
          <w:tcPr>
            <w:tcW w:w="1134" w:type="dxa"/>
            <w:tcBorders>
              <w:top w:val="single" w:sz="4" w:space="0" w:color="000000"/>
              <w:left w:val="nil"/>
              <w:bottom w:val="nil"/>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348</w:t>
            </w:r>
          </w:p>
        </w:tc>
        <w:tc>
          <w:tcPr>
            <w:tcW w:w="1276" w:type="dxa"/>
            <w:tcBorders>
              <w:top w:val="single" w:sz="4" w:space="0" w:color="000000"/>
              <w:left w:val="nil"/>
              <w:bottom w:val="nil"/>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348</w:t>
            </w:r>
          </w:p>
        </w:tc>
      </w:tr>
      <w:tr w:rsidR="005E4807" w:rsidRPr="005E4807" w:rsidTr="00B5646E">
        <w:trPr>
          <w:cantSplit/>
          <w:jc w:val="center"/>
        </w:trPr>
        <w:tc>
          <w:tcPr>
            <w:tcW w:w="1198" w:type="dxa"/>
            <w:vMerge/>
            <w:tcBorders>
              <w:top w:val="nil"/>
              <w:left w:val="nil"/>
              <w:bottom w:val="nil"/>
              <w:right w:val="nil"/>
            </w:tcBorders>
            <w:shd w:val="clear" w:color="auto" w:fill="FFFFFF"/>
            <w:vAlign w:val="center"/>
          </w:tcPr>
          <w:p w:rsidR="005E4807" w:rsidRPr="005E4807" w:rsidRDefault="005E4807" w:rsidP="00AF16DE">
            <w:pPr>
              <w:autoSpaceDE w:val="0"/>
              <w:autoSpaceDN w:val="0"/>
              <w:adjustRightInd w:val="0"/>
              <w:rPr>
                <w:rFonts w:ascii="Arial" w:hAnsi="Arial" w:cs="Arial"/>
                <w:color w:val="000000"/>
                <w:sz w:val="18"/>
                <w:szCs w:val="18"/>
              </w:rPr>
            </w:pPr>
          </w:p>
        </w:tc>
        <w:tc>
          <w:tcPr>
            <w:tcW w:w="880" w:type="dxa"/>
            <w:tcBorders>
              <w:top w:val="nil"/>
              <w:left w:val="nil"/>
              <w:bottom w:val="nil"/>
              <w:right w:val="nil"/>
            </w:tcBorders>
            <w:shd w:val="clear" w:color="auto" w:fill="FFFFFF"/>
            <w:vAlign w:val="center"/>
          </w:tcPr>
          <w:p w:rsidR="005E4807" w:rsidRPr="005E4807" w:rsidRDefault="00E71A6A" w:rsidP="00AF16DE">
            <w:pPr>
              <w:autoSpaceDE w:val="0"/>
              <w:autoSpaceDN w:val="0"/>
              <w:adjustRightInd w:val="0"/>
              <w:ind w:left="60" w:right="60"/>
              <w:rPr>
                <w:rFonts w:ascii="Arial" w:hAnsi="Arial" w:cs="Arial"/>
                <w:color w:val="000000"/>
                <w:sz w:val="18"/>
                <w:szCs w:val="18"/>
              </w:rPr>
            </w:pPr>
            <w:r>
              <w:rPr>
                <w:rFonts w:ascii="Arial" w:hAnsi="Arial" w:cs="Arial"/>
                <w:color w:val="000000"/>
                <w:sz w:val="18"/>
                <w:szCs w:val="18"/>
              </w:rPr>
              <w:t>Průměr</w:t>
            </w:r>
          </w:p>
        </w:tc>
        <w:tc>
          <w:tcPr>
            <w:tcW w:w="1255" w:type="dxa"/>
            <w:tcBorders>
              <w:top w:val="nil"/>
              <w:left w:val="nil"/>
              <w:bottom w:val="nil"/>
              <w:right w:val="nil"/>
            </w:tcBorders>
            <w:shd w:val="clear" w:color="auto" w:fill="FFFFFF"/>
          </w:tcPr>
          <w:p w:rsidR="005E4807" w:rsidRPr="005E4807" w:rsidRDefault="005E4807" w:rsidP="00B5646E">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1,2</w:t>
            </w:r>
            <w:r w:rsidR="00B5646E">
              <w:rPr>
                <w:rFonts w:ascii="Arial" w:hAnsi="Arial" w:cs="Arial"/>
                <w:color w:val="000000"/>
                <w:sz w:val="18"/>
                <w:szCs w:val="18"/>
              </w:rPr>
              <w:t>3</w:t>
            </w:r>
          </w:p>
        </w:tc>
        <w:tc>
          <w:tcPr>
            <w:tcW w:w="1134" w:type="dxa"/>
            <w:tcBorders>
              <w:top w:val="nil"/>
              <w:left w:val="nil"/>
              <w:bottom w:val="nil"/>
              <w:right w:val="nil"/>
            </w:tcBorders>
            <w:shd w:val="clear" w:color="auto" w:fill="FFFFFF"/>
          </w:tcPr>
          <w:p w:rsidR="005E4807" w:rsidRPr="005E4807" w:rsidRDefault="005E4807" w:rsidP="00B5646E">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1,2</w:t>
            </w:r>
            <w:r w:rsidR="00B5646E">
              <w:rPr>
                <w:rFonts w:ascii="Arial" w:hAnsi="Arial" w:cs="Arial"/>
                <w:color w:val="000000"/>
                <w:sz w:val="18"/>
                <w:szCs w:val="18"/>
              </w:rPr>
              <w:t>2</w:t>
            </w:r>
          </w:p>
        </w:tc>
        <w:tc>
          <w:tcPr>
            <w:tcW w:w="1276" w:type="dxa"/>
            <w:tcBorders>
              <w:top w:val="nil"/>
              <w:left w:val="nil"/>
              <w:bottom w:val="nil"/>
              <w:right w:val="nil"/>
            </w:tcBorders>
            <w:shd w:val="clear" w:color="auto" w:fill="FFFFFF"/>
          </w:tcPr>
          <w:p w:rsidR="005E4807" w:rsidRPr="005E4807" w:rsidRDefault="005E4807" w:rsidP="00B5646E">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1,2</w:t>
            </w:r>
            <w:r w:rsidR="00B5646E">
              <w:rPr>
                <w:rFonts w:ascii="Arial" w:hAnsi="Arial" w:cs="Arial"/>
                <w:color w:val="000000"/>
                <w:sz w:val="18"/>
                <w:szCs w:val="18"/>
              </w:rPr>
              <w:t>4</w:t>
            </w:r>
          </w:p>
        </w:tc>
      </w:tr>
      <w:tr w:rsidR="005E4807" w:rsidRPr="005E4807" w:rsidTr="00B5646E">
        <w:trPr>
          <w:cantSplit/>
          <w:jc w:val="center"/>
        </w:trPr>
        <w:tc>
          <w:tcPr>
            <w:tcW w:w="1198" w:type="dxa"/>
            <w:vMerge/>
            <w:tcBorders>
              <w:top w:val="nil"/>
              <w:left w:val="nil"/>
              <w:bottom w:val="single" w:sz="4" w:space="0" w:color="000000"/>
              <w:right w:val="nil"/>
            </w:tcBorders>
            <w:shd w:val="clear" w:color="auto" w:fill="FFFFFF"/>
            <w:vAlign w:val="center"/>
          </w:tcPr>
          <w:p w:rsidR="005E4807" w:rsidRPr="005E4807" w:rsidRDefault="005E4807" w:rsidP="00AF16DE">
            <w:pPr>
              <w:autoSpaceDE w:val="0"/>
              <w:autoSpaceDN w:val="0"/>
              <w:adjustRightInd w:val="0"/>
              <w:rPr>
                <w:rFonts w:ascii="Arial" w:hAnsi="Arial" w:cs="Arial"/>
                <w:color w:val="000000"/>
                <w:sz w:val="18"/>
                <w:szCs w:val="18"/>
              </w:rPr>
            </w:pPr>
          </w:p>
        </w:tc>
        <w:tc>
          <w:tcPr>
            <w:tcW w:w="880" w:type="dxa"/>
            <w:tcBorders>
              <w:top w:val="nil"/>
              <w:left w:val="nil"/>
              <w:bottom w:val="single" w:sz="4" w:space="0" w:color="000000"/>
              <w:right w:val="nil"/>
            </w:tcBorders>
            <w:shd w:val="clear" w:color="auto" w:fill="FFFFFF"/>
            <w:vAlign w:val="center"/>
          </w:tcPr>
          <w:p w:rsidR="005E4807" w:rsidRPr="005E4807" w:rsidRDefault="005E4807" w:rsidP="00E71A6A">
            <w:pPr>
              <w:autoSpaceDE w:val="0"/>
              <w:autoSpaceDN w:val="0"/>
              <w:adjustRightInd w:val="0"/>
              <w:ind w:left="60" w:right="60"/>
              <w:rPr>
                <w:rFonts w:ascii="Arial" w:hAnsi="Arial" w:cs="Arial"/>
                <w:color w:val="000000"/>
                <w:sz w:val="18"/>
                <w:szCs w:val="18"/>
              </w:rPr>
            </w:pPr>
            <w:r w:rsidRPr="005E4807">
              <w:rPr>
                <w:rFonts w:ascii="Arial" w:hAnsi="Arial" w:cs="Arial"/>
                <w:color w:val="000000"/>
                <w:sz w:val="18"/>
                <w:szCs w:val="18"/>
              </w:rPr>
              <w:t>Medi</w:t>
            </w:r>
            <w:r w:rsidR="00E71A6A">
              <w:rPr>
                <w:rFonts w:ascii="Arial" w:hAnsi="Arial" w:cs="Arial"/>
                <w:color w:val="000000"/>
                <w:sz w:val="18"/>
                <w:szCs w:val="18"/>
              </w:rPr>
              <w:t>á</w:t>
            </w:r>
            <w:r w:rsidRPr="005E4807">
              <w:rPr>
                <w:rFonts w:ascii="Arial" w:hAnsi="Arial" w:cs="Arial"/>
                <w:color w:val="000000"/>
                <w:sz w:val="18"/>
                <w:szCs w:val="18"/>
              </w:rPr>
              <w:t>n</w:t>
            </w:r>
          </w:p>
        </w:tc>
        <w:tc>
          <w:tcPr>
            <w:tcW w:w="1255" w:type="dxa"/>
            <w:tcBorders>
              <w:top w:val="nil"/>
              <w:left w:val="nil"/>
              <w:bottom w:val="single" w:sz="4" w:space="0" w:color="000000"/>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c>
          <w:tcPr>
            <w:tcW w:w="1134" w:type="dxa"/>
            <w:tcBorders>
              <w:top w:val="nil"/>
              <w:left w:val="nil"/>
              <w:bottom w:val="single" w:sz="4" w:space="0" w:color="000000"/>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c>
          <w:tcPr>
            <w:tcW w:w="1276" w:type="dxa"/>
            <w:tcBorders>
              <w:top w:val="nil"/>
              <w:left w:val="nil"/>
              <w:bottom w:val="single" w:sz="4" w:space="0" w:color="000000"/>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r>
      <w:tr w:rsidR="005E4807" w:rsidRPr="005E4807" w:rsidTr="00B5646E">
        <w:trPr>
          <w:cantSplit/>
          <w:jc w:val="center"/>
        </w:trPr>
        <w:tc>
          <w:tcPr>
            <w:tcW w:w="1198" w:type="dxa"/>
            <w:vMerge w:val="restart"/>
            <w:tcBorders>
              <w:top w:val="single" w:sz="4" w:space="0" w:color="000000"/>
              <w:left w:val="nil"/>
              <w:bottom w:val="single" w:sz="16" w:space="0" w:color="000000"/>
              <w:right w:val="nil"/>
            </w:tcBorders>
            <w:shd w:val="clear" w:color="auto" w:fill="FFFFFF"/>
            <w:vAlign w:val="center"/>
          </w:tcPr>
          <w:p w:rsidR="005E4807" w:rsidRPr="005E4807" w:rsidRDefault="00E71A6A" w:rsidP="00AF16DE">
            <w:pPr>
              <w:autoSpaceDE w:val="0"/>
              <w:autoSpaceDN w:val="0"/>
              <w:adjustRightInd w:val="0"/>
              <w:ind w:left="60" w:right="60"/>
              <w:rPr>
                <w:rFonts w:ascii="Arial" w:hAnsi="Arial" w:cs="Arial"/>
                <w:color w:val="000000"/>
                <w:sz w:val="18"/>
                <w:szCs w:val="18"/>
              </w:rPr>
            </w:pPr>
            <w:r>
              <w:rPr>
                <w:rFonts w:ascii="Arial" w:hAnsi="Arial" w:cs="Arial"/>
                <w:color w:val="000000"/>
                <w:sz w:val="18"/>
                <w:szCs w:val="18"/>
              </w:rPr>
              <w:t>Celkem</w:t>
            </w:r>
          </w:p>
        </w:tc>
        <w:tc>
          <w:tcPr>
            <w:tcW w:w="880" w:type="dxa"/>
            <w:tcBorders>
              <w:top w:val="single" w:sz="4" w:space="0" w:color="000000"/>
              <w:left w:val="nil"/>
              <w:bottom w:val="nil"/>
              <w:right w:val="nil"/>
            </w:tcBorders>
            <w:shd w:val="clear" w:color="auto" w:fill="FFFFFF"/>
            <w:vAlign w:val="center"/>
          </w:tcPr>
          <w:p w:rsidR="005E4807" w:rsidRPr="005E4807" w:rsidRDefault="005E4807" w:rsidP="00AF16DE">
            <w:pPr>
              <w:autoSpaceDE w:val="0"/>
              <w:autoSpaceDN w:val="0"/>
              <w:adjustRightInd w:val="0"/>
              <w:ind w:left="60" w:right="60"/>
              <w:rPr>
                <w:rFonts w:ascii="Arial" w:hAnsi="Arial" w:cs="Arial"/>
                <w:color w:val="000000"/>
                <w:sz w:val="18"/>
                <w:szCs w:val="18"/>
              </w:rPr>
            </w:pPr>
            <w:r w:rsidRPr="005E4807">
              <w:rPr>
                <w:rFonts w:ascii="Arial" w:hAnsi="Arial" w:cs="Arial"/>
                <w:color w:val="000000"/>
                <w:sz w:val="18"/>
                <w:szCs w:val="18"/>
              </w:rPr>
              <w:t>N</w:t>
            </w:r>
          </w:p>
        </w:tc>
        <w:tc>
          <w:tcPr>
            <w:tcW w:w="1255" w:type="dxa"/>
            <w:tcBorders>
              <w:top w:val="single" w:sz="4" w:space="0" w:color="000000"/>
              <w:left w:val="nil"/>
              <w:bottom w:val="nil"/>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1229</w:t>
            </w:r>
          </w:p>
        </w:tc>
        <w:tc>
          <w:tcPr>
            <w:tcW w:w="1134" w:type="dxa"/>
            <w:tcBorders>
              <w:top w:val="single" w:sz="4" w:space="0" w:color="000000"/>
              <w:left w:val="nil"/>
              <w:bottom w:val="nil"/>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1229</w:t>
            </w:r>
          </w:p>
        </w:tc>
        <w:tc>
          <w:tcPr>
            <w:tcW w:w="1276" w:type="dxa"/>
            <w:tcBorders>
              <w:top w:val="single" w:sz="4" w:space="0" w:color="000000"/>
              <w:left w:val="nil"/>
              <w:bottom w:val="nil"/>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1229</w:t>
            </w:r>
          </w:p>
        </w:tc>
      </w:tr>
      <w:tr w:rsidR="005E4807" w:rsidRPr="005E4807" w:rsidTr="00B5646E">
        <w:trPr>
          <w:cantSplit/>
          <w:jc w:val="center"/>
        </w:trPr>
        <w:tc>
          <w:tcPr>
            <w:tcW w:w="1198" w:type="dxa"/>
            <w:vMerge/>
            <w:tcBorders>
              <w:top w:val="nil"/>
              <w:left w:val="nil"/>
              <w:bottom w:val="single" w:sz="16" w:space="0" w:color="000000"/>
              <w:right w:val="nil"/>
            </w:tcBorders>
            <w:shd w:val="clear" w:color="auto" w:fill="FFFFFF"/>
            <w:vAlign w:val="center"/>
          </w:tcPr>
          <w:p w:rsidR="005E4807" w:rsidRPr="005E4807" w:rsidRDefault="005E4807" w:rsidP="00AF16DE">
            <w:pPr>
              <w:autoSpaceDE w:val="0"/>
              <w:autoSpaceDN w:val="0"/>
              <w:adjustRightInd w:val="0"/>
              <w:rPr>
                <w:rFonts w:ascii="Arial" w:hAnsi="Arial" w:cs="Arial"/>
                <w:color w:val="000000"/>
                <w:sz w:val="18"/>
                <w:szCs w:val="18"/>
              </w:rPr>
            </w:pPr>
          </w:p>
        </w:tc>
        <w:tc>
          <w:tcPr>
            <w:tcW w:w="880" w:type="dxa"/>
            <w:tcBorders>
              <w:top w:val="nil"/>
              <w:left w:val="nil"/>
              <w:bottom w:val="nil"/>
              <w:right w:val="nil"/>
            </w:tcBorders>
            <w:shd w:val="clear" w:color="auto" w:fill="FFFFFF"/>
            <w:vAlign w:val="center"/>
          </w:tcPr>
          <w:p w:rsidR="005E4807" w:rsidRPr="005E4807" w:rsidRDefault="00E71A6A" w:rsidP="00AF16DE">
            <w:pPr>
              <w:autoSpaceDE w:val="0"/>
              <w:autoSpaceDN w:val="0"/>
              <w:adjustRightInd w:val="0"/>
              <w:ind w:left="60" w:right="60"/>
              <w:rPr>
                <w:rFonts w:ascii="Arial" w:hAnsi="Arial" w:cs="Arial"/>
                <w:color w:val="000000"/>
                <w:sz w:val="18"/>
                <w:szCs w:val="18"/>
              </w:rPr>
            </w:pPr>
            <w:r>
              <w:rPr>
                <w:rFonts w:ascii="Arial" w:hAnsi="Arial" w:cs="Arial"/>
                <w:color w:val="000000"/>
                <w:sz w:val="18"/>
                <w:szCs w:val="18"/>
              </w:rPr>
              <w:t>Průměr</w:t>
            </w:r>
          </w:p>
        </w:tc>
        <w:tc>
          <w:tcPr>
            <w:tcW w:w="1255" w:type="dxa"/>
            <w:tcBorders>
              <w:top w:val="nil"/>
              <w:left w:val="nil"/>
              <w:bottom w:val="nil"/>
              <w:right w:val="nil"/>
            </w:tcBorders>
            <w:shd w:val="clear" w:color="auto" w:fill="FFFFFF"/>
          </w:tcPr>
          <w:p w:rsidR="005E4807" w:rsidRPr="005E4807" w:rsidRDefault="005E4807" w:rsidP="004D5391">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1,2</w:t>
            </w:r>
            <w:r w:rsidR="004D5391">
              <w:rPr>
                <w:rFonts w:ascii="Arial" w:hAnsi="Arial" w:cs="Arial"/>
                <w:color w:val="000000"/>
                <w:sz w:val="18"/>
                <w:szCs w:val="18"/>
              </w:rPr>
              <w:t>8</w:t>
            </w:r>
          </w:p>
        </w:tc>
        <w:tc>
          <w:tcPr>
            <w:tcW w:w="1134" w:type="dxa"/>
            <w:tcBorders>
              <w:top w:val="nil"/>
              <w:left w:val="nil"/>
              <w:bottom w:val="nil"/>
              <w:right w:val="nil"/>
            </w:tcBorders>
            <w:shd w:val="clear" w:color="auto" w:fill="FFFFFF"/>
          </w:tcPr>
          <w:p w:rsidR="005E4807" w:rsidRPr="005E4807" w:rsidRDefault="005E4807" w:rsidP="00B5646E">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1,2</w:t>
            </w:r>
            <w:r w:rsidR="00B5646E">
              <w:rPr>
                <w:rFonts w:ascii="Arial" w:hAnsi="Arial" w:cs="Arial"/>
                <w:color w:val="000000"/>
                <w:sz w:val="18"/>
                <w:szCs w:val="18"/>
              </w:rPr>
              <w:t>5</w:t>
            </w:r>
          </w:p>
        </w:tc>
        <w:tc>
          <w:tcPr>
            <w:tcW w:w="1276" w:type="dxa"/>
            <w:tcBorders>
              <w:top w:val="nil"/>
              <w:left w:val="nil"/>
              <w:bottom w:val="nil"/>
              <w:right w:val="nil"/>
            </w:tcBorders>
            <w:shd w:val="clear" w:color="auto" w:fill="FFFFFF"/>
          </w:tcPr>
          <w:p w:rsidR="005E4807" w:rsidRPr="005E4807" w:rsidRDefault="005E4807" w:rsidP="004D5391">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1,2</w:t>
            </w:r>
            <w:r w:rsidR="004D5391">
              <w:rPr>
                <w:rFonts w:ascii="Arial" w:hAnsi="Arial" w:cs="Arial"/>
                <w:color w:val="000000"/>
                <w:sz w:val="18"/>
                <w:szCs w:val="18"/>
              </w:rPr>
              <w:t>7</w:t>
            </w:r>
          </w:p>
        </w:tc>
      </w:tr>
      <w:tr w:rsidR="005E4807" w:rsidRPr="005E4807" w:rsidTr="00B5646E">
        <w:trPr>
          <w:cantSplit/>
          <w:jc w:val="center"/>
        </w:trPr>
        <w:tc>
          <w:tcPr>
            <w:tcW w:w="1198" w:type="dxa"/>
            <w:vMerge/>
            <w:tcBorders>
              <w:top w:val="nil"/>
              <w:left w:val="nil"/>
              <w:bottom w:val="single" w:sz="18" w:space="0" w:color="000000"/>
              <w:right w:val="nil"/>
            </w:tcBorders>
            <w:shd w:val="clear" w:color="auto" w:fill="FFFFFF"/>
            <w:vAlign w:val="center"/>
          </w:tcPr>
          <w:p w:rsidR="005E4807" w:rsidRPr="005E4807" w:rsidRDefault="005E4807" w:rsidP="00AF16DE">
            <w:pPr>
              <w:autoSpaceDE w:val="0"/>
              <w:autoSpaceDN w:val="0"/>
              <w:adjustRightInd w:val="0"/>
              <w:rPr>
                <w:rFonts w:ascii="Arial" w:hAnsi="Arial" w:cs="Arial"/>
                <w:color w:val="000000"/>
                <w:sz w:val="18"/>
                <w:szCs w:val="18"/>
              </w:rPr>
            </w:pPr>
          </w:p>
        </w:tc>
        <w:tc>
          <w:tcPr>
            <w:tcW w:w="880" w:type="dxa"/>
            <w:tcBorders>
              <w:top w:val="nil"/>
              <w:left w:val="nil"/>
              <w:bottom w:val="single" w:sz="18" w:space="0" w:color="000000"/>
              <w:right w:val="nil"/>
            </w:tcBorders>
            <w:shd w:val="clear" w:color="auto" w:fill="FFFFFF"/>
            <w:vAlign w:val="center"/>
          </w:tcPr>
          <w:p w:rsidR="005E4807" w:rsidRPr="005E4807" w:rsidRDefault="005E4807" w:rsidP="00E71A6A">
            <w:pPr>
              <w:autoSpaceDE w:val="0"/>
              <w:autoSpaceDN w:val="0"/>
              <w:adjustRightInd w:val="0"/>
              <w:ind w:left="60" w:right="60"/>
              <w:rPr>
                <w:rFonts w:ascii="Arial" w:hAnsi="Arial" w:cs="Arial"/>
                <w:color w:val="000000"/>
                <w:sz w:val="18"/>
                <w:szCs w:val="18"/>
              </w:rPr>
            </w:pPr>
            <w:r w:rsidRPr="005E4807">
              <w:rPr>
                <w:rFonts w:ascii="Arial" w:hAnsi="Arial" w:cs="Arial"/>
                <w:color w:val="000000"/>
                <w:sz w:val="18"/>
                <w:szCs w:val="18"/>
              </w:rPr>
              <w:t>Medi</w:t>
            </w:r>
            <w:r w:rsidR="00E71A6A">
              <w:rPr>
                <w:rFonts w:ascii="Arial" w:hAnsi="Arial" w:cs="Arial"/>
                <w:color w:val="000000"/>
                <w:sz w:val="18"/>
                <w:szCs w:val="18"/>
              </w:rPr>
              <w:t>á</w:t>
            </w:r>
            <w:r w:rsidRPr="005E4807">
              <w:rPr>
                <w:rFonts w:ascii="Arial" w:hAnsi="Arial" w:cs="Arial"/>
                <w:color w:val="000000"/>
                <w:sz w:val="18"/>
                <w:szCs w:val="18"/>
              </w:rPr>
              <w:t>n</w:t>
            </w:r>
          </w:p>
        </w:tc>
        <w:tc>
          <w:tcPr>
            <w:tcW w:w="1255" w:type="dxa"/>
            <w:tcBorders>
              <w:top w:val="nil"/>
              <w:left w:val="nil"/>
              <w:bottom w:val="single" w:sz="18" w:space="0" w:color="000000"/>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c>
          <w:tcPr>
            <w:tcW w:w="1134" w:type="dxa"/>
            <w:tcBorders>
              <w:top w:val="nil"/>
              <w:left w:val="nil"/>
              <w:bottom w:val="single" w:sz="18" w:space="0" w:color="000000"/>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c>
          <w:tcPr>
            <w:tcW w:w="1276" w:type="dxa"/>
            <w:tcBorders>
              <w:top w:val="nil"/>
              <w:left w:val="nil"/>
              <w:bottom w:val="single" w:sz="18" w:space="0" w:color="000000"/>
              <w:right w:val="nil"/>
            </w:tcBorders>
            <w:shd w:val="clear" w:color="auto" w:fill="FFFFFF"/>
          </w:tcPr>
          <w:p w:rsidR="005E4807" w:rsidRPr="005E4807" w:rsidRDefault="005E4807" w:rsidP="004522E6">
            <w:pPr>
              <w:autoSpaceDE w:val="0"/>
              <w:autoSpaceDN w:val="0"/>
              <w:adjustRightInd w:val="0"/>
              <w:ind w:left="60" w:right="60"/>
              <w:jc w:val="center"/>
              <w:rPr>
                <w:rFonts w:ascii="Arial" w:hAnsi="Arial" w:cs="Arial"/>
                <w:color w:val="000000"/>
                <w:sz w:val="18"/>
                <w:szCs w:val="18"/>
              </w:rPr>
            </w:pPr>
            <w:r w:rsidRPr="005E4807">
              <w:rPr>
                <w:rFonts w:ascii="Arial" w:hAnsi="Arial" w:cs="Arial"/>
                <w:color w:val="000000"/>
                <w:sz w:val="18"/>
                <w:szCs w:val="18"/>
              </w:rPr>
              <w:t>1,00</w:t>
            </w:r>
          </w:p>
        </w:tc>
      </w:tr>
    </w:tbl>
    <w:p w:rsidR="005E4807" w:rsidRPr="00B76C35" w:rsidRDefault="005E4807" w:rsidP="004522E6">
      <w:pPr>
        <w:autoSpaceDE w:val="0"/>
        <w:autoSpaceDN w:val="0"/>
        <w:adjustRightInd w:val="0"/>
        <w:spacing w:before="120" w:after="120" w:line="276" w:lineRule="auto"/>
        <w:rPr>
          <w:sz w:val="20"/>
        </w:rPr>
      </w:pPr>
      <w:r w:rsidRPr="00B76C35">
        <w:rPr>
          <w:sz w:val="20"/>
        </w:rPr>
        <w:t>Pozn.: S přihlédnutím k silně zešikmenému rozdělení zdrojových dat neuvádíme hodnoty směrodatné odchylky, mediánovou absolutní odchylku apod.</w:t>
      </w:r>
    </w:p>
    <w:p w:rsidR="00342A80" w:rsidRDefault="00342A80" w:rsidP="00342A80">
      <w:pPr>
        <w:autoSpaceDE w:val="0"/>
        <w:autoSpaceDN w:val="0"/>
        <w:adjustRightInd w:val="0"/>
      </w:pPr>
    </w:p>
    <w:p w:rsidR="00066EDE" w:rsidRDefault="000C38DB" w:rsidP="00C95FD8">
      <w:pPr>
        <w:spacing w:after="120" w:line="276" w:lineRule="auto"/>
        <w:jc w:val="both"/>
        <w:rPr>
          <w:rFonts w:eastAsiaTheme="minorEastAsia"/>
        </w:rPr>
      </w:pPr>
      <w:r>
        <w:t>Výsledné hodnoty prezentované</w:t>
      </w:r>
      <w:r w:rsidR="0062574D">
        <w:t xml:space="preserve"> v</w:t>
      </w:r>
      <w:r w:rsidR="004A0F52">
        <w:t> obrázku 18</w:t>
      </w:r>
      <w:r w:rsidR="0062574D">
        <w:t xml:space="preserve"> a tabulce </w:t>
      </w:r>
      <w:r w:rsidR="004A0F52">
        <w:t>12</w:t>
      </w:r>
      <w:r w:rsidR="0062574D">
        <w:t xml:space="preserve"> je možné interpretovat tak, že „geografická“ dimenze </w:t>
      </w:r>
      <w:r w:rsidR="00524C77">
        <w:t xml:space="preserve">příležitostí k utváření a rozvíjení kompetence k řešení problémů </w:t>
      </w:r>
      <w:r w:rsidR="0062574D">
        <w:t xml:space="preserve">(systémovost) je ve zkoumaných učebních úlohách zastoupena více než </w:t>
      </w:r>
      <w:r>
        <w:t>„</w:t>
      </w:r>
      <w:r w:rsidR="00524C77">
        <w:t>pedagogická</w:t>
      </w:r>
      <w:r>
        <w:t>“</w:t>
      </w:r>
      <w:r w:rsidR="00524C77">
        <w:t xml:space="preserve"> (náročnost) a </w:t>
      </w:r>
      <w:r w:rsidR="0062574D">
        <w:t xml:space="preserve">„kognitivně psychologická“ dimenze modelu (komplexita). </w:t>
      </w:r>
      <w:r w:rsidR="00883B5D">
        <w:t>Z toho je možné usoudit, že u</w:t>
      </w:r>
      <w:r w:rsidR="0062574D">
        <w:t>čební úlohy ve zkoumaných učebnicích</w:t>
      </w:r>
      <w:r w:rsidR="00883B5D">
        <w:t xml:space="preserve"> jsou</w:t>
      </w:r>
      <w:r w:rsidR="0062574D">
        <w:t xml:space="preserve"> více </w:t>
      </w:r>
      <w:r w:rsidR="00883B5D">
        <w:t xml:space="preserve">propracované z pohledu geografie, než z pohledu pedagogiky a psychologie. </w:t>
      </w:r>
      <w:r w:rsidR="001B0E6C">
        <w:t xml:space="preserve">Na jednu stranu je možné uvedené </w:t>
      </w:r>
      <w:r w:rsidR="007E079C">
        <w:t>zjištění</w:t>
      </w:r>
      <w:r w:rsidR="001B0E6C">
        <w:t xml:space="preserve"> považovat za triviální, neboť jsme </w:t>
      </w:r>
      <w:r>
        <w:t>pouze poukázali</w:t>
      </w:r>
      <w:r w:rsidR="001B0E6C">
        <w:t xml:space="preserve">, že učebnice zeměpisu jsou </w:t>
      </w:r>
      <w:r w:rsidR="00320EE5">
        <w:t>z pohledu jednotlivých zkoumaných dimenzí nejvíce „geografické“ (vzhledem ke zjištěným hodnotám dimenze systémovosti lze také zde spatřovat potenciál k výraznému zl</w:t>
      </w:r>
      <w:r w:rsidR="00070808">
        <w:t>e</w:t>
      </w:r>
      <w:r w:rsidR="00320EE5">
        <w:t xml:space="preserve">pšení). Na druhou stranu jsme ale </w:t>
      </w:r>
      <w:r w:rsidR="00070808">
        <w:t xml:space="preserve">také </w:t>
      </w:r>
      <w:r w:rsidR="00320EE5">
        <w:t>poukázali na závažné deficity učebních úloh ve zkoumaných učebnicích</w:t>
      </w:r>
      <w:r w:rsidR="00070808">
        <w:t xml:space="preserve"> stran respektování a aplikace poznatků a </w:t>
      </w:r>
      <w:r>
        <w:t>doporučení</w:t>
      </w:r>
      <w:r w:rsidR="00070808">
        <w:t xml:space="preserve"> pedagogiky a psychologie.</w:t>
      </w:r>
      <w:r w:rsidR="00A067C0">
        <w:t xml:space="preserve"> Uvedenou myšlenku prohlubujeme také v následující kapitole, v níž prezentujeme výsledky vybraných statistických analýz.</w:t>
      </w:r>
    </w:p>
    <w:p w:rsidR="007D4F07" w:rsidRDefault="007D4F07" w:rsidP="00F66B2B">
      <w:pPr>
        <w:rPr>
          <w:rFonts w:eastAsiaTheme="minorEastAsia"/>
        </w:rPr>
      </w:pPr>
    </w:p>
    <w:p w:rsidR="005E3B35" w:rsidRPr="005E3B35" w:rsidRDefault="005E3B35" w:rsidP="005E3B35">
      <w:pPr>
        <w:pStyle w:val="Nadpis3"/>
      </w:pPr>
      <w:bookmarkStart w:id="104" w:name="_Toc399775434"/>
      <w:bookmarkEnd w:id="94"/>
      <w:bookmarkEnd w:id="95"/>
      <w:bookmarkEnd w:id="96"/>
      <w:r w:rsidRPr="005E3B35">
        <w:t xml:space="preserve">Kapitola (možná) navíc: </w:t>
      </w:r>
      <w:r w:rsidR="005D0E74">
        <w:t>rozdíly</w:t>
      </w:r>
      <w:r w:rsidR="003F737F">
        <w:t xml:space="preserve"> a </w:t>
      </w:r>
      <w:r w:rsidR="001A4A35">
        <w:t>závislosti</w:t>
      </w:r>
      <w:r w:rsidR="005052EF">
        <w:t xml:space="preserve"> mezi jednotlivými dimenzemi teoretického modelu</w:t>
      </w:r>
      <w:bookmarkEnd w:id="104"/>
    </w:p>
    <w:p w:rsidR="001404AC" w:rsidRPr="005E3B35" w:rsidRDefault="00841A1E" w:rsidP="001404AC">
      <w:pPr>
        <w:spacing w:after="120" w:line="276" w:lineRule="auto"/>
        <w:jc w:val="both"/>
      </w:pPr>
      <w:r>
        <w:t xml:space="preserve">Prezentace statistické analýzy </w:t>
      </w:r>
      <w:r w:rsidR="009859B3">
        <w:t>odlišností</w:t>
      </w:r>
      <w:r w:rsidR="007A1ED0">
        <w:t>, resp. souvislost</w:t>
      </w:r>
      <w:r w:rsidR="009859B3">
        <w:t>í</w:t>
      </w:r>
      <w:r w:rsidR="007A1ED0">
        <w:t xml:space="preserve"> mezi jednotlivými dimenzemi příležitostí k utváření a rozvíjení kompetence k </w:t>
      </w:r>
      <w:r w:rsidR="00883B5D">
        <w:t>ř</w:t>
      </w:r>
      <w:r w:rsidR="007A1ED0">
        <w:t xml:space="preserve">ešení problémů </w:t>
      </w:r>
      <w:r>
        <w:t>se může některým čtenářům jevit jako nadbytečn</w:t>
      </w:r>
      <w:r w:rsidR="007A1ED0">
        <w:t>á</w:t>
      </w:r>
      <w:r w:rsidR="0034179C">
        <w:t xml:space="preserve">. Tento typ analýz zpravidla nebývá v odborné literatuře týkající se výzkumu učebnic zpravidla používán, neboť výsledná zjištění </w:t>
      </w:r>
      <w:r w:rsidR="001D7B41">
        <w:t>a jejich</w:t>
      </w:r>
      <w:r w:rsidR="0034179C">
        <w:t xml:space="preserve"> interpret</w:t>
      </w:r>
      <w:r w:rsidR="001D7B41">
        <w:t>ace narážejí na poměrně významn</w:t>
      </w:r>
      <w:r w:rsidR="005052EF">
        <w:t>á</w:t>
      </w:r>
      <w:r w:rsidR="001D7B41">
        <w:t xml:space="preserve"> metodologická </w:t>
      </w:r>
      <w:r w:rsidR="00883B5D">
        <w:t xml:space="preserve">i </w:t>
      </w:r>
      <w:r w:rsidR="005F534C">
        <w:t>obsahová</w:t>
      </w:r>
      <w:r w:rsidR="00883B5D">
        <w:t xml:space="preserve"> </w:t>
      </w:r>
      <w:r w:rsidR="001D7B41">
        <w:t>omezení (týkající se např. povahy výzkumných dat a je</w:t>
      </w:r>
      <w:r w:rsidR="00E572B9">
        <w:t>j</w:t>
      </w:r>
      <w:r w:rsidR="001D7B41">
        <w:t>ich rozdělení</w:t>
      </w:r>
      <w:r w:rsidR="005F534C">
        <w:t xml:space="preserve">, omezení vyplývající </w:t>
      </w:r>
      <w:r w:rsidR="001B0E6C">
        <w:t>ze zásad „zdravého rozumu“</w:t>
      </w:r>
      <w:r w:rsidR="001D7B41">
        <w:t xml:space="preserve">). </w:t>
      </w:r>
      <w:r w:rsidR="00E572B9" w:rsidRPr="005E3B35">
        <w:t>S přihlédnutím ke skutečnosti, že jsme měli k dispozici neparametrická ordinální data týkající se tří nezávislých proměnných</w:t>
      </w:r>
      <w:r w:rsidR="00E572B9">
        <w:t xml:space="preserve"> (</w:t>
      </w:r>
      <w:r w:rsidR="000C38DB">
        <w:t xml:space="preserve">systémovost, </w:t>
      </w:r>
      <w:r w:rsidR="00E572B9">
        <w:t>komplexita, náročnost)</w:t>
      </w:r>
      <w:r w:rsidR="00E572B9" w:rsidRPr="005E3B35">
        <w:t xml:space="preserve">, a nominální data týkající se jedné nezávisle proměnné (vydavatelství), je možné prohlásit, že testování souvislostí mezi jednotlivými proměnnými není relevantní z hlediska </w:t>
      </w:r>
      <w:r w:rsidR="00E572B9">
        <w:t xml:space="preserve">zkoumání odlišností </w:t>
      </w:r>
      <w:r w:rsidR="001B0E6C">
        <w:t>učebních úloh</w:t>
      </w:r>
      <w:r w:rsidR="00E572B9">
        <w:t xml:space="preserve"> v jednotlivých zkoumaných učebnicích</w:t>
      </w:r>
      <w:r w:rsidR="00E572B9" w:rsidRPr="005E3B35">
        <w:t xml:space="preserve">. </w:t>
      </w:r>
      <w:r w:rsidR="009560C1">
        <w:t>Patrně není potřebné zdůraznit, že t</w:t>
      </w:r>
      <w:r>
        <w:t xml:space="preserve">ematické zúžení prezentovaného výzkumu na učební úlohy v učebnicích fyzické geografie neumožňuje na základě provedených výpočtů </w:t>
      </w:r>
      <w:r w:rsidR="00FA7633">
        <w:t xml:space="preserve">činit obecně platné výpovědi týkající se charakteru učebních úloh ve zkoumaných učebnicích, případně o </w:t>
      </w:r>
      <w:r w:rsidR="007A1ED0">
        <w:t xml:space="preserve">celkové </w:t>
      </w:r>
      <w:r w:rsidR="00FA7633">
        <w:t xml:space="preserve">kvalitě zkoumaných učebnic. </w:t>
      </w:r>
      <w:r w:rsidR="001404AC" w:rsidRPr="005E3B35">
        <w:t>Přes výše uveden</w:t>
      </w:r>
      <w:r w:rsidR="001404AC">
        <w:t>á</w:t>
      </w:r>
      <w:r w:rsidR="001404AC" w:rsidRPr="005E3B35">
        <w:t xml:space="preserve"> omezení se přesto domníváme, že výsledky neparametrických testů </w:t>
      </w:r>
      <w:r w:rsidR="001404AC">
        <w:t xml:space="preserve">otvírají nové možnosti a způsoby interpretace výsledků výzkumu a </w:t>
      </w:r>
      <w:r w:rsidR="001404AC" w:rsidRPr="005E3B35">
        <w:t xml:space="preserve">mohou odhalit některé skutečnosti, které </w:t>
      </w:r>
      <w:r w:rsidR="001404AC">
        <w:t>by bez provedené statistické analýzy zůstaly neodhalen</w:t>
      </w:r>
      <w:r w:rsidR="005D0E74">
        <w:t xml:space="preserve">y, a které </w:t>
      </w:r>
      <w:r w:rsidR="001404AC" w:rsidRPr="005E3B35">
        <w:t>mohou být v budoucnosti podrobeny detailnějšímu zkoumání opřenému o kvalitnější výzkumná data.</w:t>
      </w:r>
      <w:r w:rsidR="001404AC">
        <w:t xml:space="preserve"> </w:t>
      </w:r>
      <w:r w:rsidR="001404AC" w:rsidRPr="005E3B35">
        <w:t>Vzhledem k povaze dostupných výzkumných dat jsme zvolili jednoprocentní hladinu významnosti (α = 0,01).</w:t>
      </w:r>
    </w:p>
    <w:p w:rsidR="00AF0DC0" w:rsidRDefault="005E3B35" w:rsidP="00025C44">
      <w:pPr>
        <w:spacing w:after="120" w:line="276" w:lineRule="auto"/>
        <w:jc w:val="both"/>
      </w:pPr>
      <w:r w:rsidRPr="005E3B35">
        <w:t>K testování normality dat jsme použili jednovýběrový Kolmogorovův-Smirnovův test, který ověřuje, zda se rozdělení náhodné veličiny v souboru odpovídá teoretickému rozdělení. Test ukázal, že žádná z námi zkoumaných dimenzí příležitostí k utváření kompetence k řešení problémů nemá normální rozdělení</w:t>
      </w:r>
      <w:r w:rsidR="00021CB3">
        <w:t>.</w:t>
      </w:r>
      <w:r w:rsidR="00AF0DC0">
        <w:rPr>
          <w:rStyle w:val="Znakapoznpodarou"/>
        </w:rPr>
        <w:footnoteReference w:id="94"/>
      </w:r>
      <w:r w:rsidR="00021CB3">
        <w:t xml:space="preserve"> </w:t>
      </w:r>
      <w:r w:rsidRPr="005E3B35">
        <w:t xml:space="preserve">To potvrdily také hodnoty </w:t>
      </w:r>
      <w:r w:rsidR="00311C8E">
        <w:t>i</w:t>
      </w:r>
      <w:r w:rsidRPr="005E3B35">
        <w:t>ndikující u všech tří dimenzí vysoké míry koeficientu šikmosti a špičatosti</w:t>
      </w:r>
      <w:r w:rsidR="00E40C27">
        <w:rPr>
          <w:rStyle w:val="Znakapoznpodarou"/>
        </w:rPr>
        <w:footnoteReference w:id="95"/>
      </w:r>
      <w:r w:rsidRPr="005E3B35">
        <w:t xml:space="preserve">. </w:t>
      </w:r>
    </w:p>
    <w:p w:rsidR="009F0515" w:rsidRDefault="009F0515" w:rsidP="00025C44">
      <w:pPr>
        <w:spacing w:after="120" w:line="276" w:lineRule="auto"/>
        <w:jc w:val="both"/>
      </w:pPr>
    </w:p>
    <w:p w:rsidR="00265040" w:rsidRDefault="00671869" w:rsidP="00426E58">
      <w:pPr>
        <w:pStyle w:val="Nadpis4"/>
        <w:numPr>
          <w:ilvl w:val="0"/>
          <w:numId w:val="0"/>
        </w:numPr>
      </w:pPr>
      <w:r>
        <w:t>Analýza r</w:t>
      </w:r>
      <w:r w:rsidR="00265040">
        <w:t>ozdíl</w:t>
      </w:r>
      <w:r>
        <w:t>ů</w:t>
      </w:r>
      <w:r w:rsidR="00265040">
        <w:t xml:space="preserve"> mezi dimenzemi</w:t>
      </w:r>
    </w:p>
    <w:p w:rsidR="005E3B35" w:rsidRPr="003F737F" w:rsidRDefault="00F257AE" w:rsidP="00DD7C57">
      <w:pPr>
        <w:spacing w:after="120" w:line="276" w:lineRule="auto"/>
        <w:jc w:val="both"/>
      </w:pPr>
      <w:r>
        <w:t xml:space="preserve">Abychom </w:t>
      </w:r>
      <w:r w:rsidR="004372BC">
        <w:t>mo</w:t>
      </w:r>
      <w:r>
        <w:t>hli usuzovat na rozdíly mezi jednotlivými dimenzemi příležitostí k utváření a rozvíjení kompetence k řešení problémů</w:t>
      </w:r>
      <w:r w:rsidR="004372BC">
        <w:t xml:space="preserve">, je nutné vycházet z předpokladu, že </w:t>
      </w:r>
      <w:r w:rsidR="005E3B35" w:rsidRPr="003F737F">
        <w:t xml:space="preserve">všechny </w:t>
      </w:r>
      <w:r w:rsidR="00C231D8" w:rsidRPr="003F737F">
        <w:t>hodnoty</w:t>
      </w:r>
      <w:r w:rsidR="005E3B35" w:rsidRPr="003F737F">
        <w:t xml:space="preserve"> sledovaných proměnných jsou stejné. </w:t>
      </w:r>
      <w:r w:rsidR="004372BC">
        <w:t>Cílem dílčí analýzy popisované v této podkapitole bylo z</w:t>
      </w:r>
      <w:r w:rsidR="005E3B35" w:rsidRPr="003F737F">
        <w:t xml:space="preserve">jistit, zda existuje statisticky významný rozdíl mezi </w:t>
      </w:r>
      <w:r w:rsidR="00BE7642" w:rsidRPr="003F737F">
        <w:t>hodnotami</w:t>
      </w:r>
      <w:r w:rsidR="005E3B35" w:rsidRPr="003F737F">
        <w:t xml:space="preserve"> jednotlivých dimenzí příležitostí k utváření a rozvíjení kompetence k řešení problémů.</w:t>
      </w:r>
    </w:p>
    <w:p w:rsidR="005E3B35" w:rsidRPr="003F737F" w:rsidRDefault="005E3B35" w:rsidP="00DD7C57">
      <w:pPr>
        <w:spacing w:after="120" w:line="276" w:lineRule="auto"/>
        <w:jc w:val="both"/>
      </w:pPr>
      <w:r w:rsidRPr="003F737F">
        <w:t xml:space="preserve">Ověřovali jsme následující hypotézy: </w:t>
      </w:r>
    </w:p>
    <w:p w:rsidR="005E3B35" w:rsidRPr="003F737F" w:rsidRDefault="005E3B35" w:rsidP="00DD7C57">
      <w:pPr>
        <w:spacing w:after="120" w:line="276" w:lineRule="auto"/>
        <w:jc w:val="both"/>
      </w:pPr>
      <w:r w:rsidRPr="003F737F">
        <w:t xml:space="preserve">H0: </w:t>
      </w:r>
      <w:r w:rsidR="004C5C20" w:rsidRPr="003F737F">
        <w:t>Medián</w:t>
      </w:r>
      <w:r w:rsidR="004372BC">
        <w:t>y</w:t>
      </w:r>
      <w:r w:rsidR="004C5C20" w:rsidRPr="003F737F">
        <w:t xml:space="preserve"> rozdílů hodnot </w:t>
      </w:r>
      <w:r w:rsidRPr="003F737F">
        <w:t xml:space="preserve">jednotlivých dimenzí příležitostí k utváření a rozvíjení kompetence k řešení problémů (systémovost, </w:t>
      </w:r>
      <w:r w:rsidR="004D5391" w:rsidRPr="003F737F">
        <w:t>komplexita</w:t>
      </w:r>
      <w:r w:rsidR="004D5391">
        <w:t>,</w:t>
      </w:r>
      <w:r w:rsidR="004D5391" w:rsidRPr="003F737F">
        <w:t xml:space="preserve"> </w:t>
      </w:r>
      <w:r w:rsidR="004D5391">
        <w:t>náročnost</w:t>
      </w:r>
      <w:r w:rsidRPr="003F737F">
        <w:t>) jsou stejné.</w:t>
      </w:r>
      <w:r w:rsidR="006C61C3" w:rsidRPr="003F737F">
        <w:t xml:space="preserve"> </w:t>
      </w:r>
    </w:p>
    <w:p w:rsidR="005E3B35" w:rsidRPr="003F737F" w:rsidRDefault="005E3B35" w:rsidP="00DD7C57">
      <w:pPr>
        <w:spacing w:after="120" w:line="276" w:lineRule="auto"/>
        <w:jc w:val="both"/>
      </w:pPr>
      <w:r w:rsidRPr="003F737F">
        <w:t xml:space="preserve">H1: </w:t>
      </w:r>
      <w:r w:rsidR="00F60B08" w:rsidRPr="003F737F">
        <w:t>V</w:t>
      </w:r>
      <w:r w:rsidR="004C5C20" w:rsidRPr="003F737F">
        <w:t> mediánech r</w:t>
      </w:r>
      <w:r w:rsidR="00995BFF" w:rsidRPr="003F737F">
        <w:t>ozdílů hodnot</w:t>
      </w:r>
      <w:r w:rsidR="00F60B08" w:rsidRPr="003F737F">
        <w:t xml:space="preserve"> ales</w:t>
      </w:r>
      <w:r w:rsidRPr="003F737F">
        <w:t xml:space="preserve">poň </w:t>
      </w:r>
      <w:r w:rsidR="00F60B08" w:rsidRPr="003F737F">
        <w:t>dvou</w:t>
      </w:r>
      <w:r w:rsidRPr="003F737F">
        <w:t xml:space="preserve"> dimenz</w:t>
      </w:r>
      <w:r w:rsidR="00F60B08" w:rsidRPr="003F737F">
        <w:t>í</w:t>
      </w:r>
      <w:r w:rsidRPr="003F737F">
        <w:t xml:space="preserve"> příležitostí k utváření a rozvíjení kompetence k řešení problémů </w:t>
      </w:r>
      <w:r w:rsidR="004D5391" w:rsidRPr="003F737F">
        <w:t>(systémovost, komplexita</w:t>
      </w:r>
      <w:r w:rsidR="004D5391">
        <w:t>,</w:t>
      </w:r>
      <w:r w:rsidR="004D5391" w:rsidRPr="003F737F">
        <w:t xml:space="preserve"> </w:t>
      </w:r>
      <w:r w:rsidR="004D5391">
        <w:t>náročnost</w:t>
      </w:r>
      <w:r w:rsidR="004D5391" w:rsidRPr="003F737F">
        <w:t xml:space="preserve">) </w:t>
      </w:r>
      <w:r w:rsidRPr="003F737F">
        <w:t>existuje statisticky významný rozdíl.</w:t>
      </w:r>
    </w:p>
    <w:p w:rsidR="005E3B35" w:rsidRPr="003F737F" w:rsidRDefault="004372BC" w:rsidP="00C231D8">
      <w:pPr>
        <w:autoSpaceDE w:val="0"/>
        <w:autoSpaceDN w:val="0"/>
        <w:adjustRightInd w:val="0"/>
        <w:spacing w:after="120" w:line="276" w:lineRule="auto"/>
        <w:jc w:val="both"/>
      </w:pPr>
      <w:r w:rsidRPr="005E3B35">
        <w:t>V</w:t>
      </w:r>
      <w:r w:rsidRPr="003F737F">
        <w:t xml:space="preserve">ětšina testů založených na analýze rozptylu pro neparametrické ordinální proměnné je velmi slabých. </w:t>
      </w:r>
      <w:r w:rsidR="00DC76C2" w:rsidRPr="003F737F">
        <w:t>K ověření uvedených hypotéz jsme použili neparametrickou analýzu rozptylu (</w:t>
      </w:r>
      <w:r w:rsidR="00E01161" w:rsidRPr="003F737F">
        <w:t>Friedmanova</w:t>
      </w:r>
      <w:r w:rsidR="006E7C95" w:rsidRPr="003F737F">
        <w:t xml:space="preserve"> </w:t>
      </w:r>
      <w:r w:rsidR="00E01161" w:rsidRPr="003F737F">
        <w:t>ANOVA</w:t>
      </w:r>
      <w:r w:rsidR="0070354C" w:rsidRPr="003F737F">
        <w:t xml:space="preserve"> pro více než dva </w:t>
      </w:r>
      <w:r w:rsidR="004C5C20" w:rsidRPr="003F737F">
        <w:t xml:space="preserve">závislé </w:t>
      </w:r>
      <w:r w:rsidR="0070354C" w:rsidRPr="003F737F">
        <w:t>výběry</w:t>
      </w:r>
      <w:r w:rsidR="00DC76C2" w:rsidRPr="003F737F">
        <w:t xml:space="preserve">). </w:t>
      </w:r>
      <w:r w:rsidR="006E7C95" w:rsidRPr="003F737F">
        <w:t xml:space="preserve">Na základě </w:t>
      </w:r>
      <w:r w:rsidR="000312D8" w:rsidRPr="003F737F">
        <w:t>zjištěných výsledků nebylo možné potvrdit nulovou hypotézu</w:t>
      </w:r>
      <w:r w:rsidR="006E7C95" w:rsidRPr="003F737F">
        <w:t xml:space="preserve">, </w:t>
      </w:r>
      <w:r w:rsidR="006E7C95" w:rsidRPr="003F737F">
        <w:rPr>
          <w:rStyle w:val="st"/>
        </w:rPr>
        <w:t>χ</w:t>
      </w:r>
      <w:r w:rsidR="006E7C95" w:rsidRPr="003F737F">
        <w:rPr>
          <w:rStyle w:val="st"/>
          <w:vertAlign w:val="superscript"/>
        </w:rPr>
        <w:t>2</w:t>
      </w:r>
      <w:r w:rsidR="006E7C95" w:rsidRPr="003F737F">
        <w:rPr>
          <w:rStyle w:val="st"/>
        </w:rPr>
        <w:t>(2) =</w:t>
      </w:r>
      <w:r w:rsidR="00995BFF" w:rsidRPr="003F737F">
        <w:rPr>
          <w:rStyle w:val="st"/>
        </w:rPr>
        <w:t xml:space="preserve"> </w:t>
      </w:r>
      <w:r w:rsidR="006E7C95" w:rsidRPr="003F737F">
        <w:rPr>
          <w:rStyle w:val="st"/>
        </w:rPr>
        <w:t>1</w:t>
      </w:r>
      <w:r w:rsidR="00C4394C" w:rsidRPr="003F737F">
        <w:rPr>
          <w:rStyle w:val="st"/>
        </w:rPr>
        <w:t>1</w:t>
      </w:r>
      <w:r w:rsidR="006E7C95" w:rsidRPr="003F737F">
        <w:rPr>
          <w:rStyle w:val="st"/>
        </w:rPr>
        <w:t>,</w:t>
      </w:r>
      <w:r w:rsidR="00C4394C" w:rsidRPr="003F737F">
        <w:rPr>
          <w:rStyle w:val="st"/>
        </w:rPr>
        <w:t>43</w:t>
      </w:r>
      <w:r w:rsidR="006E7C95" w:rsidRPr="003F737F">
        <w:rPr>
          <w:rStyle w:val="st"/>
        </w:rPr>
        <w:t xml:space="preserve">, </w:t>
      </w:r>
      <w:r w:rsidR="006E7C95" w:rsidRPr="003F737F">
        <w:rPr>
          <w:i/>
        </w:rPr>
        <w:t xml:space="preserve">p </w:t>
      </w:r>
      <m:oMath>
        <m:r>
          <w:rPr>
            <w:rFonts w:ascii="Cambria Math"/>
          </w:rPr>
          <m:t>=</m:t>
        </m:r>
      </m:oMath>
      <w:r w:rsidR="006E7C95" w:rsidRPr="003F737F">
        <w:t xml:space="preserve"> 0,0</w:t>
      </w:r>
      <w:r w:rsidR="00B36F00" w:rsidRPr="003F737F">
        <w:t>0</w:t>
      </w:r>
      <w:r w:rsidR="00C4394C" w:rsidRPr="003F737F">
        <w:t>3</w:t>
      </w:r>
      <w:r w:rsidR="00DF2C51" w:rsidRPr="003F737F">
        <w:t xml:space="preserve">. </w:t>
      </w:r>
      <w:r w:rsidR="003F737F" w:rsidRPr="003F737F">
        <w:t>U</w:t>
      </w:r>
      <w:r w:rsidR="00145C3A" w:rsidRPr="003F737F">
        <w:t>kázalo</w:t>
      </w:r>
      <w:r w:rsidR="003F737F" w:rsidRPr="003F737F">
        <w:t xml:space="preserve"> se</w:t>
      </w:r>
      <w:r w:rsidR="00145C3A" w:rsidRPr="003F737F">
        <w:t>, že alespoň mezi dvěma proměnnými existuje statisticky významný (zobecnitelný) rozdíl</w:t>
      </w:r>
      <w:r>
        <w:t>. Proto</w:t>
      </w:r>
      <w:r w:rsidR="00145C3A" w:rsidRPr="003F737F">
        <w:t xml:space="preserve"> bylo nutn</w:t>
      </w:r>
      <w:r>
        <w:t>é</w:t>
      </w:r>
      <w:r w:rsidR="00145C3A" w:rsidRPr="003F737F">
        <w:t xml:space="preserve"> zkoumat, které </w:t>
      </w:r>
      <w:r w:rsidR="007E079C" w:rsidRPr="003F737F">
        <w:t>dimenze</w:t>
      </w:r>
      <w:r w:rsidR="00145C3A" w:rsidRPr="003F737F">
        <w:t xml:space="preserve"> se </w:t>
      </w:r>
      <w:r>
        <w:t>vzájemně odlišují</w:t>
      </w:r>
      <w:r w:rsidR="00145C3A" w:rsidRPr="003F737F">
        <w:t xml:space="preserve"> (post-hoc test). </w:t>
      </w:r>
      <w:r w:rsidR="000B1411" w:rsidRPr="003F737F">
        <w:t>Pro získání podrobnějších informací</w:t>
      </w:r>
      <w:r w:rsidR="00AF555B" w:rsidRPr="003F737F">
        <w:t xml:space="preserve"> </w:t>
      </w:r>
      <w:r w:rsidR="000B1411" w:rsidRPr="003F737F">
        <w:t xml:space="preserve">jsme následně použili </w:t>
      </w:r>
      <w:r w:rsidR="008239CD" w:rsidRPr="003F737F">
        <w:t xml:space="preserve">dvouvýběrový </w:t>
      </w:r>
      <w:r w:rsidR="00DF2C51" w:rsidRPr="003F737F">
        <w:t>Wilcoxonův</w:t>
      </w:r>
      <w:r w:rsidR="003F737F" w:rsidRPr="003F737F">
        <w:t xml:space="preserve"> pořadový</w:t>
      </w:r>
      <w:r w:rsidR="00DF2C51" w:rsidRPr="003F737F">
        <w:t xml:space="preserve"> test</w:t>
      </w:r>
      <w:r w:rsidR="00C800FA" w:rsidRPr="003F737F">
        <w:t xml:space="preserve"> </w:t>
      </w:r>
      <w:r w:rsidR="00907636" w:rsidRPr="003F737F">
        <w:t>(</w:t>
      </w:r>
      <w:r w:rsidR="00C800FA" w:rsidRPr="003F737F">
        <w:t>s Bonferroniho korekcí</w:t>
      </w:r>
      <w:r w:rsidR="00907636" w:rsidRPr="003F737F">
        <w:t xml:space="preserve">, </w:t>
      </w:r>
      <w:r w:rsidR="007422CD" w:rsidRPr="003F737F">
        <w:t xml:space="preserve">p </w:t>
      </w:r>
      <m:oMath>
        <m:r>
          <w:rPr>
            <w:rFonts w:ascii="Cambria Math"/>
          </w:rPr>
          <m:t>&lt;</m:t>
        </m:r>
      </m:oMath>
      <w:r w:rsidR="003F737F" w:rsidRPr="003F737F">
        <w:t xml:space="preserve"> </w:t>
      </w:r>
      <w:r w:rsidR="007422CD" w:rsidRPr="003F737F">
        <w:t>0,0</w:t>
      </w:r>
      <w:r w:rsidR="0011139E" w:rsidRPr="003F737F">
        <w:t>0</w:t>
      </w:r>
      <w:r w:rsidR="007422CD" w:rsidRPr="003F737F">
        <w:t>3)</w:t>
      </w:r>
      <w:r w:rsidR="008126D2" w:rsidRPr="003F737F">
        <w:t>, který zjišťuje</w:t>
      </w:r>
      <w:r w:rsidR="00A0315C" w:rsidRPr="003F737F">
        <w:t xml:space="preserve"> rozdíl</w:t>
      </w:r>
      <w:r w:rsidR="008126D2" w:rsidRPr="003F737F">
        <w:t>y</w:t>
      </w:r>
      <w:r w:rsidR="00A0315C" w:rsidRPr="003F737F">
        <w:t xml:space="preserve"> mezi hodnotami jednotlivých dimenzí. </w:t>
      </w:r>
      <w:r w:rsidR="00AF555B" w:rsidRPr="003F737F">
        <w:t xml:space="preserve">Test </w:t>
      </w:r>
      <w:r w:rsidR="008B0D51" w:rsidRPr="003F737F">
        <w:t>ve všech párových kombinací</w:t>
      </w:r>
      <w:r w:rsidR="00560793" w:rsidRPr="003F737F">
        <w:t>ch</w:t>
      </w:r>
      <w:r w:rsidR="008B0D51" w:rsidRPr="003F737F">
        <w:t xml:space="preserve"> </w:t>
      </w:r>
      <w:r w:rsidR="008239CD" w:rsidRPr="003F737F">
        <w:t>od</w:t>
      </w:r>
      <w:r w:rsidR="00552F24" w:rsidRPr="003F737F">
        <w:t>halil</w:t>
      </w:r>
      <w:r w:rsidR="008239CD" w:rsidRPr="003F737F">
        <w:t xml:space="preserve">, že hodnoty dimenze </w:t>
      </w:r>
      <w:r w:rsidR="00444CE5" w:rsidRPr="003F737F">
        <w:t>komplexity</w:t>
      </w:r>
      <w:r w:rsidR="008239CD" w:rsidRPr="003F737F">
        <w:t xml:space="preserve"> </w:t>
      </w:r>
      <w:r w:rsidR="008126D2" w:rsidRPr="003F737F">
        <w:t>se</w:t>
      </w:r>
      <w:r w:rsidR="008239CD" w:rsidRPr="003F737F">
        <w:t xml:space="preserve"> signifikantně </w:t>
      </w:r>
      <w:r w:rsidR="008126D2" w:rsidRPr="003F737F">
        <w:t>lišily od hodnot</w:t>
      </w:r>
      <w:r w:rsidR="008239CD" w:rsidRPr="003F737F">
        <w:t xml:space="preserve"> </w:t>
      </w:r>
      <w:r w:rsidR="00025C44" w:rsidRPr="003F737F">
        <w:t xml:space="preserve">dimenze </w:t>
      </w:r>
      <w:r w:rsidR="008126D2" w:rsidRPr="003F737F">
        <w:t>systémovosti</w:t>
      </w:r>
      <w:r w:rsidR="00F0078D" w:rsidRPr="003F737F">
        <w:t xml:space="preserve"> (</w:t>
      </w:r>
      <w:r w:rsidR="00F0078D" w:rsidRPr="003F737F">
        <w:rPr>
          <w:i/>
        </w:rPr>
        <w:t>Z</w:t>
      </w:r>
      <w:r w:rsidR="00F0078D" w:rsidRPr="003F737F">
        <w:t xml:space="preserve"> = -3,87, </w:t>
      </w:r>
      <w:r w:rsidR="00F0078D" w:rsidRPr="003F737F">
        <w:rPr>
          <w:i/>
        </w:rPr>
        <w:t>p</w:t>
      </w:r>
      <w:r w:rsidR="00F0078D" w:rsidRPr="003F737F">
        <w:t xml:space="preserve"> = 0,001)</w:t>
      </w:r>
      <w:r w:rsidR="00930147" w:rsidRPr="003F737F">
        <w:t xml:space="preserve">. Na základě výsledků Wilcoxonova </w:t>
      </w:r>
      <w:r w:rsidR="00FD5CB1">
        <w:t>p</w:t>
      </w:r>
      <w:r w:rsidR="003F737F">
        <w:t xml:space="preserve">ořadového </w:t>
      </w:r>
      <w:r w:rsidR="00BA1417">
        <w:t>t</w:t>
      </w:r>
      <w:r w:rsidR="00930147" w:rsidRPr="003F737F">
        <w:t>estu je možné konstatovat, že zkoumané učební úlohy skórovaly signifikantně výše v</w:t>
      </w:r>
      <w:r w:rsidR="00F0078D" w:rsidRPr="003F737F">
        <w:t xml:space="preserve"> dimenz</w:t>
      </w:r>
      <w:r w:rsidR="00930147" w:rsidRPr="003F737F">
        <w:t>i</w:t>
      </w:r>
      <w:r w:rsidR="00F0078D" w:rsidRPr="003F737F">
        <w:t xml:space="preserve"> systémovost</w:t>
      </w:r>
      <w:r w:rsidR="00930147" w:rsidRPr="003F737F">
        <w:t>i ve srovnání s dimenzí komplexity.</w:t>
      </w:r>
      <w:r w:rsidR="00F0078D" w:rsidRPr="003F737F">
        <w:t xml:space="preserve"> </w:t>
      </w:r>
      <w:r w:rsidR="0070354C" w:rsidRPr="003F737F">
        <w:t>Kombinace hodnot</w:t>
      </w:r>
      <w:r w:rsidR="00ED2C6E" w:rsidRPr="003F737F">
        <w:t xml:space="preserve"> ostatních dimenzí ne</w:t>
      </w:r>
      <w:r w:rsidR="00265040" w:rsidRPr="003F737F">
        <w:t>vykazovaly</w:t>
      </w:r>
      <w:r w:rsidR="00ED2C6E" w:rsidRPr="003F737F">
        <w:t xml:space="preserve"> statisticky signifikantní rozdíly.</w:t>
      </w:r>
      <w:r w:rsidR="004B10E8" w:rsidRPr="003F737F">
        <w:rPr>
          <w:rStyle w:val="Znakapoznpodarou"/>
        </w:rPr>
        <w:footnoteReference w:id="96"/>
      </w:r>
      <w:r w:rsidR="00195097" w:rsidRPr="003F737F">
        <w:t xml:space="preserve"> Je tedy možné domnívat se, že zkoumané učební úlohy jsou více orientované na geografickou </w:t>
      </w:r>
      <w:r w:rsidR="00F132C8" w:rsidRPr="003F737F">
        <w:t>dimenzi</w:t>
      </w:r>
      <w:r w:rsidR="00195097" w:rsidRPr="003F737F">
        <w:t xml:space="preserve"> </w:t>
      </w:r>
      <w:r w:rsidR="00F132C8" w:rsidRPr="003F737F">
        <w:t>problémových učebních úloh</w:t>
      </w:r>
      <w:r>
        <w:t xml:space="preserve"> (systémovost)</w:t>
      </w:r>
      <w:r w:rsidR="00F132C8" w:rsidRPr="003F737F">
        <w:t>, než na dimenzi kognitivně psychologickou</w:t>
      </w:r>
      <w:r>
        <w:t xml:space="preserve"> (komplexita)</w:t>
      </w:r>
      <w:r w:rsidR="00F132C8" w:rsidRPr="003F737F">
        <w:t xml:space="preserve">. </w:t>
      </w:r>
      <w:r w:rsidR="002562B5" w:rsidRPr="003F737F">
        <w:t xml:space="preserve">Pochopitelně není překvapivé, že učebnice zeměpisu jsou </w:t>
      </w:r>
      <w:r w:rsidR="00A95296" w:rsidRPr="003F737F">
        <w:t xml:space="preserve">z hlediska zkoumaných dimenzí </w:t>
      </w:r>
      <w:r w:rsidR="002562B5" w:rsidRPr="003F737F">
        <w:t>orientovány na utváření geografick</w:t>
      </w:r>
      <w:r w:rsidR="00A95296" w:rsidRPr="003F737F">
        <w:t>ých</w:t>
      </w:r>
      <w:r w:rsidR="002562B5" w:rsidRPr="003F737F">
        <w:t xml:space="preserve"> </w:t>
      </w:r>
      <w:r w:rsidR="00A95296" w:rsidRPr="003F737F">
        <w:t xml:space="preserve">znalostí. Výsledky výzkumu nicméně poukazují na </w:t>
      </w:r>
      <w:r w:rsidR="00E75FF2" w:rsidRPr="003F737F">
        <w:t>pravděpodobné</w:t>
      </w:r>
      <w:r w:rsidR="00A95296" w:rsidRPr="003F737F">
        <w:t xml:space="preserve"> deficity zkoumaných </w:t>
      </w:r>
      <w:r w:rsidR="00E75FF2" w:rsidRPr="003F737F">
        <w:t xml:space="preserve">učebních </w:t>
      </w:r>
      <w:r w:rsidR="00A95296" w:rsidRPr="003F737F">
        <w:t xml:space="preserve">úloh z hlediska </w:t>
      </w:r>
      <w:r w:rsidR="00D3383F" w:rsidRPr="003F737F">
        <w:t>podpory problémového učení</w:t>
      </w:r>
      <w:r>
        <w:t xml:space="preserve"> a vyučování.</w:t>
      </w:r>
    </w:p>
    <w:p w:rsidR="00DD7C57" w:rsidRPr="003F737F" w:rsidRDefault="00E75FF2" w:rsidP="00C231D8">
      <w:pPr>
        <w:tabs>
          <w:tab w:val="left" w:pos="7798"/>
        </w:tabs>
        <w:autoSpaceDE w:val="0"/>
        <w:autoSpaceDN w:val="0"/>
        <w:adjustRightInd w:val="0"/>
        <w:spacing w:after="120" w:line="276" w:lineRule="auto"/>
        <w:jc w:val="both"/>
      </w:pPr>
      <w:r w:rsidRPr="003F737F">
        <w:t>Pokud přistoupíme k volnější interpretaci naměřených hodnot</w:t>
      </w:r>
      <w:r w:rsidR="000F34B8" w:rsidRPr="003F737F">
        <w:t xml:space="preserve"> jdoucí za rámec výpovědí o zkoumaných učebních úlohách,</w:t>
      </w:r>
      <w:r w:rsidRPr="003F737F">
        <w:t xml:space="preserve"> je</w:t>
      </w:r>
      <w:r w:rsidR="00101DE0" w:rsidRPr="003F737F">
        <w:t xml:space="preserve"> možné </w:t>
      </w:r>
      <w:r w:rsidR="006B282C" w:rsidRPr="003F737F">
        <w:t>usuzo</w:t>
      </w:r>
      <w:r w:rsidR="00101DE0" w:rsidRPr="003F737F">
        <w:t xml:space="preserve">vat, že minimálně dvě dimenze teoretického modelu operacionalizují </w:t>
      </w:r>
      <w:r w:rsidR="00CA236F" w:rsidRPr="003F737F">
        <w:t xml:space="preserve">dva </w:t>
      </w:r>
      <w:r w:rsidR="00633683" w:rsidRPr="003F737F">
        <w:t xml:space="preserve">odlišné fenomény. </w:t>
      </w:r>
      <w:r w:rsidR="00EA1921" w:rsidRPr="003F737F">
        <w:t xml:space="preserve">Ačkoliv se toto zjištění může jevit jako triviální, </w:t>
      </w:r>
      <w:r w:rsidR="00792067" w:rsidRPr="003F737F">
        <w:t>jedná se o potvrzení skutečnosti</w:t>
      </w:r>
      <w:r w:rsidR="00411CE2" w:rsidRPr="003F737F">
        <w:t xml:space="preserve">, že jednotlivé dimenze neoperacionalizují identickou závisle proměnnou z konceptuálně </w:t>
      </w:r>
      <w:r w:rsidR="00792067" w:rsidRPr="003F737F">
        <w:t xml:space="preserve">(a oborově) </w:t>
      </w:r>
      <w:r w:rsidR="00411CE2" w:rsidRPr="003F737F">
        <w:t xml:space="preserve">odlišných perspektiv. </w:t>
      </w:r>
      <w:r w:rsidR="002B68CA" w:rsidRPr="003F737F">
        <w:t xml:space="preserve">Na druhou stranu se nepotvrdila statisticky významná odlišnost </w:t>
      </w:r>
      <w:r w:rsidR="00210A63" w:rsidRPr="003F737F">
        <w:t xml:space="preserve">naměřených hodnot v dimenzích systémovosti a náročnosti, resp. náročnosti a komplexity. To </w:t>
      </w:r>
      <w:r w:rsidR="007938BA" w:rsidRPr="003F737F">
        <w:t>nevylučuje, že zmiňované</w:t>
      </w:r>
      <w:r w:rsidR="00891586" w:rsidRPr="003F737F">
        <w:t xml:space="preserve"> dimenze teoretického modelu mohou </w:t>
      </w:r>
      <w:r w:rsidR="007938BA" w:rsidRPr="003F737F">
        <w:t>empiric</w:t>
      </w:r>
      <w:r w:rsidR="00567AAC" w:rsidRPr="003F737F">
        <w:t>ky uchopovat identický fenomén, který úzce souvisí s pedagogickou a psychologickou operacionalizací geografických obsahů prostřednictvím učebních úloh.</w:t>
      </w:r>
      <w:r w:rsidR="004372BC">
        <w:rPr>
          <w:rStyle w:val="Znakapoznpodarou"/>
        </w:rPr>
        <w:footnoteReference w:id="97"/>
      </w:r>
      <w:r w:rsidR="00BE2CAC">
        <w:t xml:space="preserve"> </w:t>
      </w:r>
      <w:r w:rsidR="00A51033" w:rsidRPr="003F737F">
        <w:t>Míru závislosti jednotlivých dimenzí popisujeme v následující podkapitole.</w:t>
      </w:r>
      <w:r w:rsidR="00BE2CAC">
        <w:t xml:space="preserve"> </w:t>
      </w:r>
    </w:p>
    <w:p w:rsidR="003D0918" w:rsidRPr="003F737F" w:rsidRDefault="003C1B58" w:rsidP="00C231D8">
      <w:pPr>
        <w:tabs>
          <w:tab w:val="left" w:pos="7798"/>
        </w:tabs>
        <w:autoSpaceDE w:val="0"/>
        <w:autoSpaceDN w:val="0"/>
        <w:adjustRightInd w:val="0"/>
        <w:spacing w:after="120" w:line="276" w:lineRule="auto"/>
        <w:jc w:val="both"/>
      </w:pPr>
      <w:r>
        <w:t xml:space="preserve"> </w:t>
      </w:r>
    </w:p>
    <w:p w:rsidR="00DD7C57" w:rsidRPr="003F737F" w:rsidRDefault="00671869" w:rsidP="00426E58">
      <w:pPr>
        <w:pStyle w:val="Nadpis4"/>
        <w:numPr>
          <w:ilvl w:val="0"/>
          <w:numId w:val="0"/>
        </w:numPr>
      </w:pPr>
      <w:r w:rsidRPr="003F737F">
        <w:t xml:space="preserve">Analýza </w:t>
      </w:r>
      <w:r w:rsidR="001A4A35" w:rsidRPr="003F737F">
        <w:t xml:space="preserve">závislostí </w:t>
      </w:r>
      <w:r w:rsidR="00DD7C57" w:rsidRPr="003F737F">
        <w:t>mezi dimenzemi</w:t>
      </w:r>
    </w:p>
    <w:p w:rsidR="005E3B35" w:rsidRPr="003F737F" w:rsidRDefault="004372BC" w:rsidP="00025C44">
      <w:pPr>
        <w:spacing w:after="120" w:line="276" w:lineRule="auto"/>
        <w:jc w:val="both"/>
      </w:pPr>
      <w:r>
        <w:t>Zbývá zodpovědět otázku, do jaké m</w:t>
      </w:r>
      <w:r w:rsidR="00A51033" w:rsidRPr="003F737F">
        <w:t>íry jsou jednotlivé dimenz</w:t>
      </w:r>
      <w:r w:rsidR="001A4A35" w:rsidRPr="003F737F">
        <w:t>e</w:t>
      </w:r>
      <w:r w:rsidR="00A51033" w:rsidRPr="003F737F">
        <w:t xml:space="preserve"> příležitostí k u</w:t>
      </w:r>
      <w:r>
        <w:t>t</w:t>
      </w:r>
      <w:r w:rsidR="00A51033" w:rsidRPr="003F737F">
        <w:t>váření a rozvíjení kompetence k řešení problémů vzájemně provázané.</w:t>
      </w:r>
      <w:r>
        <w:t xml:space="preserve"> Cílem dílčí analýzy popisované v této podkapitole bylo z</w:t>
      </w:r>
      <w:r w:rsidRPr="003F737F">
        <w:t>jistit,</w:t>
      </w:r>
      <w:r>
        <w:t xml:space="preserve"> </w:t>
      </w:r>
      <w:r w:rsidR="005E3B35" w:rsidRPr="003F737F">
        <w:t>zda existuje statisticky významná závislost mezi jednotlivými dimenzemi příležitostí k utváření a rozvíjení kompetence k řešení problémů.</w:t>
      </w:r>
    </w:p>
    <w:p w:rsidR="005E3B35" w:rsidRPr="003F737F" w:rsidRDefault="005E3B35" w:rsidP="00025C44">
      <w:pPr>
        <w:spacing w:after="120" w:line="276" w:lineRule="auto"/>
        <w:jc w:val="both"/>
      </w:pPr>
      <w:r w:rsidRPr="003F737F">
        <w:t xml:space="preserve">Ověřovali jsme následující hypotézy: </w:t>
      </w:r>
    </w:p>
    <w:p w:rsidR="005E3B35" w:rsidRPr="003F737F" w:rsidRDefault="005E3B35" w:rsidP="00025C44">
      <w:pPr>
        <w:spacing w:after="120" w:line="276" w:lineRule="auto"/>
        <w:jc w:val="both"/>
      </w:pPr>
      <w:r w:rsidRPr="003F737F">
        <w:t xml:space="preserve">H0: Mezi jednotlivými dimenzemi příležitostí k utváření a rozvíjení kompetence k řešení problémů (systémovost, náročnost, komplexita) neexistuje statisticky významná závislost. </w:t>
      </w:r>
    </w:p>
    <w:p w:rsidR="005E3B35" w:rsidRPr="003F737F" w:rsidRDefault="005E3B35" w:rsidP="00025C44">
      <w:pPr>
        <w:spacing w:after="120" w:line="276" w:lineRule="auto"/>
        <w:jc w:val="both"/>
      </w:pPr>
      <w:r w:rsidRPr="003F737F">
        <w:t>H1: Alespoň mezi dvěma dimenzemi příležitostí k utváření a rozvíjení kompetence k řešení problémů (sys</w:t>
      </w:r>
      <w:r w:rsidR="00D73089">
        <w:t>témovost, náročnost, komplexita</w:t>
      </w:r>
      <w:r w:rsidRPr="003F737F">
        <w:t xml:space="preserve">) existuje statisticky významná závislost. </w:t>
      </w:r>
    </w:p>
    <w:p w:rsidR="005E3B35" w:rsidRPr="003F737F" w:rsidRDefault="005E3B35" w:rsidP="00025C44">
      <w:pPr>
        <w:spacing w:after="120" w:line="276" w:lineRule="auto"/>
        <w:jc w:val="both"/>
      </w:pPr>
      <w:r w:rsidRPr="003F737F">
        <w:t xml:space="preserve">Pro zjišťování </w:t>
      </w:r>
      <w:r w:rsidR="001C6494">
        <w:t>síly vztahu</w:t>
      </w:r>
      <w:r w:rsidRPr="003F737F">
        <w:t xml:space="preserve"> mezi jednotlivými dimenzemi příležitostí k utváření a rozvíjení kompetence k řešení problémů byl použit Spearmanův koeficient</w:t>
      </w:r>
      <w:r w:rsidR="00FE7CCB" w:rsidRPr="003F737F">
        <w:t xml:space="preserve"> pořadové korelace rhó (ρ)</w:t>
      </w:r>
      <w:r w:rsidRPr="003F737F">
        <w:t xml:space="preserve">. Na základě hodnot korelačního koeficientu a p-hodnot (vyšších, než </w:t>
      </w:r>
      <w:r w:rsidR="00DD7C57" w:rsidRPr="003F737F">
        <w:t>stanovená</w:t>
      </w:r>
      <w:r w:rsidRPr="003F737F">
        <w:t xml:space="preserve"> hladina významnosti 0,01), nelze přijmout nulovou hypotézu (viz tabulka </w:t>
      </w:r>
      <w:r w:rsidR="004A0F52">
        <w:t>13</w:t>
      </w:r>
      <w:r w:rsidRPr="003F737F">
        <w:t xml:space="preserve">). </w:t>
      </w:r>
    </w:p>
    <w:p w:rsidR="00FB20B9" w:rsidRDefault="00FB20B9" w:rsidP="00FB20B9">
      <w:pPr>
        <w:pStyle w:val="Titulek"/>
        <w:keepNext/>
      </w:pPr>
    </w:p>
    <w:p w:rsidR="00FB20B9" w:rsidRPr="00FB20B9" w:rsidRDefault="00FB20B9" w:rsidP="00FB20B9">
      <w:pPr>
        <w:pStyle w:val="Titulek"/>
        <w:keepNext/>
        <w:rPr>
          <w:b w:val="0"/>
          <w:sz w:val="24"/>
        </w:rPr>
      </w:pPr>
      <w:bookmarkStart w:id="105" w:name="_Toc399013077"/>
      <w:r w:rsidRPr="00FB20B9">
        <w:rPr>
          <w:b w:val="0"/>
          <w:sz w:val="24"/>
        </w:rPr>
        <w:t xml:space="preserve">Tabulka </w:t>
      </w:r>
      <w:r w:rsidR="003818A1" w:rsidRPr="00FB20B9">
        <w:rPr>
          <w:b w:val="0"/>
          <w:sz w:val="24"/>
        </w:rPr>
        <w:fldChar w:fldCharType="begin"/>
      </w:r>
      <w:r w:rsidRPr="00FB20B9">
        <w:rPr>
          <w:b w:val="0"/>
          <w:sz w:val="24"/>
        </w:rPr>
        <w:instrText xml:space="preserve"> SEQ Tabulka \* ARABIC </w:instrText>
      </w:r>
      <w:r w:rsidR="003818A1" w:rsidRPr="00FB20B9">
        <w:rPr>
          <w:b w:val="0"/>
          <w:sz w:val="24"/>
        </w:rPr>
        <w:fldChar w:fldCharType="separate"/>
      </w:r>
      <w:r w:rsidRPr="00FB20B9">
        <w:rPr>
          <w:b w:val="0"/>
          <w:noProof/>
          <w:sz w:val="24"/>
        </w:rPr>
        <w:t>13</w:t>
      </w:r>
      <w:bookmarkEnd w:id="105"/>
      <w:r w:rsidR="003818A1" w:rsidRPr="00FB20B9">
        <w:rPr>
          <w:b w:val="0"/>
          <w:sz w:val="24"/>
        </w:rPr>
        <w:fldChar w:fldCharType="end"/>
      </w:r>
    </w:p>
    <w:tbl>
      <w:tblPr>
        <w:tblW w:w="745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firstRow="0" w:lastRow="0" w:firstColumn="0" w:lastColumn="0" w:noHBand="0" w:noVBand="0"/>
      </w:tblPr>
      <w:tblGrid>
        <w:gridCol w:w="7458"/>
      </w:tblGrid>
      <w:tr w:rsidR="009E61E8" w:rsidRPr="003F737F" w:rsidTr="00C137A6">
        <w:trPr>
          <w:cantSplit/>
        </w:trPr>
        <w:tc>
          <w:tcPr>
            <w:tcW w:w="7458" w:type="dxa"/>
            <w:tcBorders>
              <w:top w:val="nil"/>
              <w:left w:val="nil"/>
              <w:bottom w:val="nil"/>
              <w:right w:val="nil"/>
            </w:tcBorders>
            <w:shd w:val="clear" w:color="auto" w:fill="FFFFFF"/>
          </w:tcPr>
          <w:p w:rsidR="00C137A6" w:rsidRPr="004A0F52" w:rsidRDefault="00C137A6" w:rsidP="005E7AF7">
            <w:pPr>
              <w:autoSpaceDE w:val="0"/>
              <w:autoSpaceDN w:val="0"/>
              <w:adjustRightInd w:val="0"/>
              <w:spacing w:after="120"/>
              <w:rPr>
                <w:i/>
                <w:szCs w:val="20"/>
              </w:rPr>
            </w:pPr>
            <w:r w:rsidRPr="004A0F52">
              <w:rPr>
                <w:rStyle w:val="spelle"/>
                <w:i/>
                <w:szCs w:val="20"/>
              </w:rPr>
              <w:t>Hodnoty Spearmannova koeficientu</w:t>
            </w:r>
            <w:r w:rsidRPr="004A0F52">
              <w:rPr>
                <w:i/>
                <w:szCs w:val="20"/>
              </w:rPr>
              <w:t xml:space="preserve"> pořadové korelace</w:t>
            </w:r>
            <w:r w:rsidRPr="004A0F52">
              <w:rPr>
                <w:i/>
              </w:rPr>
              <w:t xml:space="preserve"> </w:t>
            </w:r>
          </w:p>
          <w:tbl>
            <w:tblPr>
              <w:tblStyle w:val="Mkatabulky"/>
              <w:tblW w:w="0" w:type="auto"/>
              <w:tblBorders>
                <w:top w:val="single" w:sz="12" w:space="0" w:color="auto"/>
                <w:left w:val="none" w:sz="0" w:space="0" w:color="auto"/>
                <w:bottom w:val="single" w:sz="12"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09"/>
              <w:gridCol w:w="1208"/>
              <w:gridCol w:w="1134"/>
              <w:gridCol w:w="992"/>
            </w:tblGrid>
            <w:tr w:rsidR="00C137A6" w:rsidRPr="003F737F" w:rsidTr="00A73E2E">
              <w:tc>
                <w:tcPr>
                  <w:tcW w:w="1809" w:type="dxa"/>
                  <w:tcBorders>
                    <w:top w:val="single" w:sz="12" w:space="0" w:color="auto"/>
                    <w:bottom w:val="single" w:sz="4" w:space="0" w:color="auto"/>
                  </w:tcBorders>
                </w:tcPr>
                <w:p w:rsidR="00C137A6" w:rsidRPr="003F737F" w:rsidRDefault="00C137A6" w:rsidP="005E7AF7">
                  <w:pPr>
                    <w:autoSpaceDE w:val="0"/>
                    <w:autoSpaceDN w:val="0"/>
                    <w:adjustRightInd w:val="0"/>
                  </w:pPr>
                  <w:r w:rsidRPr="003F737F">
                    <w:t>Dimenze</w:t>
                  </w:r>
                </w:p>
              </w:tc>
              <w:tc>
                <w:tcPr>
                  <w:tcW w:w="1208" w:type="dxa"/>
                  <w:tcBorders>
                    <w:top w:val="single" w:sz="12" w:space="0" w:color="auto"/>
                    <w:bottom w:val="single" w:sz="4" w:space="0" w:color="auto"/>
                  </w:tcBorders>
                </w:tcPr>
                <w:p w:rsidR="00C137A6" w:rsidRPr="003F737F" w:rsidRDefault="00C137A6" w:rsidP="005E7AF7">
                  <w:pPr>
                    <w:autoSpaceDE w:val="0"/>
                    <w:autoSpaceDN w:val="0"/>
                    <w:adjustRightInd w:val="0"/>
                  </w:pPr>
                  <w:r w:rsidRPr="003F737F">
                    <w:t>1.</w:t>
                  </w:r>
                </w:p>
              </w:tc>
              <w:tc>
                <w:tcPr>
                  <w:tcW w:w="1134" w:type="dxa"/>
                  <w:tcBorders>
                    <w:top w:val="single" w:sz="12" w:space="0" w:color="auto"/>
                    <w:bottom w:val="single" w:sz="4" w:space="0" w:color="auto"/>
                  </w:tcBorders>
                </w:tcPr>
                <w:p w:rsidR="00C137A6" w:rsidRPr="003F737F" w:rsidRDefault="00C137A6" w:rsidP="005E7AF7">
                  <w:pPr>
                    <w:autoSpaceDE w:val="0"/>
                    <w:autoSpaceDN w:val="0"/>
                    <w:adjustRightInd w:val="0"/>
                  </w:pPr>
                  <w:r w:rsidRPr="003F737F">
                    <w:t>2.</w:t>
                  </w:r>
                </w:p>
              </w:tc>
              <w:tc>
                <w:tcPr>
                  <w:tcW w:w="992" w:type="dxa"/>
                  <w:tcBorders>
                    <w:top w:val="single" w:sz="12" w:space="0" w:color="auto"/>
                    <w:bottom w:val="single" w:sz="4" w:space="0" w:color="auto"/>
                  </w:tcBorders>
                </w:tcPr>
                <w:p w:rsidR="00C137A6" w:rsidRPr="003F737F" w:rsidRDefault="00C137A6" w:rsidP="005E7AF7">
                  <w:pPr>
                    <w:autoSpaceDE w:val="0"/>
                    <w:autoSpaceDN w:val="0"/>
                    <w:adjustRightInd w:val="0"/>
                  </w:pPr>
                  <w:r w:rsidRPr="003F737F">
                    <w:t>3.</w:t>
                  </w:r>
                </w:p>
              </w:tc>
            </w:tr>
            <w:tr w:rsidR="00C137A6" w:rsidRPr="003F737F" w:rsidTr="00A73E2E">
              <w:tc>
                <w:tcPr>
                  <w:tcW w:w="1809" w:type="dxa"/>
                  <w:tcBorders>
                    <w:top w:val="single" w:sz="4" w:space="0" w:color="auto"/>
                  </w:tcBorders>
                </w:tcPr>
                <w:p w:rsidR="00C137A6" w:rsidRPr="003F737F" w:rsidRDefault="00C137A6" w:rsidP="005E7AF7">
                  <w:pPr>
                    <w:autoSpaceDE w:val="0"/>
                    <w:autoSpaceDN w:val="0"/>
                    <w:adjustRightInd w:val="0"/>
                  </w:pPr>
                  <w:r w:rsidRPr="003F737F">
                    <w:t>1. Komplexita</w:t>
                  </w:r>
                </w:p>
              </w:tc>
              <w:tc>
                <w:tcPr>
                  <w:tcW w:w="1208" w:type="dxa"/>
                  <w:tcBorders>
                    <w:top w:val="single" w:sz="4" w:space="0" w:color="auto"/>
                  </w:tcBorders>
                </w:tcPr>
                <w:p w:rsidR="00C137A6" w:rsidRPr="003F737F" w:rsidRDefault="00C137A6" w:rsidP="005E7AF7">
                  <w:pPr>
                    <w:autoSpaceDE w:val="0"/>
                    <w:autoSpaceDN w:val="0"/>
                    <w:adjustRightInd w:val="0"/>
                  </w:pPr>
                  <w:r w:rsidRPr="003F737F">
                    <w:t>-</w:t>
                  </w:r>
                </w:p>
              </w:tc>
              <w:tc>
                <w:tcPr>
                  <w:tcW w:w="1134" w:type="dxa"/>
                  <w:tcBorders>
                    <w:top w:val="single" w:sz="4" w:space="0" w:color="auto"/>
                  </w:tcBorders>
                </w:tcPr>
                <w:p w:rsidR="00C137A6" w:rsidRPr="003F737F" w:rsidRDefault="00C137A6" w:rsidP="005E7AF7">
                  <w:pPr>
                    <w:autoSpaceDE w:val="0"/>
                    <w:autoSpaceDN w:val="0"/>
                    <w:adjustRightInd w:val="0"/>
                  </w:pPr>
                </w:p>
              </w:tc>
              <w:tc>
                <w:tcPr>
                  <w:tcW w:w="992" w:type="dxa"/>
                  <w:tcBorders>
                    <w:top w:val="single" w:sz="4" w:space="0" w:color="auto"/>
                  </w:tcBorders>
                </w:tcPr>
                <w:p w:rsidR="00C137A6" w:rsidRPr="003F737F" w:rsidRDefault="00C137A6" w:rsidP="005E7AF7">
                  <w:pPr>
                    <w:autoSpaceDE w:val="0"/>
                    <w:autoSpaceDN w:val="0"/>
                    <w:adjustRightInd w:val="0"/>
                  </w:pPr>
                </w:p>
              </w:tc>
            </w:tr>
            <w:tr w:rsidR="00C137A6" w:rsidRPr="003F737F" w:rsidTr="00A73E2E">
              <w:tc>
                <w:tcPr>
                  <w:tcW w:w="1809" w:type="dxa"/>
                </w:tcPr>
                <w:p w:rsidR="00C137A6" w:rsidRPr="003F737F" w:rsidRDefault="00C137A6" w:rsidP="005E7AF7">
                  <w:pPr>
                    <w:autoSpaceDE w:val="0"/>
                    <w:autoSpaceDN w:val="0"/>
                    <w:adjustRightInd w:val="0"/>
                  </w:pPr>
                  <w:r w:rsidRPr="003F737F">
                    <w:t>2. Náročnost</w:t>
                  </w:r>
                </w:p>
              </w:tc>
              <w:tc>
                <w:tcPr>
                  <w:tcW w:w="1208" w:type="dxa"/>
                </w:tcPr>
                <w:p w:rsidR="00C137A6" w:rsidRPr="003F737F" w:rsidRDefault="00C137A6" w:rsidP="005E7AF7">
                  <w:pPr>
                    <w:autoSpaceDE w:val="0"/>
                    <w:autoSpaceDN w:val="0"/>
                    <w:adjustRightInd w:val="0"/>
                  </w:pPr>
                  <w:r w:rsidRPr="003F737F">
                    <w:t>0,715</w:t>
                  </w:r>
                  <w:r w:rsidRPr="003F737F">
                    <w:rPr>
                      <w:vertAlign w:val="superscript"/>
                    </w:rPr>
                    <w:t>**</w:t>
                  </w:r>
                </w:p>
              </w:tc>
              <w:tc>
                <w:tcPr>
                  <w:tcW w:w="1134" w:type="dxa"/>
                </w:tcPr>
                <w:p w:rsidR="00C137A6" w:rsidRPr="003F737F" w:rsidRDefault="00C137A6" w:rsidP="005E7AF7">
                  <w:pPr>
                    <w:autoSpaceDE w:val="0"/>
                    <w:autoSpaceDN w:val="0"/>
                    <w:adjustRightInd w:val="0"/>
                  </w:pPr>
                  <w:r w:rsidRPr="003F737F">
                    <w:t>-</w:t>
                  </w:r>
                </w:p>
              </w:tc>
              <w:tc>
                <w:tcPr>
                  <w:tcW w:w="992" w:type="dxa"/>
                </w:tcPr>
                <w:p w:rsidR="00C137A6" w:rsidRPr="003F737F" w:rsidRDefault="00C137A6" w:rsidP="005E7AF7">
                  <w:pPr>
                    <w:autoSpaceDE w:val="0"/>
                    <w:autoSpaceDN w:val="0"/>
                    <w:adjustRightInd w:val="0"/>
                  </w:pPr>
                </w:p>
              </w:tc>
            </w:tr>
            <w:tr w:rsidR="00C137A6" w:rsidRPr="003F737F" w:rsidTr="00A73E2E">
              <w:tc>
                <w:tcPr>
                  <w:tcW w:w="1809" w:type="dxa"/>
                </w:tcPr>
                <w:p w:rsidR="00C137A6" w:rsidRPr="003F737F" w:rsidRDefault="00C137A6" w:rsidP="005E7AF7">
                  <w:pPr>
                    <w:autoSpaceDE w:val="0"/>
                    <w:autoSpaceDN w:val="0"/>
                    <w:adjustRightInd w:val="0"/>
                  </w:pPr>
                  <w:r w:rsidRPr="003F737F">
                    <w:t>3. Systémovost</w:t>
                  </w:r>
                </w:p>
              </w:tc>
              <w:tc>
                <w:tcPr>
                  <w:tcW w:w="1208" w:type="dxa"/>
                </w:tcPr>
                <w:p w:rsidR="00C137A6" w:rsidRPr="003F737F" w:rsidRDefault="00C137A6" w:rsidP="005E7AF7">
                  <w:pPr>
                    <w:autoSpaceDE w:val="0"/>
                    <w:autoSpaceDN w:val="0"/>
                    <w:adjustRightInd w:val="0"/>
                  </w:pPr>
                  <w:r w:rsidRPr="003F737F">
                    <w:t>0,805</w:t>
                  </w:r>
                  <w:r w:rsidRPr="003F737F">
                    <w:rPr>
                      <w:vertAlign w:val="superscript"/>
                    </w:rPr>
                    <w:t>**</w:t>
                  </w:r>
                </w:p>
              </w:tc>
              <w:tc>
                <w:tcPr>
                  <w:tcW w:w="1134" w:type="dxa"/>
                </w:tcPr>
                <w:p w:rsidR="00C137A6" w:rsidRPr="003F737F" w:rsidRDefault="00C137A6" w:rsidP="005E7AF7">
                  <w:pPr>
                    <w:autoSpaceDE w:val="0"/>
                    <w:autoSpaceDN w:val="0"/>
                    <w:adjustRightInd w:val="0"/>
                  </w:pPr>
                  <w:r w:rsidRPr="003F737F">
                    <w:t>0,632</w:t>
                  </w:r>
                  <w:r w:rsidRPr="003F737F">
                    <w:rPr>
                      <w:vertAlign w:val="superscript"/>
                    </w:rPr>
                    <w:t>**</w:t>
                  </w:r>
                </w:p>
              </w:tc>
              <w:tc>
                <w:tcPr>
                  <w:tcW w:w="992" w:type="dxa"/>
                </w:tcPr>
                <w:p w:rsidR="00C137A6" w:rsidRPr="003F737F" w:rsidRDefault="00C137A6" w:rsidP="005E7AF7">
                  <w:pPr>
                    <w:autoSpaceDE w:val="0"/>
                    <w:autoSpaceDN w:val="0"/>
                    <w:adjustRightInd w:val="0"/>
                  </w:pPr>
                  <w:r w:rsidRPr="003F737F">
                    <w:t>-</w:t>
                  </w:r>
                </w:p>
              </w:tc>
            </w:tr>
          </w:tbl>
          <w:p w:rsidR="009E61E8" w:rsidRPr="005E7AF7" w:rsidRDefault="00FE7CCB" w:rsidP="007E079C">
            <w:pPr>
              <w:autoSpaceDE w:val="0"/>
              <w:autoSpaceDN w:val="0"/>
              <w:adjustRightInd w:val="0"/>
              <w:spacing w:line="320" w:lineRule="atLeast"/>
              <w:ind w:right="60"/>
              <w:rPr>
                <w:sz w:val="20"/>
                <w:szCs w:val="20"/>
              </w:rPr>
            </w:pPr>
            <w:r w:rsidRPr="005E7AF7">
              <w:rPr>
                <w:sz w:val="20"/>
                <w:szCs w:val="20"/>
              </w:rPr>
              <w:t>Pozn</w:t>
            </w:r>
            <w:r w:rsidR="007E079C">
              <w:rPr>
                <w:sz w:val="20"/>
                <w:szCs w:val="20"/>
              </w:rPr>
              <w:t>.:</w:t>
            </w:r>
            <w:r w:rsidRPr="005E7AF7">
              <w:rPr>
                <w:sz w:val="20"/>
                <w:szCs w:val="20"/>
              </w:rPr>
              <w:t xml:space="preserve"> N = 1229 učebních úloh.</w:t>
            </w:r>
            <w:r w:rsidR="00BE2CAC">
              <w:rPr>
                <w:sz w:val="20"/>
                <w:szCs w:val="20"/>
              </w:rPr>
              <w:t xml:space="preserve"> </w:t>
            </w:r>
            <w:r w:rsidR="009E61E8" w:rsidRPr="005E7AF7">
              <w:rPr>
                <w:color w:val="000000"/>
                <w:sz w:val="20"/>
                <w:szCs w:val="20"/>
              </w:rPr>
              <w:t>**</w:t>
            </w:r>
            <w:r w:rsidR="00F75F9B" w:rsidRPr="005E7AF7">
              <w:rPr>
                <w:color w:val="000000"/>
                <w:sz w:val="20"/>
                <w:szCs w:val="20"/>
              </w:rPr>
              <w:t xml:space="preserve"> </w:t>
            </w:r>
            <w:r w:rsidR="00F75F9B" w:rsidRPr="005E7AF7">
              <w:rPr>
                <w:i/>
                <w:sz w:val="20"/>
                <w:szCs w:val="20"/>
              </w:rPr>
              <w:t xml:space="preserve">p </w:t>
            </w:r>
            <m:oMath>
              <m:r>
                <w:rPr>
                  <w:rFonts w:ascii="Cambria Math"/>
                  <w:sz w:val="20"/>
                  <w:szCs w:val="20"/>
                </w:rPr>
                <m:t>&lt;</m:t>
              </m:r>
            </m:oMath>
            <w:r w:rsidR="00F75F9B" w:rsidRPr="005E7AF7">
              <w:rPr>
                <w:sz w:val="20"/>
                <w:szCs w:val="20"/>
              </w:rPr>
              <w:t xml:space="preserve"> 0,01</w:t>
            </w:r>
            <w:r w:rsidRPr="005E7AF7">
              <w:rPr>
                <w:sz w:val="20"/>
                <w:szCs w:val="20"/>
              </w:rPr>
              <w:t>.</w:t>
            </w:r>
          </w:p>
        </w:tc>
      </w:tr>
    </w:tbl>
    <w:p w:rsidR="009E61E8" w:rsidRPr="003F737F" w:rsidRDefault="009E61E8" w:rsidP="009E61E8">
      <w:pPr>
        <w:autoSpaceDE w:val="0"/>
        <w:autoSpaceDN w:val="0"/>
        <w:adjustRightInd w:val="0"/>
        <w:spacing w:line="400" w:lineRule="atLeast"/>
      </w:pPr>
    </w:p>
    <w:p w:rsidR="004372BC" w:rsidRDefault="0095510B" w:rsidP="005E7AF7">
      <w:pPr>
        <w:autoSpaceDE w:val="0"/>
        <w:autoSpaceDN w:val="0"/>
        <w:adjustRightInd w:val="0"/>
        <w:spacing w:after="120" w:line="276" w:lineRule="auto"/>
        <w:jc w:val="both"/>
      </w:pPr>
      <w:r>
        <w:t>Hodnoty Spearmannova koeficientu pořadové korelace ukazují, že j</w:t>
      </w:r>
      <w:r w:rsidR="00A7152E" w:rsidRPr="003F737F">
        <w:t xml:space="preserve">ednotlivé dimenze příležitostí k utváření a rozvíjení kompetence k řešení problémů spolu pozitivně </w:t>
      </w:r>
      <w:r w:rsidR="00A7152E" w:rsidRPr="004A0F52">
        <w:t>korelují</w:t>
      </w:r>
      <w:r w:rsidR="00A95F1F" w:rsidRPr="0095510B">
        <w:t xml:space="preserve"> (</w:t>
      </w:r>
      <w:r w:rsidRPr="0095510B">
        <w:t>r</w:t>
      </w:r>
      <w:r w:rsidRPr="0095510B">
        <w:rPr>
          <w:vertAlign w:val="subscript"/>
        </w:rPr>
        <w:t xml:space="preserve">s </w:t>
      </w:r>
      <w:r w:rsidRPr="0095510B">
        <w:t xml:space="preserve">= 0, 632 – 0,715, </w:t>
      </w:r>
      <w:r w:rsidRPr="0095510B">
        <w:rPr>
          <w:i/>
          <w:sz w:val="20"/>
          <w:szCs w:val="20"/>
        </w:rPr>
        <w:t xml:space="preserve">p </w:t>
      </w:r>
      <m:oMath>
        <m:r>
          <w:rPr>
            <w:rFonts w:ascii="Cambria Math"/>
            <w:sz w:val="20"/>
            <w:szCs w:val="20"/>
          </w:rPr>
          <m:t>&lt;</m:t>
        </m:r>
      </m:oMath>
      <w:r w:rsidRPr="005E7AF7">
        <w:rPr>
          <w:sz w:val="20"/>
          <w:szCs w:val="20"/>
        </w:rPr>
        <w:t xml:space="preserve"> 0,01</w:t>
      </w:r>
      <w:r w:rsidR="00A95F1F" w:rsidRPr="003F737F">
        <w:t xml:space="preserve">). </w:t>
      </w:r>
      <w:r w:rsidR="00C925F2" w:rsidRPr="003F737F">
        <w:t xml:space="preserve">Je </w:t>
      </w:r>
      <w:r w:rsidR="00A95F1F" w:rsidRPr="003F737F">
        <w:t xml:space="preserve">tedy vysoce pravděpodobné, </w:t>
      </w:r>
      <w:r w:rsidR="00C925F2" w:rsidRPr="003F737F">
        <w:t xml:space="preserve">že </w:t>
      </w:r>
      <w:r w:rsidR="00747EC6" w:rsidRPr="003F737F">
        <w:t>například náročnost učební</w:t>
      </w:r>
      <w:r w:rsidR="00C925F2" w:rsidRPr="003F737F">
        <w:t xml:space="preserve"> úlohy </w:t>
      </w:r>
      <w:r w:rsidR="00747EC6" w:rsidRPr="003F737F">
        <w:t>souvisí s jistými obsahovými charakteristikami a komplexitou</w:t>
      </w:r>
      <w:r w:rsidR="00C925F2" w:rsidRPr="003F737F">
        <w:t xml:space="preserve"> jejího řešení a naopak, obsahové charakteristiky </w:t>
      </w:r>
      <w:r w:rsidR="00041387" w:rsidRPr="003F737F">
        <w:t>učebních úloh</w:t>
      </w:r>
      <w:r w:rsidR="00C925F2" w:rsidRPr="003F737F">
        <w:t xml:space="preserve"> souvisí s</w:t>
      </w:r>
      <w:r w:rsidR="00F251EE" w:rsidRPr="003F737F">
        <w:t> určitou</w:t>
      </w:r>
      <w:r w:rsidR="00041387" w:rsidRPr="003F737F">
        <w:t xml:space="preserve"> </w:t>
      </w:r>
      <w:r w:rsidR="00C925F2" w:rsidRPr="003F737F">
        <w:t>komplexitou</w:t>
      </w:r>
      <w:r w:rsidR="00F251EE" w:rsidRPr="003F737F">
        <w:t xml:space="preserve"> učebních úloh </w:t>
      </w:r>
      <w:r w:rsidR="00C925F2" w:rsidRPr="003F737F">
        <w:t xml:space="preserve">a </w:t>
      </w:r>
      <w:r w:rsidR="00F251EE" w:rsidRPr="003F737F">
        <w:t xml:space="preserve">jejich </w:t>
      </w:r>
      <w:r w:rsidR="00C925F2" w:rsidRPr="003F737F">
        <w:t>náročností.</w:t>
      </w:r>
      <w:r w:rsidR="00041387" w:rsidRPr="003F737F">
        <w:t xml:space="preserve"> </w:t>
      </w:r>
    </w:p>
    <w:p w:rsidR="00EF3BBF" w:rsidRPr="0095510B" w:rsidRDefault="00C925F2" w:rsidP="005E7AF7">
      <w:pPr>
        <w:autoSpaceDE w:val="0"/>
        <w:autoSpaceDN w:val="0"/>
        <w:adjustRightInd w:val="0"/>
        <w:spacing w:after="120" w:line="276" w:lineRule="auto"/>
        <w:jc w:val="both"/>
        <w:rPr>
          <w:color w:val="FF0000"/>
        </w:rPr>
      </w:pPr>
      <w:r w:rsidRPr="003F737F">
        <w:rPr>
          <w:color w:val="FF0000"/>
        </w:rPr>
        <w:t xml:space="preserve"> </w:t>
      </w:r>
    </w:p>
    <w:p w:rsidR="00CB24C5" w:rsidRDefault="00CB24C5" w:rsidP="00F41438">
      <w:pPr>
        <w:pStyle w:val="Nadpis3"/>
      </w:pPr>
      <w:bookmarkStart w:id="106" w:name="_Toc399775435"/>
      <w:r>
        <w:t>S</w:t>
      </w:r>
      <w:r w:rsidRPr="00D42D2E">
        <w:t>hrnutí</w:t>
      </w:r>
      <w:bookmarkEnd w:id="106"/>
      <w:r w:rsidRPr="00D42D2E">
        <w:t xml:space="preserve"> </w:t>
      </w:r>
    </w:p>
    <w:p w:rsidR="00CB24C5" w:rsidRPr="00F41438" w:rsidRDefault="004D5391" w:rsidP="00F41438">
      <w:pPr>
        <w:spacing w:after="120" w:line="276" w:lineRule="auto"/>
        <w:jc w:val="both"/>
      </w:pPr>
      <w:r>
        <w:t>Bližší pohled</w:t>
      </w:r>
      <w:r w:rsidR="00CB24C5" w:rsidRPr="00EC0520">
        <w:t xml:space="preserve"> n</w:t>
      </w:r>
      <w:r>
        <w:t>a jednotlivé zkoumané učebnice ukázal</w:t>
      </w:r>
      <w:r w:rsidR="00CB24C5" w:rsidRPr="00EC0520">
        <w:t xml:space="preserve">, že </w:t>
      </w:r>
      <w:r>
        <w:t xml:space="preserve">se </w:t>
      </w:r>
      <w:r w:rsidR="00CB24C5" w:rsidRPr="00EC0520">
        <w:t>učebnice vzájemně odlišují v počtu učebních úloh i v jejich rozmístění. Zastoupení učebních úloh v učebnicích bylo v minulosti předmětem mnoha diskusí. Je možné setkat se s širokým spektrem názorů, které oscilují na mezi dvěma extrémy. První extrémní sta</w:t>
      </w:r>
      <w:r w:rsidR="004372BC">
        <w:t>no</w:t>
      </w:r>
      <w:r w:rsidR="00CB24C5" w:rsidRPr="00EC0520">
        <w:t xml:space="preserve">visko spočívá v naprostém odmítání přítomnosti otázek v učebnicích, neboť se předpokládá, že každý učitel by měl být schopen učivo instrumentalizovat s ohledem na individuální potřeby žáků. Opačný extrém představují autoři přesvědčení o tom, že učební úlohy by měly tvořit naprosto dominantní, někdy dokonce jedinou, složku učebnic (podrobněji k diskusi viz Kross, 1995, s. 164–166). V souladu s výše uvedeným také námi realizovaný výzkum odhalil, že jednotlivé zkoumané učebnice oscilují na trajektorii mezi orientací na odborný výklad (především učebnice z vydavatelství Prodos a NČGS) a orientaci na didaktickou interakci se žákem (Fraus, SPN, Nová škola). Upozorňujeme, že orientace na didaktickou interakci se žákem nemusí být nutně pozitivní charakteristikou učebnice. </w:t>
      </w:r>
      <w:r w:rsidR="004372BC">
        <w:t>Učební</w:t>
      </w:r>
      <w:r w:rsidR="00CB24C5" w:rsidRPr="00EC0520">
        <w:t xml:space="preserve"> úloh</w:t>
      </w:r>
      <w:r w:rsidR="00CB24C5">
        <w:t>y</w:t>
      </w:r>
      <w:r w:rsidR="00F41438">
        <w:t xml:space="preserve"> rozmístěné</w:t>
      </w:r>
      <w:r w:rsidR="00CB24C5" w:rsidRPr="00EC0520">
        <w:t xml:space="preserve"> průběžně v</w:t>
      </w:r>
      <w:r w:rsidR="00F41438">
        <w:t> celé</w:t>
      </w:r>
      <w:r w:rsidR="00CB24C5" w:rsidRPr="00EC0520">
        <w:t> kapitole</w:t>
      </w:r>
      <w:r w:rsidR="00F41438">
        <w:t xml:space="preserve"> učebnice mohou</w:t>
      </w:r>
      <w:r w:rsidR="00CB24C5" w:rsidRPr="00EC0520">
        <w:t xml:space="preserve"> vést k narušení jasnosti struktury učebnice, případně ke snížení srozumitelnosti výkladového textu.</w:t>
      </w:r>
      <w:r w:rsidR="00F41438">
        <w:t xml:space="preserve"> U</w:t>
      </w:r>
      <w:r w:rsidR="00F41438" w:rsidRPr="00D42D2E">
        <w:t xml:space="preserve">čební úlohy </w:t>
      </w:r>
      <w:r w:rsidR="00F41438">
        <w:t xml:space="preserve">ve zkoumaných učebnicích </w:t>
      </w:r>
      <w:r w:rsidR="00F41438" w:rsidRPr="00D42D2E">
        <w:t xml:space="preserve">směřují k rozvíjení různých rovin a dimenzí kompetence k řešení problémů. Spektrum učebnic sahá od učebnic silně orientovaných na rozvíjení oborových znalostí až po takové, ve kterých je možné nalézt </w:t>
      </w:r>
      <w:r>
        <w:t xml:space="preserve">relativně </w:t>
      </w:r>
      <w:r w:rsidR="00F41438" w:rsidRPr="00D42D2E">
        <w:t xml:space="preserve">větší množství učebních úloh přímo zacílených na </w:t>
      </w:r>
      <w:r>
        <w:t xml:space="preserve">rozvíjení </w:t>
      </w:r>
      <w:r w:rsidR="00F41438" w:rsidRPr="00D42D2E">
        <w:t>kompetenc</w:t>
      </w:r>
      <w:r>
        <w:t>e</w:t>
      </w:r>
      <w:r w:rsidR="00F41438" w:rsidRPr="00D42D2E">
        <w:t xml:space="preserve"> k řešení problémů. Jednotlivé u</w:t>
      </w:r>
      <w:r w:rsidR="00F41438" w:rsidRPr="00D42D2E">
        <w:rPr>
          <w:bCs/>
          <w:lang w:eastAsia="en-US"/>
        </w:rPr>
        <w:t xml:space="preserve">čební úlohy se odlišují ve své náročnosti na porozumění, užití strategií, dovedností apod. – vyžadují tedy rozdílné kognitivní procesy a tím podněcují různé druhy učení. Z hlediska požadavku na utváření a rozvíjení kompetence k řešení problémů se většina učebních úloh ve zkoumaných učebnicích pohybuje na nejnižším stupni náročnosti, </w:t>
      </w:r>
      <w:r w:rsidR="00F41438">
        <w:rPr>
          <w:bCs/>
          <w:lang w:eastAsia="en-US"/>
        </w:rPr>
        <w:t>komplexity</w:t>
      </w:r>
      <w:r w:rsidR="00F41438" w:rsidRPr="00D42D2E">
        <w:rPr>
          <w:bCs/>
          <w:lang w:eastAsia="en-US"/>
        </w:rPr>
        <w:t xml:space="preserve"> i systémovosti. To na jednu stranu odpovídá potřebě osvojení znalostí předtím, než se jimi žáci budou zabývat v aplikační rovině, na druhou stranu je ale třeba upozornit, že aplikačních učebních úloh je ve zkoumaných učebnicích nemnoho.</w:t>
      </w:r>
      <w:r w:rsidR="00F41438" w:rsidRPr="00D42D2E">
        <w:t xml:space="preserve"> </w:t>
      </w:r>
      <w:r w:rsidR="00CB24C5" w:rsidRPr="00EC0520">
        <w:t>Učební úlohy, které přímo směřují k utváření a rozvíjení kompetence k řešení problémů mají v učebnicích pouze zanedbatelný podíl (méně než 5 %). Uvedená výzk</w:t>
      </w:r>
      <w:r w:rsidR="00CB24C5">
        <w:t>umná zjištění poukazují na defi</w:t>
      </w:r>
      <w:r w:rsidR="00CB24C5" w:rsidRPr="00EC0520">
        <w:t>city zkoumaných učebnic, které podrobněji rozebíráme také v</w:t>
      </w:r>
      <w:r w:rsidR="00CB24C5">
        <w:t> </w:t>
      </w:r>
      <w:r w:rsidR="00CB24C5" w:rsidRPr="00EC0520">
        <w:t>kapitole</w:t>
      </w:r>
      <w:r w:rsidR="00CB24C5">
        <w:t xml:space="preserve"> diskuse</w:t>
      </w:r>
      <w:r w:rsidR="00CB24C5" w:rsidRPr="00EC0520">
        <w:t>.</w:t>
      </w:r>
    </w:p>
    <w:p w:rsidR="00CB24C5" w:rsidRDefault="00CB24C5" w:rsidP="00CB24C5">
      <w:pPr>
        <w:spacing w:after="120" w:line="276" w:lineRule="auto"/>
        <w:jc w:val="both"/>
      </w:pPr>
    </w:p>
    <w:p w:rsidR="005C2A11" w:rsidRPr="00FF6C64" w:rsidRDefault="005C2A11" w:rsidP="005E7AF7">
      <w:pPr>
        <w:pStyle w:val="Nadpis2"/>
      </w:pPr>
      <w:bookmarkStart w:id="107" w:name="_Toc323196122"/>
      <w:bookmarkStart w:id="108" w:name="_Toc399775436"/>
      <w:r w:rsidRPr="00FF6C64">
        <w:t xml:space="preserve">Výsledky </w:t>
      </w:r>
      <w:bookmarkEnd w:id="107"/>
      <w:r w:rsidR="00372F7E" w:rsidRPr="00FF6C64">
        <w:t>analýzy výuky</w:t>
      </w:r>
      <w:bookmarkEnd w:id="108"/>
    </w:p>
    <w:p w:rsidR="00945B31" w:rsidRPr="005E7AF7" w:rsidRDefault="00987A69" w:rsidP="00945B31">
      <w:pPr>
        <w:spacing w:after="120" w:line="276" w:lineRule="auto"/>
        <w:jc w:val="both"/>
      </w:pPr>
      <w:r w:rsidRPr="00FF6C64">
        <w:t xml:space="preserve">V této kapitole představujeme analýzy vybraných didaktických situací, které vnímáme jako </w:t>
      </w:r>
      <w:r w:rsidR="006A1FC4" w:rsidRPr="00FF6C64">
        <w:t xml:space="preserve">nevratné a neopakovatelné </w:t>
      </w:r>
      <w:r w:rsidR="00B058AC" w:rsidRPr="00FF6C64">
        <w:t>kontextově vázané</w:t>
      </w:r>
      <w:r w:rsidRPr="00FF6C64">
        <w:t xml:space="preserve"> gestalty. Ačkoliv </w:t>
      </w:r>
      <w:r w:rsidR="007E079C">
        <w:t xml:space="preserve">se jednotlivými situacemi </w:t>
      </w:r>
      <w:r w:rsidR="00DF707A" w:rsidRPr="00FF6C64">
        <w:t xml:space="preserve">analyticky zabýváme především proto, že usilujeme o postupné zlepšování teorie i praxe geografického vzdělávání, </w:t>
      </w:r>
      <w:r w:rsidR="00B058AC" w:rsidRPr="00FF6C64">
        <w:t>připouštíme</w:t>
      </w:r>
      <w:r w:rsidR="00DF707A" w:rsidRPr="00FF6C64">
        <w:t xml:space="preserve">, že jistá míra nedokonalosti </w:t>
      </w:r>
      <w:r w:rsidR="00BB6814" w:rsidRPr="00FF6C64">
        <w:t xml:space="preserve">je přirozenou součástí každodenního didaktického působení učitele. </w:t>
      </w:r>
      <w:r w:rsidR="0084396F" w:rsidRPr="00FF6C64">
        <w:t xml:space="preserve">Vzhledem k </w:t>
      </w:r>
      <w:r w:rsidR="00B058AC" w:rsidRPr="00FF6C64">
        <w:t>náročnost</w:t>
      </w:r>
      <w:r w:rsidR="0084396F" w:rsidRPr="00FF6C64">
        <w:t>i</w:t>
      </w:r>
      <w:r w:rsidR="00B058AC" w:rsidRPr="00FF6C64">
        <w:t xml:space="preserve"> práce učitele, která se vždy odehrává „tady a teď“ </w:t>
      </w:r>
      <w:r w:rsidR="0084396F" w:rsidRPr="00FF6C64">
        <w:t>je přirozené,</w:t>
      </w:r>
      <w:r w:rsidR="00B058AC" w:rsidRPr="00FF6C64">
        <w:t xml:space="preserve"> že různé situace</w:t>
      </w:r>
      <w:r w:rsidR="006A1FC4" w:rsidRPr="00FF6C64">
        <w:t xml:space="preserve"> mohou být různými pozorovateli vnímány </w:t>
      </w:r>
      <w:r w:rsidR="00B058AC" w:rsidRPr="00FF6C64">
        <w:t xml:space="preserve">a interpretovány </w:t>
      </w:r>
      <w:r w:rsidR="006A1FC4" w:rsidRPr="00FF6C64">
        <w:t>značně odlišně</w:t>
      </w:r>
      <w:r w:rsidR="00C773A2" w:rsidRPr="00FF6C64">
        <w:t xml:space="preserve"> </w:t>
      </w:r>
      <w:r w:rsidR="006A1FC4" w:rsidRPr="00FF6C64">
        <w:t>(</w:t>
      </w:r>
      <w:r w:rsidR="00C773A2" w:rsidRPr="00FF6C64">
        <w:t xml:space="preserve">konkrétní příklady viz </w:t>
      </w:r>
      <w:r w:rsidR="006A1FC4" w:rsidRPr="00FF6C64">
        <w:t>např. Žák, 2014).</w:t>
      </w:r>
      <w:r w:rsidR="00F52CAA" w:rsidRPr="00F52CAA">
        <w:t xml:space="preserve"> </w:t>
      </w:r>
      <w:r w:rsidR="00F52CAA">
        <w:t>Z</w:t>
      </w:r>
      <w:r w:rsidR="00F52CAA" w:rsidRPr="00C773A2">
        <w:t xml:space="preserve">obecnění na vyšší úrovni </w:t>
      </w:r>
      <w:r w:rsidR="00F52CAA">
        <w:t xml:space="preserve">abstrakce otevírají prostor pro </w:t>
      </w:r>
      <w:r w:rsidR="00F52CAA" w:rsidRPr="00C773A2">
        <w:t>polysémii, pro možnost různých výk</w:t>
      </w:r>
      <w:r w:rsidR="00F52CAA">
        <w:t>ladů téže konkrétní skutečnosti (srov. Štech, 2014, s. 2)</w:t>
      </w:r>
      <w:r w:rsidR="00F52CAA" w:rsidRPr="00C773A2">
        <w:t>.</w:t>
      </w:r>
      <w:r w:rsidR="00F52CAA">
        <w:t xml:space="preserve"> Vybrané výukové situace prezentujeme formou </w:t>
      </w:r>
      <w:r w:rsidR="00F52CAA" w:rsidRPr="00260F34">
        <w:t>didaktick</w:t>
      </w:r>
      <w:r w:rsidR="00F52CAA">
        <w:t>ých kazuistik, které</w:t>
      </w:r>
      <w:r w:rsidR="00F52CAA" w:rsidRPr="00260F34">
        <w:t xml:space="preserve"> se zaměřují na potenciál jednotlivých výukových situací podporovat utváření a rozvíjení kompetence k řešení problémů.</w:t>
      </w:r>
      <w:r w:rsidR="00945B31" w:rsidRPr="00945B31">
        <w:t xml:space="preserve"> </w:t>
      </w:r>
      <w:r w:rsidR="00945B31" w:rsidRPr="005E7AF7">
        <w:t>Popis případů i výsledky výzkumu by tak měly být čteny jako analýza procesů výuky odehrávající se ve školních třídách a ne jako kritika zúčastněných učitelů. Jsme učitelům vděčni za to, že umožnili výzkumníkům vstoupit do jejich tříd, aby mohli odhalit, co se ve třídách reálně odehrává a na tomto základě navrhovat případná opatření vedoucí především k budování teorie založené na detailní znalosti praxe. Čtenáře prosíme, aby bral zvláštní zřetel k tomu, že vyučování je činnost natolik náročná a interaktivní, že je prakticky nemožné, aby probíhala bezchybně, případně zcela dle připraveného scénáře.</w:t>
      </w:r>
    </w:p>
    <w:p w:rsidR="008B2394" w:rsidRDefault="00DB6EAB" w:rsidP="00AB2BC6">
      <w:pPr>
        <w:spacing w:after="120" w:line="276" w:lineRule="auto"/>
        <w:jc w:val="both"/>
      </w:pPr>
      <w:r>
        <w:t>Jak uvádíme v předchozích částech práce, ř</w:t>
      </w:r>
      <w:r w:rsidRPr="00FF6C64">
        <w:t>ešení problémů bývá nejčastěji rozvíjeno prost</w:t>
      </w:r>
      <w:r>
        <w:t>ř</w:t>
      </w:r>
      <w:r w:rsidRPr="00FF6C64">
        <w:t xml:space="preserve">ednictvím </w:t>
      </w:r>
      <w:r>
        <w:t>problémových učebních úloh</w:t>
      </w:r>
      <w:r w:rsidRPr="00FF6C64">
        <w:t>.</w:t>
      </w:r>
      <w:r>
        <w:t xml:space="preserve"> Pokud se na zkoumanou výuku podíváme prizmatem teoretického modelu příležitostí k utváření a rozvíjení kompetence k řešení problémů, zjistíme, že učební úlohy, které současně dosahují nejvyšších kvalitativních úrovní systémovosti, komplexity a náročnosti není ve zkoumané výuce možné téměř pozorovat.</w:t>
      </w:r>
      <w:r w:rsidR="00BE2CAC">
        <w:t xml:space="preserve"> </w:t>
      </w:r>
      <w:r>
        <w:t>Pokud připustíme, že k</w:t>
      </w:r>
      <w:r w:rsidRPr="00FF6C64">
        <w:t>aždá učební úloha má jedinečnou „strukturu“, tj. soubor obsahových a výkonových parametrů odvozených na základě jejího přiřazování k jednotlivým dimenzím teoreti</w:t>
      </w:r>
      <w:r>
        <w:t>ckého modelu, je možné ve zkoumané výuce identifikovat tzv. rozvíjející situace</w:t>
      </w:r>
      <w:r w:rsidR="004816AC">
        <w:t xml:space="preserve">. V jádru rozvíjejících výukových situací jsou </w:t>
      </w:r>
      <w:r>
        <w:t>učební úlohy</w:t>
      </w:r>
      <w:r w:rsidR="00B62480">
        <w:t>, které z hlediska jednotlivých dimenzí teoretického modelu</w:t>
      </w:r>
      <w:r w:rsidR="007F7CFD">
        <w:t xml:space="preserve"> (systémovost, náročnost, komplexita; srov. kap. 1.9.2) skórují vysoko.</w:t>
      </w:r>
      <w:r w:rsidR="00B62480">
        <w:t xml:space="preserve"> Takové učební úlohy</w:t>
      </w:r>
      <w:r>
        <w:t xml:space="preserve"> umožňují </w:t>
      </w:r>
      <w:r w:rsidR="008B3694">
        <w:t xml:space="preserve">nastolovat podmínky pro realizaci výukových činností, </w:t>
      </w:r>
      <w:r>
        <w:t>které jsou</w:t>
      </w:r>
      <w:r w:rsidR="004816AC">
        <w:t xml:space="preserve"> </w:t>
      </w:r>
      <w:r w:rsidR="00050F68">
        <w:t xml:space="preserve">jednak </w:t>
      </w:r>
      <w:r>
        <w:t>považovány za důležité v </w:t>
      </w:r>
      <w:r w:rsidR="00933A72">
        <w:t xml:space="preserve">kultuře </w:t>
      </w:r>
      <w:r>
        <w:t>geogra</w:t>
      </w:r>
      <w:r w:rsidR="00933A72">
        <w:t>fů</w:t>
      </w:r>
      <w:r w:rsidR="00050F68">
        <w:t xml:space="preserve"> (</w:t>
      </w:r>
      <w:r w:rsidR="00B62480">
        <w:t>generují relevantní</w:t>
      </w:r>
      <w:r w:rsidR="004816AC">
        <w:t xml:space="preserve"> otázky a odpovědi, které jsou v daném oboru hlavní</w:t>
      </w:r>
      <w:r w:rsidR="00050F68">
        <w:t>)</w:t>
      </w:r>
      <w:r w:rsidR="004816AC">
        <w:t xml:space="preserve"> a jednak </w:t>
      </w:r>
      <w:r w:rsidR="009466EC">
        <w:t xml:space="preserve">jsou </w:t>
      </w:r>
      <w:r w:rsidR="008B3694">
        <w:t xml:space="preserve">dostatečně </w:t>
      </w:r>
      <w:r w:rsidR="009466EC">
        <w:t xml:space="preserve">náročné a komplexní. Náročnost a komplexita učebních úloh umožňují </w:t>
      </w:r>
      <w:r w:rsidR="008B3694">
        <w:t xml:space="preserve">žákovi </w:t>
      </w:r>
      <w:r w:rsidR="00431C46">
        <w:t xml:space="preserve">samostatně a aktivně </w:t>
      </w:r>
      <w:r w:rsidR="00933A72">
        <w:t xml:space="preserve">nalézat </w:t>
      </w:r>
      <w:r w:rsidR="00431C46">
        <w:t xml:space="preserve">řešení </w:t>
      </w:r>
      <w:r w:rsidR="003D65EA">
        <w:t xml:space="preserve">(geografických) </w:t>
      </w:r>
      <w:r w:rsidR="00431C46">
        <w:t xml:space="preserve">problémů zasazených do </w:t>
      </w:r>
      <w:r w:rsidR="003D65EA">
        <w:t xml:space="preserve">autentických </w:t>
      </w:r>
      <w:r w:rsidR="00431C46">
        <w:t>situací každodenního života.</w:t>
      </w:r>
    </w:p>
    <w:p w:rsidR="00C73CF8" w:rsidRDefault="00C73CF8" w:rsidP="00AB2BC6">
      <w:pPr>
        <w:spacing w:after="120" w:line="276" w:lineRule="auto"/>
        <w:jc w:val="both"/>
      </w:pPr>
      <w:r>
        <w:t>Ačkoliv by kritický čtenář mohl namítnout, že problémové výukové situace se ve školní výuce téměř nevysk</w:t>
      </w:r>
      <w:r w:rsidR="009466EC">
        <w:t>y</w:t>
      </w:r>
      <w:r>
        <w:t>tují, a už vůbec ne ve frontální výuce, jež je reprezentována námi analyzovanými video</w:t>
      </w:r>
      <w:r w:rsidR="003468E4">
        <w:t>záznamy</w:t>
      </w:r>
      <w:r w:rsidR="009466EC">
        <w:t xml:space="preserve">, ukázalo se, že </w:t>
      </w:r>
      <w:r w:rsidR="00712B5F">
        <w:t>sedm</w:t>
      </w:r>
      <w:r w:rsidR="003D65EA">
        <w:t xml:space="preserve"> výukových situací stojí v tomto ohledu za pozornost. </w:t>
      </w:r>
      <w:r w:rsidR="00054C40">
        <w:t>Z těchto sedmi problémových situací se dvě odehrály v jedn</w:t>
      </w:r>
      <w:r w:rsidR="007E079C">
        <w:t>é</w:t>
      </w:r>
      <w:r w:rsidR="00054C40">
        <w:t xml:space="preserve"> vyučovací hodině. Celkově je možné konstatovat, že </w:t>
      </w:r>
      <w:r w:rsidR="0084308F">
        <w:t xml:space="preserve">cca v jedné osmině z celkového počtu 50 pozorovaných vyučovacích hodin je </w:t>
      </w:r>
      <w:r w:rsidR="00054C40">
        <w:t xml:space="preserve">žák aktivně konfrontován s problémovou </w:t>
      </w:r>
      <w:r w:rsidR="003342FC">
        <w:t>učební úlohou</w:t>
      </w:r>
      <w:r w:rsidR="00054C40">
        <w:t xml:space="preserve">. </w:t>
      </w:r>
      <w:r w:rsidR="00785CDF">
        <w:t xml:space="preserve">Ačkoliv se jedná o poměrně pozitivní zjištění, </w:t>
      </w:r>
      <w:r w:rsidR="007E079C">
        <w:t>většina</w:t>
      </w:r>
      <w:r w:rsidR="00785CDF">
        <w:t xml:space="preserve"> problémových učebních úloh </w:t>
      </w:r>
      <w:r w:rsidR="00E91955">
        <w:t>identifikovaných</w:t>
      </w:r>
      <w:r w:rsidR="00785CDF">
        <w:t xml:space="preserve"> v</w:t>
      </w:r>
      <w:r w:rsidR="00E91955">
        <w:t xml:space="preserve"> pozorované výuce </w:t>
      </w:r>
      <w:r w:rsidR="00E92038">
        <w:t xml:space="preserve">v sobě </w:t>
      </w:r>
      <w:r w:rsidR="00B91665">
        <w:t>neintegruje</w:t>
      </w:r>
      <w:r w:rsidR="00E91955">
        <w:t xml:space="preserve"> teoretické znaky nejvyšších úrovní systémovosti, komplexity a náročnosti.</w:t>
      </w:r>
      <w:r w:rsidR="00E92038">
        <w:t xml:space="preserve"> </w:t>
      </w:r>
      <w:r w:rsidR="003D65EA">
        <w:t xml:space="preserve">Jednotlivým situacím </w:t>
      </w:r>
      <w:r w:rsidR="00224604">
        <w:t xml:space="preserve">vykazujícím potenciál k utváření a rozvíjení kompetence k řešení problémů </w:t>
      </w:r>
      <w:r w:rsidR="003D65EA">
        <w:t>se nyní budeme věnovat podrobněji.</w:t>
      </w:r>
    </w:p>
    <w:p w:rsidR="00A720FB" w:rsidRDefault="00A720FB" w:rsidP="00AB2BC6">
      <w:pPr>
        <w:spacing w:after="120" w:line="276" w:lineRule="auto"/>
        <w:jc w:val="both"/>
      </w:pPr>
    </w:p>
    <w:p w:rsidR="006A69FE" w:rsidRPr="006114C2" w:rsidRDefault="006A69FE" w:rsidP="006A69FE">
      <w:pPr>
        <w:pStyle w:val="Nadpis3"/>
      </w:pPr>
      <w:bookmarkStart w:id="109" w:name="_Toc399775437"/>
      <w:r w:rsidRPr="006114C2">
        <w:t xml:space="preserve">Výuková </w:t>
      </w:r>
      <w:r w:rsidRPr="00FB41AA">
        <w:t>situace</w:t>
      </w:r>
      <w:r w:rsidRPr="006114C2">
        <w:t xml:space="preserve"> č. </w:t>
      </w:r>
      <w:r>
        <w:t>1</w:t>
      </w:r>
      <w:r w:rsidRPr="006114C2">
        <w:t xml:space="preserve">: </w:t>
      </w:r>
      <w:r>
        <w:t>Vliv geologického vývoje na reliéf</w:t>
      </w:r>
      <w:bookmarkEnd w:id="109"/>
    </w:p>
    <w:p w:rsidR="006A69FE" w:rsidRPr="00FF6C64" w:rsidRDefault="008A2983" w:rsidP="008A2983">
      <w:pPr>
        <w:spacing w:after="120" w:line="276" w:lineRule="auto"/>
        <w:jc w:val="both"/>
      </w:pPr>
      <w:r w:rsidRPr="004874DB">
        <w:rPr>
          <w:i/>
        </w:rPr>
        <w:t>Anotace:</w:t>
      </w:r>
      <w:r>
        <w:rPr>
          <w:b/>
        </w:rPr>
        <w:t xml:space="preserve"> </w:t>
      </w:r>
      <w:r w:rsidR="00A44FF4">
        <w:t xml:space="preserve">Výuková situace je součástí vyučovací hodiny, </w:t>
      </w:r>
      <w:r w:rsidR="00A64E8B">
        <w:t xml:space="preserve">v níž učitel </w:t>
      </w:r>
      <w:r w:rsidR="00293FED">
        <w:t xml:space="preserve">tematizuje geologický vývoj </w:t>
      </w:r>
      <w:r w:rsidR="00A44FF4">
        <w:t>Česka</w:t>
      </w:r>
      <w:r w:rsidR="00293FED">
        <w:t>. Předtím, než přistoupí k tématu vyučovací hodiny, využívá učitel příležitost k</w:t>
      </w:r>
      <w:r w:rsidR="003E6CD5">
        <w:t> zopakování znalostí zeměpisného učiva probíraného v šestém ročníku (desková tektonika, zemětřesení, sopečná činnost, vrásnění)</w:t>
      </w:r>
      <w:r w:rsidR="00FE345A">
        <w:t xml:space="preserve">. Následuje výklad </w:t>
      </w:r>
      <w:r w:rsidR="005E386C">
        <w:t xml:space="preserve">o </w:t>
      </w:r>
      <w:r w:rsidR="00B33D4F">
        <w:t xml:space="preserve">časovém řazení jednotlivých geologických období, který volně přechází </w:t>
      </w:r>
      <w:r w:rsidR="005E386C">
        <w:t>k výkladu o geologickém vývoji Česka.</w:t>
      </w:r>
      <w:r w:rsidR="00A64E8B">
        <w:t xml:space="preserve"> </w:t>
      </w:r>
      <w:r w:rsidR="006A69FE" w:rsidRPr="00FF6C64">
        <w:t xml:space="preserve">Učitel </w:t>
      </w:r>
      <w:r w:rsidR="006F1A30">
        <w:t>zmíněné informace dále aplikuje na území Česka, které</w:t>
      </w:r>
      <w:r w:rsidR="006F1A30" w:rsidRPr="006F1A30">
        <w:t xml:space="preserve"> je vytvořeno ze dvou velkých geologických jednotek</w:t>
      </w:r>
      <w:r w:rsidR="006F1A30">
        <w:t xml:space="preserve">: Českého masivu a Karpat. </w:t>
      </w:r>
      <w:r w:rsidR="0003616A">
        <w:t xml:space="preserve">Následně učitel v interakci se žáky </w:t>
      </w:r>
      <w:r>
        <w:t xml:space="preserve">hledá důvody vzájemné </w:t>
      </w:r>
      <w:r w:rsidR="0003616A">
        <w:t>odlišnost</w:t>
      </w:r>
      <w:r>
        <w:t>i</w:t>
      </w:r>
      <w:r w:rsidR="0003616A">
        <w:t xml:space="preserve"> obou geologických jednotek</w:t>
      </w:r>
      <w:r w:rsidR="005A422A">
        <w:t>.</w:t>
      </w:r>
      <w:r w:rsidR="0003616A">
        <w:t xml:space="preserve"> </w:t>
      </w:r>
    </w:p>
    <w:p w:rsidR="006A69FE" w:rsidRDefault="006A69FE" w:rsidP="006A69FE">
      <w:pPr>
        <w:spacing w:after="120" w:line="276" w:lineRule="auto"/>
        <w:rPr>
          <w:b/>
        </w:rPr>
      </w:pPr>
    </w:p>
    <w:p w:rsidR="006A69FE" w:rsidRPr="00220984" w:rsidRDefault="006A69FE" w:rsidP="006A69FE">
      <w:pPr>
        <w:rPr>
          <w:b/>
        </w:rPr>
      </w:pPr>
      <w:r w:rsidRPr="003A151D">
        <w:t xml:space="preserve">Přepis části vyučovací </w:t>
      </w:r>
      <w:r w:rsidRPr="00DB39AD">
        <w:t xml:space="preserve">hodiny </w:t>
      </w:r>
      <w:r>
        <w:t>(U – učitel, Ž – žák, ŽŽ – žáci)</w:t>
      </w:r>
    </w:p>
    <w:p w:rsidR="006A69FE" w:rsidRDefault="006A69FE" w:rsidP="006A69FE">
      <w:pPr>
        <w:rPr>
          <w:sz w:val="20"/>
        </w:rPr>
      </w:pPr>
      <w:r>
        <w:rPr>
          <w:sz w:val="20"/>
        </w:rPr>
        <w:t>A01 29:20 - 34:00</w:t>
      </w:r>
    </w:p>
    <w:p w:rsidR="006A69FE" w:rsidRDefault="006A69FE" w:rsidP="006A69FE">
      <w:pPr>
        <w:spacing w:after="120" w:line="276" w:lineRule="auto"/>
      </w:pPr>
    </w:p>
    <w:tbl>
      <w:tblPr>
        <w:tblW w:w="8789" w:type="dxa"/>
        <w:tblInd w:w="212" w:type="dxa"/>
        <w:tblBorders>
          <w:top w:val="single" w:sz="4" w:space="0" w:color="auto"/>
          <w:left w:val="single" w:sz="4" w:space="0" w:color="auto"/>
          <w:bottom w:val="single" w:sz="4" w:space="0" w:color="auto"/>
          <w:right w:val="single" w:sz="4" w:space="0" w:color="auto"/>
          <w:insideV w:val="single" w:sz="4" w:space="0" w:color="auto"/>
        </w:tblBorders>
        <w:tblCellMar>
          <w:left w:w="70" w:type="dxa"/>
          <w:right w:w="70" w:type="dxa"/>
        </w:tblCellMar>
        <w:tblLook w:val="0000" w:firstRow="0" w:lastRow="0" w:firstColumn="0" w:lastColumn="0" w:noHBand="0" w:noVBand="0"/>
      </w:tblPr>
      <w:tblGrid>
        <w:gridCol w:w="8789"/>
      </w:tblGrid>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U: Nebo tady v Čechách. A kdo jste byli na obou dvou místech, spíš by mě zajímalo. Zvedněte ruku. Tak</w:t>
            </w:r>
            <w:r w:rsidR="007E079C">
              <w:rPr>
                <w:sz w:val="20"/>
                <w:szCs w:val="20"/>
              </w:rPr>
              <w:t>, Erika. Eriko, řekni mně, když jsi</w:t>
            </w:r>
            <w:r w:rsidRPr="00C40857">
              <w:rPr>
                <w:sz w:val="20"/>
                <w:szCs w:val="20"/>
              </w:rPr>
              <w:t xml:space="preserve"> teda </w:t>
            </w:r>
            <w:r w:rsidR="007E079C" w:rsidRPr="00C40857">
              <w:rPr>
                <w:sz w:val="20"/>
                <w:szCs w:val="20"/>
              </w:rPr>
              <w:t>navštívila</w:t>
            </w:r>
            <w:r w:rsidRPr="00C40857">
              <w:rPr>
                <w:sz w:val="20"/>
                <w:szCs w:val="20"/>
              </w:rPr>
              <w:t xml:space="preserve"> nějaké pohoří na území České republika a nějaké pohoří na území Slovenska, akorát mně řekni, prosím tě, kdes na to Slovensku byla, abysme se nedostali dolů.</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Z: Já, no, na Mal</w:t>
            </w:r>
            <w:r w:rsidR="00426E58">
              <w:rPr>
                <w:sz w:val="20"/>
                <w:szCs w:val="20"/>
              </w:rPr>
              <w:t>é</w:t>
            </w:r>
            <w:r w:rsidRPr="00C40857">
              <w:rPr>
                <w:sz w:val="20"/>
                <w:szCs w:val="20"/>
              </w:rPr>
              <w:t xml:space="preserve"> Fatře, ve Vysokých Tatrách.</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U: Dobrý, dobrý. Tak vezmeme Malou Fatru, Vysoký Tatry a tady toto pohoří. Na první pohled mně řekni, jaký je rozdíl mezi tím pohořím na území České republiky a mezi tím pohořím na Slovensku? Je tam vůbec nějaký rozdíl? Je.</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Z: Jo, jako že na tom Slovensku je to spíš takový jako skalnatý.</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U: Skalnatý?</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Z: No. Tak jako, skalnatý.</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U: No, nějak to popiš, oni tam někteří nebyli.</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Z: U těch vršků je to, ježiš, jak se to jmenuje, ty malý borovice. A je to ještě porostlý a pak je to to skalnatý. A tady jako že je to takový kopcovitý spíš.</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U: Přesně tak, ten ráz je kopcovitější, zaoblenější. Že jo? Je to tak?</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Z: Je.</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 xml:space="preserve">U: </w:t>
            </w:r>
            <w:r w:rsidRPr="00F71D24">
              <w:rPr>
                <w:b/>
                <w:sz w:val="20"/>
                <w:szCs w:val="20"/>
              </w:rPr>
              <w:t>Čím si myslíte, že.</w:t>
            </w:r>
            <w:r w:rsidRPr="00C40857">
              <w:rPr>
                <w:sz w:val="20"/>
                <w:szCs w:val="20"/>
              </w:rPr>
              <w:t xml:space="preserve"> Takhle. Když vám řeknu, že </w:t>
            </w:r>
            <w:r w:rsidRPr="00F71D24">
              <w:rPr>
                <w:b/>
                <w:sz w:val="20"/>
                <w:szCs w:val="20"/>
              </w:rPr>
              <w:t>Český masív</w:t>
            </w:r>
            <w:r w:rsidRPr="00C40857">
              <w:rPr>
                <w:sz w:val="20"/>
                <w:szCs w:val="20"/>
              </w:rPr>
              <w:t xml:space="preserve">, teď už budeme mluvit tady v těchto názvech, že ten Český masív, jak řekla Erika, on </w:t>
            </w:r>
            <w:r w:rsidRPr="00F71D24">
              <w:rPr>
                <w:b/>
                <w:sz w:val="20"/>
                <w:szCs w:val="20"/>
              </w:rPr>
              <w:t>je opravdu zaoblenější, není tak skalnatý.</w:t>
            </w:r>
            <w:r w:rsidRPr="00C40857">
              <w:rPr>
                <w:sz w:val="20"/>
                <w:szCs w:val="20"/>
              </w:rPr>
              <w:t xml:space="preserve"> Pokud jste nebyli na Slovensku a byli jste v Alpách, ať už švýcarských, italských, to už je úplně jedno, tak v České republice v podstatě ráz toho pohoří nenajdete. Abyste měli představu, o čem Erika mluvila. Když vám řeknu, že Český masív je geologicky starší než vlastně Karpaty, jak to, že je ten Český masív zaoblenej? Mně to připadne tak, že to zjednoduším úplně, že do toho Českýho masívu nepotřebuju ty mačky a lana tak moc, i když</w:t>
            </w:r>
            <w:r>
              <w:rPr>
                <w:sz w:val="20"/>
                <w:szCs w:val="20"/>
              </w:rPr>
              <w:t xml:space="preserve"> je potřebuju, jako do těch Karp</w:t>
            </w:r>
            <w:r w:rsidRPr="00C40857">
              <w:rPr>
                <w:sz w:val="20"/>
                <w:szCs w:val="20"/>
              </w:rPr>
              <w:t>at. Je to tak? I když bych chtěla zdolat opravdu nějakej vrchol, který není přístupný po cestičce, tak si budu muset jako horolezec pravděpodobně vybavit, zatímco v té České republice to zas až tak není akutní. Tady nejsou ty ostrý štíty,</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Z: Není to tím, jako že to? Že nějak fouká ten vítr, že se to zaobluje?</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U: Jo, i to je možný. To znamená, co ten vítr udělá?</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ZZ: Fouká.</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Z: to j</w:t>
            </w:r>
            <w:r w:rsidR="007E079C">
              <w:rPr>
                <w:sz w:val="20"/>
                <w:szCs w:val="20"/>
              </w:rPr>
              <w:t>ako, jak foukal a</w:t>
            </w:r>
            <w:r w:rsidRPr="00C40857">
              <w:rPr>
                <w:sz w:val="20"/>
                <w:szCs w:val="20"/>
              </w:rPr>
              <w:t xml:space="preserve"> byly takový </w:t>
            </w:r>
            <w:r w:rsidR="00050F68" w:rsidRPr="00C40857">
              <w:rPr>
                <w:sz w:val="20"/>
                <w:szCs w:val="20"/>
              </w:rPr>
              <w:t>ty (…) bouřky</w:t>
            </w:r>
            <w:r w:rsidRPr="00C40857">
              <w:rPr>
                <w:sz w:val="20"/>
                <w:szCs w:val="20"/>
              </w:rPr>
              <w:t>.</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U: Co? Co bylo?</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Z: Bouřky. Tam to. Takový to.</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U: Aha. No. Dobrý. Ale s tím větrem máš částečně pravdu.</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Z: Já si myslím, když v podstatě se dělá jako kdyby nějaký výkop a vyndává se hlína ven.</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U: Teď čekám, co z tebe vypadne.</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 xml:space="preserve">Z: Ale ta hlína, ona je jako větší, ale časem, když, když se nechá ležet, tak ona se více zaoblí. A todlenc, jako že se </w:t>
            </w:r>
            <w:r w:rsidR="007E079C" w:rsidRPr="00C40857">
              <w:rPr>
                <w:sz w:val="20"/>
                <w:szCs w:val="20"/>
              </w:rPr>
              <w:t>začne</w:t>
            </w:r>
            <w:r w:rsidRPr="00C40857">
              <w:rPr>
                <w:sz w:val="20"/>
                <w:szCs w:val="20"/>
              </w:rPr>
              <w:t xml:space="preserve"> zmenšovat.</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U: Jo, tak ty máš pravdu, ale čekala jsem, cos vykopal, no.</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Z: Jak je ta hlína starší, tak vlastně do sebe naráží míň, tak se to pomalu zaobluje, než potom ty Karpaty, že jsou mladší, že jsou jako aktivnější.</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U: Takže chceš říct, že i ty vlivy vlastně i na ty Karpaty i na ten Český masí</w:t>
            </w:r>
            <w:r>
              <w:rPr>
                <w:sz w:val="20"/>
                <w:szCs w:val="20"/>
              </w:rPr>
              <w:t>v</w:t>
            </w:r>
            <w:r w:rsidRPr="00C40857">
              <w:rPr>
                <w:sz w:val="20"/>
                <w:szCs w:val="20"/>
              </w:rPr>
              <w:t xml:space="preserve"> jako by byly přibližně stejný. Je to tak?</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Z: No, ale...</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U: No, tak fouká vítr, svítí sluníčko, mění se teplota. Pozor, mluvíme o geologickém období. Následkem tady těch procesů dochází ke zvětrávání, k erozi, učivo šesté třídy, vzpomínáte?</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ZZ: Jo.</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 xml:space="preserve">U: Akorát je rozdíl v tom, že na ten Český masív všechno tady tohlencto působilo daleko delší dobu než na území těch Karpat. Protože vlastně Český masív byl </w:t>
            </w:r>
            <w:r w:rsidR="007E079C" w:rsidRPr="00C40857">
              <w:rPr>
                <w:sz w:val="20"/>
                <w:szCs w:val="20"/>
              </w:rPr>
              <w:t>vyvrásněn</w:t>
            </w:r>
            <w:r w:rsidRPr="00C40857">
              <w:rPr>
                <w:sz w:val="20"/>
                <w:szCs w:val="20"/>
              </w:rPr>
              <w:t xml:space="preserve"> hercynským vrásněním, co když se podíváte, tak to je vlastně polovina prvohor, zatímco když budeme mluvit o alpínském vrásnění, tak se dostáváme do konce druhohor, začátek třetihor.</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Z: Paní učitelko, takže to klidně mohlo být zvětráváním, jako že se to //</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U: // Jasně.</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Z: Jako že to zvětrávání, vždycky padaní ty kameny a ta skála se rozpadá.</w:t>
            </w:r>
          </w:p>
        </w:tc>
      </w:tr>
      <w:tr w:rsidR="006A69FE" w:rsidRPr="00EE10C0" w:rsidTr="004874DB">
        <w:tc>
          <w:tcPr>
            <w:tcW w:w="8789" w:type="dxa"/>
          </w:tcPr>
          <w:p w:rsidR="006A69FE" w:rsidRPr="00C40857" w:rsidRDefault="006A69FE" w:rsidP="00426E58">
            <w:pPr>
              <w:spacing w:before="20" w:after="20"/>
              <w:rPr>
                <w:sz w:val="20"/>
                <w:szCs w:val="20"/>
              </w:rPr>
            </w:pPr>
            <w:r w:rsidRPr="00C40857">
              <w:rPr>
                <w:sz w:val="20"/>
                <w:szCs w:val="20"/>
              </w:rPr>
              <w:t>U: Vlastně působením těch vnějších vlivů, tak vlastně ten Český masív je starší. Takže on už má ten ráz takovej zaoblenější. Zatímco ty Karpaty jsou skutečně o pár milionů let mladší, takže jsou ještě ostřejší. Když to přirovnáme tak, že jste vy míň opotřebovaní než já. Jo, jako, rozumíš mně, jo? Tak to teda přeneseme na ty hory a pamatujete si, že ty starší jsou víc opotřebovaný, že tam působili ty vnější vlivy, teda tím pádem mají jinší ráz. Ano. To se rozpadne, zaoblí, sníží se povrch, jo?</w:t>
            </w:r>
          </w:p>
        </w:tc>
      </w:tr>
    </w:tbl>
    <w:p w:rsidR="006A69FE" w:rsidRDefault="006A69FE" w:rsidP="006A69FE">
      <w:pPr>
        <w:spacing w:after="120" w:line="276" w:lineRule="auto"/>
      </w:pPr>
    </w:p>
    <w:p w:rsidR="008A2983" w:rsidRPr="000B37EC" w:rsidRDefault="008A2983" w:rsidP="000B37EC">
      <w:pPr>
        <w:spacing w:after="120" w:line="276" w:lineRule="auto"/>
        <w:jc w:val="both"/>
      </w:pPr>
      <w:r w:rsidRPr="000B37EC">
        <w:rPr>
          <w:i/>
        </w:rPr>
        <w:t>Analýza:</w:t>
      </w:r>
      <w:r w:rsidRPr="000B37EC">
        <w:rPr>
          <w:b/>
        </w:rPr>
        <w:t xml:space="preserve"> </w:t>
      </w:r>
      <w:r w:rsidR="006A69FE" w:rsidRPr="000B37EC">
        <w:t xml:space="preserve">Jádro </w:t>
      </w:r>
      <w:r w:rsidRPr="000B37EC">
        <w:t>výukové situace</w:t>
      </w:r>
      <w:r w:rsidR="006A69FE" w:rsidRPr="000B37EC">
        <w:t xml:space="preserve"> tvoří následující problémová učební úloha: Proč je Český masiv zaoblenější než Karpaty? </w:t>
      </w:r>
      <w:r w:rsidR="005A422A" w:rsidRPr="000B37EC">
        <w:t xml:space="preserve">Učební úloha </w:t>
      </w:r>
      <w:r w:rsidR="009E5489" w:rsidRPr="000B37EC">
        <w:t xml:space="preserve">v dimenzi systémovosti </w:t>
      </w:r>
      <w:r w:rsidR="005A422A" w:rsidRPr="000B37EC">
        <w:t xml:space="preserve">vyžaduje schopnost porozumět </w:t>
      </w:r>
      <w:r w:rsidR="009E5489" w:rsidRPr="000B37EC">
        <w:t>fungování vnějších a vnitřních geologických procesů (úroveň III).</w:t>
      </w:r>
      <w:r w:rsidR="00191135" w:rsidRPr="000B37EC">
        <w:t xml:space="preserve"> Z hlediska komplexity vyžaduje učební úloha znalost nějakého naučeného pravidla, postupu, vztahu (úroveň II). Konkrétně se jedná znalost vztahu mezi vnějšími a vnitřními procesy, na jejímž základě může dojít k aplikaci </w:t>
      </w:r>
      <w:r w:rsidR="00DE734A" w:rsidRPr="000B37EC">
        <w:t xml:space="preserve">na geologický vývoj Česka. Jelikož </w:t>
      </w:r>
      <w:r w:rsidR="000B37EC" w:rsidRPr="000B37EC">
        <w:t xml:space="preserve">pro </w:t>
      </w:r>
      <w:r w:rsidR="00DE734A" w:rsidRPr="000B37EC">
        <w:t xml:space="preserve">úspěšné řešení učební úlohy </w:t>
      </w:r>
      <w:r w:rsidR="000B37EC" w:rsidRPr="000B37EC">
        <w:t>je nezbytné</w:t>
      </w:r>
      <w:r w:rsidR="00DE734A" w:rsidRPr="000B37EC">
        <w:t xml:space="preserve"> </w:t>
      </w:r>
      <w:r w:rsidR="005A422A" w:rsidRPr="000B37EC">
        <w:t xml:space="preserve">zdůvodnění příčiny a následku </w:t>
      </w:r>
      <w:r w:rsidR="000B37EC" w:rsidRPr="000B37EC">
        <w:t xml:space="preserve">jednotlivých geologických procesů, je možné učební úlohu přiřadit do třetí úrovně </w:t>
      </w:r>
      <w:r w:rsidR="008E06E0">
        <w:t xml:space="preserve">dimenze </w:t>
      </w:r>
      <w:r w:rsidR="000B37EC" w:rsidRPr="000B37EC">
        <w:t>náročnosti.</w:t>
      </w:r>
    </w:p>
    <w:p w:rsidR="00E24F58" w:rsidRDefault="008A2983" w:rsidP="00E24F58">
      <w:pPr>
        <w:spacing w:after="120" w:line="276" w:lineRule="auto"/>
        <w:jc w:val="both"/>
      </w:pPr>
      <w:r>
        <w:rPr>
          <w:i/>
        </w:rPr>
        <w:t>Shrnující k</w:t>
      </w:r>
      <w:r w:rsidRPr="00C01C4E">
        <w:rPr>
          <w:i/>
        </w:rPr>
        <w:t>omentář výzkumníka:</w:t>
      </w:r>
      <w:r w:rsidRPr="00F57FED">
        <w:t xml:space="preserve"> </w:t>
      </w:r>
      <w:r w:rsidR="006A69FE">
        <w:t xml:space="preserve">Ukázka demonstruje tři fenomény, které jsou pro problémové učební úlohy stěžejní. Motivaci, analogie a čas. V teoretické části práce jsme upozornili, že řešení problémů </w:t>
      </w:r>
      <w:r w:rsidR="006A69FE" w:rsidRPr="005E7AF7">
        <w:t xml:space="preserve">má </w:t>
      </w:r>
      <w:r w:rsidR="006A69FE">
        <w:t xml:space="preserve">mimo kognitivních aspektů také aspekty </w:t>
      </w:r>
      <w:r w:rsidR="006A69FE" w:rsidRPr="005E7AF7">
        <w:t xml:space="preserve">motivační a emoční. </w:t>
      </w:r>
      <w:r w:rsidR="006A69FE">
        <w:t xml:space="preserve">Nedostatečná aktivizace dosavadních znalostí žáků spolu s jejich chybějící motivací jsou jedním z hlavních </w:t>
      </w:r>
      <w:r w:rsidR="006A69FE" w:rsidRPr="005E7AF7">
        <w:t>důvod</w:t>
      </w:r>
      <w:r w:rsidR="006A69FE">
        <w:t>ů</w:t>
      </w:r>
      <w:r w:rsidR="006A69FE" w:rsidRPr="005E7AF7">
        <w:t xml:space="preserve"> neúspěšnosti žáků při řešení problémových úloh. </w:t>
      </w:r>
      <w:r w:rsidR="006A69FE">
        <w:t xml:space="preserve">Učitel motivuje žáky tím, že se dotazuje na jejich autentické zkušenosti získané během návštěvy pohoří s odlišným geologickým stářím. </w:t>
      </w:r>
      <w:r w:rsidR="00E24F58">
        <w:t>Teprve p</w:t>
      </w:r>
      <w:r w:rsidR="006A69FE">
        <w:t>oté přistupuje k zadání problémové učební úlohy. Jakmile zjišťuje, že řešení navrhovaná žáky nejsou správná, nepřistupuje ke snížení náročnosti učební úlohy, ale mění způsob zadání učební úlohy tím, že využ</w:t>
      </w:r>
      <w:r w:rsidR="00E24F58">
        <w:t xml:space="preserve">ívá </w:t>
      </w:r>
      <w:r w:rsidR="006A69FE">
        <w:t xml:space="preserve">analogie. </w:t>
      </w:r>
      <w:r w:rsidR="00E24F58">
        <w:t xml:space="preserve">Ukázka potvrzuje, že analogie, </w:t>
      </w:r>
      <w:r w:rsidR="00E24F58" w:rsidRPr="00FF6C64">
        <w:t>pokud je vhodně a zodpovědně používána</w:t>
      </w:r>
      <w:r w:rsidR="00E24F58">
        <w:t>, může být v</w:t>
      </w:r>
      <w:r w:rsidR="006A69FE" w:rsidRPr="00FF6C64">
        <w:t>ynikající</w:t>
      </w:r>
      <w:r w:rsidR="00E24F58">
        <w:t xml:space="preserve"> </w:t>
      </w:r>
      <w:r w:rsidR="006A69FE" w:rsidRPr="00FF6C64">
        <w:t>heuristický</w:t>
      </w:r>
      <w:r w:rsidR="00E24F58">
        <w:t>m prostředkem</w:t>
      </w:r>
      <w:r w:rsidR="006A69FE" w:rsidRPr="00FF6C64">
        <w:t xml:space="preserve">. </w:t>
      </w:r>
      <w:r w:rsidR="006A69FE">
        <w:t xml:space="preserve">V ukázce učitel využívá </w:t>
      </w:r>
      <w:r w:rsidR="00E24F58">
        <w:t xml:space="preserve">analogie </w:t>
      </w:r>
      <w:r w:rsidR="006A69FE">
        <w:t xml:space="preserve">nejen při zadání učební úlohy, ale také bezprostředně při jejím řešení a následném shrnutí řešení učební úlohy. Samotná délka ukázky i výroky učitele dokazují, že řešení problémových učebních úloh je náročné na výukový čas. Z výukového dialogu je patrné, že učitel nespěchá a pracuje s odpověďmi žáků. Dochází k produktivnímu dialogu mezi učitelem a žáky, přičemž žáci pod vedením učitele postupně nalézají řešení nastolené učební úlohy. Z ukázky poměrně zřetelně vyplývá, že systematická práce s učivem je </w:t>
      </w:r>
      <w:r w:rsidR="005D2F0A">
        <w:t xml:space="preserve">relativně </w:t>
      </w:r>
      <w:r w:rsidR="006A69FE">
        <w:t>chudá na vzrušující zážitky, přesto může být z hlediska žákova učení poměrně výnosná.</w:t>
      </w:r>
      <w:r w:rsidR="006A69FE" w:rsidRPr="00C3273C">
        <w:t xml:space="preserve"> </w:t>
      </w:r>
    </w:p>
    <w:p w:rsidR="008E06E0" w:rsidRDefault="008E06E0" w:rsidP="00E24F58">
      <w:pPr>
        <w:spacing w:after="120" w:line="276" w:lineRule="auto"/>
        <w:jc w:val="both"/>
      </w:pPr>
    </w:p>
    <w:p w:rsidR="006A69FE" w:rsidRPr="006114C2" w:rsidRDefault="006A69FE" w:rsidP="00E24F58">
      <w:pPr>
        <w:pStyle w:val="Nadpis3"/>
      </w:pPr>
      <w:bookmarkStart w:id="110" w:name="_Toc399775438"/>
      <w:r w:rsidRPr="006114C2">
        <w:t xml:space="preserve">Výuková </w:t>
      </w:r>
      <w:r w:rsidRPr="00FB41AA">
        <w:t>situace</w:t>
      </w:r>
      <w:r w:rsidRPr="006114C2">
        <w:t xml:space="preserve"> č. </w:t>
      </w:r>
      <w:r>
        <w:t>2</w:t>
      </w:r>
      <w:r w:rsidRPr="006114C2">
        <w:t xml:space="preserve">: </w:t>
      </w:r>
      <w:r>
        <w:t>Vliv reliéfu na podnebí</w:t>
      </w:r>
      <w:bookmarkEnd w:id="110"/>
    </w:p>
    <w:p w:rsidR="006A69FE" w:rsidRDefault="006A69FE" w:rsidP="005D2F0A">
      <w:pPr>
        <w:spacing w:after="120" w:line="276" w:lineRule="auto"/>
        <w:jc w:val="both"/>
      </w:pPr>
      <w:r>
        <w:t xml:space="preserve">Analýza: </w:t>
      </w:r>
      <w:r w:rsidR="006B3263">
        <w:t xml:space="preserve">Výuková situace </w:t>
      </w:r>
      <w:r w:rsidR="00363C38">
        <w:t xml:space="preserve">se odehrává ve vyučovací hodině, ve které je tematizováno </w:t>
      </w:r>
      <w:r w:rsidR="006B3263">
        <w:t>podnebí Česka</w:t>
      </w:r>
      <w:r w:rsidR="00363C38">
        <w:t xml:space="preserve">. Na začátku vyučovací hodiny </w:t>
      </w:r>
      <w:r w:rsidR="005D2F0A">
        <w:t>mají žáci</w:t>
      </w:r>
      <w:r w:rsidR="00363C38">
        <w:t xml:space="preserve"> </w:t>
      </w:r>
      <w:r w:rsidR="005D2F0A">
        <w:t xml:space="preserve">v rámci </w:t>
      </w:r>
      <w:r w:rsidR="006B3263">
        <w:t>opakování učiva probraného v</w:t>
      </w:r>
      <w:r w:rsidR="005D2F0A">
        <w:t> předešlých hodinách p</w:t>
      </w:r>
      <w:r>
        <w:t>osuzov</w:t>
      </w:r>
      <w:r w:rsidR="005D2F0A">
        <w:t>at pravdivost</w:t>
      </w:r>
      <w:r>
        <w:t xml:space="preserve"> výroků </w:t>
      </w:r>
      <w:r w:rsidR="005D2F0A">
        <w:t>na připravených kartičkách</w:t>
      </w:r>
      <w:r>
        <w:t>.</w:t>
      </w:r>
      <w:r w:rsidR="005D2F0A">
        <w:t xml:space="preserve"> </w:t>
      </w:r>
      <w:r w:rsidR="009A7622">
        <w:t>Na jedné z kartiček byl</w:t>
      </w:r>
      <w:r w:rsidR="00AB3EB1">
        <w:t xml:space="preserve">o zadání </w:t>
      </w:r>
      <w:r w:rsidR="009A7622">
        <w:t>problémov</w:t>
      </w:r>
      <w:r w:rsidR="00AB3EB1">
        <w:t>é</w:t>
      </w:r>
      <w:r w:rsidR="009A7622">
        <w:t xml:space="preserve"> učební úloh</w:t>
      </w:r>
      <w:r w:rsidR="00AB3EB1">
        <w:t>y tematizující vztah mezi reliéfem a podnebím</w:t>
      </w:r>
      <w:r w:rsidR="009A7622">
        <w:t>.</w:t>
      </w:r>
    </w:p>
    <w:p w:rsidR="006A69FE" w:rsidRDefault="006A69FE" w:rsidP="00426E58">
      <w:pPr>
        <w:spacing w:after="120" w:line="276" w:lineRule="auto"/>
      </w:pPr>
    </w:p>
    <w:p w:rsidR="006A69FE" w:rsidRPr="00220984" w:rsidRDefault="006A69FE" w:rsidP="00426E58">
      <w:pPr>
        <w:spacing w:after="120" w:line="276" w:lineRule="auto"/>
        <w:rPr>
          <w:b/>
        </w:rPr>
      </w:pPr>
      <w:r w:rsidRPr="003A151D">
        <w:t xml:space="preserve">Přepis části vyučovací </w:t>
      </w:r>
      <w:r w:rsidRPr="00DB39AD">
        <w:t xml:space="preserve">hodiny </w:t>
      </w:r>
      <w:r>
        <w:t>(U – učitel, Ž – žák, ŽŽ – žáci)</w:t>
      </w:r>
    </w:p>
    <w:p w:rsidR="006A69FE" w:rsidRDefault="006A69FE" w:rsidP="00426E58">
      <w:pPr>
        <w:spacing w:line="276" w:lineRule="auto"/>
        <w:rPr>
          <w:sz w:val="20"/>
        </w:rPr>
      </w:pPr>
      <w:r>
        <w:rPr>
          <w:sz w:val="20"/>
        </w:rPr>
        <w:t xml:space="preserve">D05 12:00 </w:t>
      </w:r>
      <w:r w:rsidR="00287576">
        <w:t>–</w:t>
      </w:r>
      <w:r>
        <w:rPr>
          <w:sz w:val="20"/>
        </w:rPr>
        <w:t xml:space="preserve"> 13:35</w:t>
      </w:r>
    </w:p>
    <w:p w:rsidR="006A69FE" w:rsidRDefault="006A69FE" w:rsidP="006A69FE">
      <w:pPr>
        <w:spacing w:after="120" w:line="276" w:lineRule="auto"/>
      </w:pPr>
    </w:p>
    <w:tbl>
      <w:tblPr>
        <w:tblW w:w="9001" w:type="dxa"/>
        <w:tblBorders>
          <w:top w:val="single" w:sz="4" w:space="0" w:color="auto"/>
          <w:left w:val="single" w:sz="4" w:space="0" w:color="auto"/>
          <w:bottom w:val="single" w:sz="4" w:space="0" w:color="auto"/>
          <w:right w:val="single" w:sz="4" w:space="0" w:color="auto"/>
          <w:insideV w:val="single" w:sz="4" w:space="0" w:color="auto"/>
        </w:tblBorders>
        <w:tblCellMar>
          <w:left w:w="70" w:type="dxa"/>
          <w:right w:w="70" w:type="dxa"/>
        </w:tblCellMar>
        <w:tblLook w:val="0000" w:firstRow="0" w:lastRow="0" w:firstColumn="0" w:lastColumn="0" w:noHBand="0" w:noVBand="0"/>
      </w:tblPr>
      <w:tblGrid>
        <w:gridCol w:w="9001"/>
      </w:tblGrid>
      <w:tr w:rsidR="006A69FE" w:rsidRPr="00162473" w:rsidTr="004874DB">
        <w:tc>
          <w:tcPr>
            <w:tcW w:w="9001" w:type="dxa"/>
          </w:tcPr>
          <w:p w:rsidR="006A69FE" w:rsidRPr="00162473" w:rsidRDefault="006A69FE" w:rsidP="00426E58">
            <w:pPr>
              <w:spacing w:before="20" w:after="20"/>
              <w:rPr>
                <w:sz w:val="20"/>
              </w:rPr>
            </w:pPr>
            <w:r w:rsidRPr="00162473">
              <w:rPr>
                <w:sz w:val="20"/>
              </w:rPr>
              <w:t>U: Tak, Katko, tvoje otázka?</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 xml:space="preserve">Z: </w:t>
            </w:r>
            <w:r w:rsidRPr="00F71D24">
              <w:rPr>
                <w:b/>
                <w:sz w:val="20"/>
              </w:rPr>
              <w:t>Reliéf nemá na podnebí vliv?</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U: Reliéf nemá na podnebí vliv</w:t>
            </w:r>
            <w:r w:rsidR="009A7622">
              <w:rPr>
                <w:sz w:val="20"/>
              </w:rPr>
              <w:t>.</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Z: Co to je?</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ZZ: (smích)</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U: Co to je? Reliéf znamená, že máme na některém území nížiny, na některém máme hory, tedy reliéf je členitost. Takže, věta říká, že máme v nížinách i na horách naprosto stejné počasí.</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Z: Ne.</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 xml:space="preserve">U: Nemáme. Takže ta věta lže. Tak ji </w:t>
            </w:r>
            <w:r>
              <w:rPr>
                <w:sz w:val="20"/>
              </w:rPr>
              <w:t>z</w:t>
            </w:r>
            <w:r w:rsidRPr="00162473">
              <w:rPr>
                <w:sz w:val="20"/>
              </w:rPr>
              <w:t>kus opravit.</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Z: Tak, já nevím, jak to říct. No, na horách sněží a v nížinách je tak nějak teplo.</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U: V nížinách je teplo? V nížinách může pršet.</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Z: No, ale ne nesněží tam tolik</w:t>
            </w:r>
            <w:r>
              <w:rPr>
                <w:sz w:val="20"/>
              </w:rPr>
              <w:t>,</w:t>
            </w:r>
            <w:r w:rsidRPr="00162473">
              <w:rPr>
                <w:sz w:val="20"/>
              </w:rPr>
              <w:t xml:space="preserve"> co na horách.</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U: Dobře. Takže už víme</w:t>
            </w:r>
            <w:r>
              <w:rPr>
                <w:sz w:val="20"/>
              </w:rPr>
              <w:t>,</w:t>
            </w:r>
            <w:r w:rsidRPr="00162473">
              <w:rPr>
                <w:sz w:val="20"/>
              </w:rPr>
              <w:t xml:space="preserve"> jak to bude se srážkami a co s teplotou? Kde bude tepleji na horách nebo v</w:t>
            </w:r>
            <w:r>
              <w:rPr>
                <w:sz w:val="20"/>
              </w:rPr>
              <w:t> </w:t>
            </w:r>
            <w:r w:rsidRPr="00162473">
              <w:rPr>
                <w:sz w:val="20"/>
              </w:rPr>
              <w:t>nížinách</w:t>
            </w:r>
            <w:r>
              <w:rPr>
                <w:sz w:val="20"/>
              </w:rPr>
              <w:t>?</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Z: Na horách?</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U: Na horách bude tepleji?</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Z: Ne. To je blbost.</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 xml:space="preserve">Z2: Máme Einsteina, máme </w:t>
            </w:r>
            <w:r w:rsidR="00AB3EB1" w:rsidRPr="00162473">
              <w:rPr>
                <w:sz w:val="20"/>
              </w:rPr>
              <w:t>nov</w:t>
            </w:r>
            <w:r w:rsidR="00AB3EB1">
              <w:rPr>
                <w:sz w:val="20"/>
              </w:rPr>
              <w:t>é</w:t>
            </w:r>
            <w:r w:rsidR="00AB3EB1" w:rsidRPr="00162473">
              <w:rPr>
                <w:sz w:val="20"/>
              </w:rPr>
              <w:t>ho</w:t>
            </w:r>
            <w:r w:rsidRPr="00162473">
              <w:rPr>
                <w:sz w:val="20"/>
              </w:rPr>
              <w:t xml:space="preserve"> Einsteina.</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Z: V nížinách.</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U: Tak kde bude?</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Z: V nížinách.</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U: V nížinách bude tepleji. Takže obecně, to byla tuším Honzova otázečka. Když stoupám s nadmořskou výškou, tak se teplota?</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Z2: Snižuje.</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U: Snižuje, ale přibývá?</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Z: Ehm, hustota.</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U: Hustota žádná nepřibývá, to jdete do fyziky. Přibývá množství?</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Z2: Kyslíku.</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U:</w:t>
            </w:r>
            <w:r>
              <w:rPr>
                <w:sz w:val="20"/>
              </w:rPr>
              <w:t xml:space="preserve"> </w:t>
            </w:r>
            <w:r w:rsidRPr="00162473">
              <w:rPr>
                <w:sz w:val="20"/>
              </w:rPr>
              <w:t>S-R-Á-Ž-E-K. Na horách je chladněji, ale víc prší, v nížinách je tepleji, ale méně prší.</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Z: Zas víc sněží na vrcholech.</w:t>
            </w:r>
          </w:p>
        </w:tc>
      </w:tr>
      <w:tr w:rsidR="006A69FE" w:rsidRPr="00162473" w:rsidTr="004874DB">
        <w:tc>
          <w:tcPr>
            <w:tcW w:w="9001" w:type="dxa"/>
          </w:tcPr>
          <w:p w:rsidR="006A69FE" w:rsidRPr="00162473" w:rsidRDefault="006A69FE" w:rsidP="00426E58">
            <w:pPr>
              <w:spacing w:before="20" w:after="20"/>
              <w:rPr>
                <w:sz w:val="20"/>
              </w:rPr>
            </w:pPr>
            <w:r w:rsidRPr="00162473">
              <w:rPr>
                <w:sz w:val="20"/>
              </w:rPr>
              <w:t>U: Na horách sněží, ale může i pršet. V létě tam nesněží.</w:t>
            </w:r>
          </w:p>
        </w:tc>
      </w:tr>
    </w:tbl>
    <w:p w:rsidR="006A69FE" w:rsidRDefault="006A69FE" w:rsidP="006A69FE">
      <w:pPr>
        <w:spacing w:after="120" w:line="276" w:lineRule="auto"/>
        <w:jc w:val="both"/>
      </w:pPr>
    </w:p>
    <w:p w:rsidR="006A69FE" w:rsidRDefault="00A50DC5" w:rsidP="006A69FE">
      <w:pPr>
        <w:spacing w:after="120" w:line="276" w:lineRule="auto"/>
        <w:jc w:val="both"/>
      </w:pPr>
      <w:r w:rsidRPr="004874DB">
        <w:rPr>
          <w:i/>
        </w:rPr>
        <w:t>Analýza:</w:t>
      </w:r>
      <w:r>
        <w:rPr>
          <w:b/>
        </w:rPr>
        <w:t xml:space="preserve"> </w:t>
      </w:r>
      <w:r w:rsidR="006A69FE">
        <w:t xml:space="preserve">Problémová učební úloha, se kterou jsou žáci konfrontováni, by v ideálním případě měla následující zadání: </w:t>
      </w:r>
      <w:r w:rsidR="009A7622" w:rsidRPr="009A7622">
        <w:rPr>
          <w:i/>
        </w:rPr>
        <w:t>Existuje vztah mezi reliéfem a podnebím?</w:t>
      </w:r>
      <w:r w:rsidR="009A7622">
        <w:t xml:space="preserve"> Případně </w:t>
      </w:r>
      <w:r w:rsidR="006A69FE" w:rsidRPr="009A7622">
        <w:rPr>
          <w:i/>
        </w:rPr>
        <w:t>Jaký je vztah mezi reliéfem a podnebím?</w:t>
      </w:r>
      <w:r w:rsidR="006A69FE">
        <w:t xml:space="preserve"> </w:t>
      </w:r>
      <w:r w:rsidR="006422BC">
        <w:t>Takto zadaná učební úloha se v dimenzi systémovosti nachází ve druhé úrovni, nebo</w:t>
      </w:r>
      <w:r w:rsidR="005D18CC">
        <w:t xml:space="preserve">ť po žácích vyžaduje porozumění </w:t>
      </w:r>
      <w:r w:rsidR="005D18CC" w:rsidRPr="005D18CC">
        <w:t>vztahům a souvislostem mezi jednotlivými prvky systému</w:t>
      </w:r>
      <w:r w:rsidR="005D18CC">
        <w:t xml:space="preserve"> </w:t>
      </w:r>
      <w:r w:rsidR="005D18CC" w:rsidRPr="005D18CC">
        <w:t>(</w:t>
      </w:r>
      <w:r w:rsidR="005D18CC" w:rsidRPr="005D18CC">
        <w:rPr>
          <w:i/>
        </w:rPr>
        <w:t>Na horách je chladněji, ale víc prší, v nížinách je tepleji, ale méně prší.</w:t>
      </w:r>
      <w:r w:rsidR="005D18CC" w:rsidRPr="005D18CC">
        <w:t>)</w:t>
      </w:r>
      <w:r w:rsidR="005D18CC">
        <w:t xml:space="preserve">. </w:t>
      </w:r>
      <w:r w:rsidR="0085052B">
        <w:t xml:space="preserve">Komplexitu učební úlohy je možné taktéž přiřadit do </w:t>
      </w:r>
      <w:r w:rsidR="004D0CAE">
        <w:t>střední</w:t>
      </w:r>
      <w:r w:rsidR="0085052B">
        <w:t xml:space="preserve"> úrovně, neboť učební úloha akcentuje požadavek na znalost určitého pravidla.</w:t>
      </w:r>
      <w:r w:rsidR="004D0CAE">
        <w:t xml:space="preserve"> Z hlediska náročnosti </w:t>
      </w:r>
      <w:r w:rsidR="00B8294C">
        <w:t xml:space="preserve">učební úloha reprezentuje </w:t>
      </w:r>
      <w:r w:rsidR="003363EE">
        <w:t xml:space="preserve">úroveň II, neboť obsahuje </w:t>
      </w:r>
      <w:r w:rsidR="00B8294C">
        <w:t>požadavek na analýzu</w:t>
      </w:r>
      <w:r w:rsidR="004D0CAE" w:rsidRPr="004D0CAE">
        <w:t xml:space="preserve"> </w:t>
      </w:r>
      <w:r w:rsidR="00B8294C">
        <w:t xml:space="preserve">a následnou syntézu </w:t>
      </w:r>
      <w:r w:rsidR="004D0CAE" w:rsidRPr="004D0CAE">
        <w:t>znám</w:t>
      </w:r>
      <w:r w:rsidR="00B8294C">
        <w:t>ých</w:t>
      </w:r>
      <w:r w:rsidR="004D0CAE" w:rsidRPr="004D0CAE">
        <w:t xml:space="preserve"> geografick</w:t>
      </w:r>
      <w:r w:rsidR="00B8294C">
        <w:t>ých</w:t>
      </w:r>
      <w:r w:rsidR="004D0CAE" w:rsidRPr="004D0CAE">
        <w:t xml:space="preserve"> obsah</w:t>
      </w:r>
      <w:r w:rsidR="00B8294C">
        <w:t>ů (</w:t>
      </w:r>
      <w:r w:rsidR="009A1569">
        <w:t>souvislost mezi typy reliéfu a vlastnostmi klimatických prvků – zejména s</w:t>
      </w:r>
      <w:r w:rsidR="003363EE">
        <w:t>rážkami a teplotou</w:t>
      </w:r>
      <w:r w:rsidR="009A1569">
        <w:t>).</w:t>
      </w:r>
    </w:p>
    <w:p w:rsidR="006A69FE" w:rsidRDefault="003363EE" w:rsidP="006A69FE">
      <w:pPr>
        <w:spacing w:line="276" w:lineRule="auto"/>
        <w:jc w:val="both"/>
      </w:pPr>
      <w:r>
        <w:rPr>
          <w:i/>
        </w:rPr>
        <w:t>Shrnující k</w:t>
      </w:r>
      <w:r w:rsidRPr="00C01C4E">
        <w:rPr>
          <w:i/>
        </w:rPr>
        <w:t>omentář výzkumníka:</w:t>
      </w:r>
      <w:r w:rsidRPr="00F57FED">
        <w:t xml:space="preserve"> </w:t>
      </w:r>
      <w:r w:rsidR="008E06E0">
        <w:t xml:space="preserve">Z ukázky je patrné, že učitel poskytuje žákům dostatek času k řešení učební úlohy, přesto jsou odpovědi žáků nepřesné. Úloha </w:t>
      </w:r>
      <w:r w:rsidR="008E06E0" w:rsidRPr="00A010C2">
        <w:t>učitele je obtížná v tom, že žákům musí dát prostředky, resp. je navést správným směrem, ale nenabízet řešení. Otevřená učební úloha byla ve výuce redukována na dvě uzavřené učební úlohy zacílené vždy na jeden konkrétní postup/řešení. Vysoký potenciál úlohy týkající se procesu řešení problémů byl snížen, neboť učitel návodně žáky seznamuje se vším, co je k řešení úlohy nutné. Odpověď žáci získají čtením didaktických indicií</w:t>
      </w:r>
      <w:r w:rsidR="008E06E0">
        <w:t xml:space="preserve">, </w:t>
      </w:r>
      <w:r w:rsidR="006422BC">
        <w:t>nikoli</w:t>
      </w:r>
      <w:r w:rsidR="008E06E0" w:rsidRPr="00A010C2">
        <w:t xml:space="preserve"> vlastní kognitivní aktivizací při řešení úlohy. Ukázka</w:t>
      </w:r>
      <w:r w:rsidR="008E06E0">
        <w:t xml:space="preserve"> dokumentuje náročnost úlohy učitele, neboť ne každý učitel dokáže vytvořit didaktické napětí mezi kognitivní aktivizací žáků a jejich kognitivní rezignací projevující se v bezmyšlenkovitou hru „hádej, co má učitel na mysli“. </w:t>
      </w:r>
      <w:r w:rsidR="006A69FE" w:rsidRPr="00C05860">
        <w:rPr>
          <w:bCs/>
        </w:rPr>
        <w:t xml:space="preserve">Ukázka je zajímavá </w:t>
      </w:r>
      <w:r w:rsidR="008E06E0">
        <w:rPr>
          <w:bCs/>
        </w:rPr>
        <w:t>také</w:t>
      </w:r>
      <w:r w:rsidR="006A69FE" w:rsidRPr="00C05860">
        <w:rPr>
          <w:bCs/>
        </w:rPr>
        <w:t xml:space="preserve"> tím, že demonstruje, jak problémové učební úlohy </w:t>
      </w:r>
      <w:r w:rsidR="006A69FE">
        <w:rPr>
          <w:bCs/>
        </w:rPr>
        <w:t xml:space="preserve">poměrně přirozeně umožňují mezipředmětový transfer. Učitel pochopitelně může možnost transferu využít, ale také nemusí. V dané ukázce učitel upozornil, že téma souvisí se vzdělávacím obsahem fyziky, nicméně se rozhodl fyzikálním zákonitostem ovlivňujícím tlak vzduchu se dále nevěnovat. Důvodem patrně bylo, že žáci neprokázali dostatečné porozumění geografickým aspektům zkoumané problematiky (souvislost mezi nadmořskou výškou, teplotami a srážkami). Znalost fyzikálních souvislostí není nezbytně nutná pro řešení nastolené učební úlohy, ačkoli by prospěla hlubšímu porozumění učiva. Pokud problematiku hustoty vzduchu vztáhneme k počasí, může se ukázat, že komplexita vzdělávacího obsahu přesáhne reálné kognitivní možnosti žáků. Klasické fyzikální pravidlo udává, že s rostoucí nadmořskou výškou se </w:t>
      </w:r>
      <w:r w:rsidR="006A69FE" w:rsidRPr="00C05860">
        <w:rPr>
          <w:bCs/>
        </w:rPr>
        <w:t xml:space="preserve">atmosférický tlak </w:t>
      </w:r>
      <w:r w:rsidR="006A69FE">
        <w:rPr>
          <w:bCs/>
        </w:rPr>
        <w:t>snižuje a teplota vzduchu klesá. Zároveň je ale třeba mít na paměti, že z</w:t>
      </w:r>
      <w:r w:rsidR="006A69FE" w:rsidRPr="00C05860">
        <w:t xml:space="preserve">výší-li se teplota vzduchu, klesne jeho hustota. </w:t>
      </w:r>
      <w:r w:rsidR="006A69FE">
        <w:t>Tato skutečnost by vyžadovala revizi cílů vyučovací hodiny, neboť řešení vstupní učební úlohy by otevřelo relativně složitý didaktický problém. Na počasí i hustotu vzduchu má do jisté míry vliv jeho tlak způsobený planetární cirkulací atmosféry.</w:t>
      </w:r>
    </w:p>
    <w:p w:rsidR="006A69FE" w:rsidRDefault="006A69FE" w:rsidP="006A69FE">
      <w:pPr>
        <w:spacing w:line="276" w:lineRule="auto"/>
        <w:jc w:val="both"/>
      </w:pPr>
    </w:p>
    <w:p w:rsidR="00F52CAA" w:rsidRPr="00260F34" w:rsidRDefault="00F52CAA" w:rsidP="00F52CAA">
      <w:pPr>
        <w:pStyle w:val="Nadpis3"/>
      </w:pPr>
      <w:bookmarkStart w:id="111" w:name="_Toc399775439"/>
      <w:r w:rsidRPr="00260F34">
        <w:t xml:space="preserve">Výuková situace č. </w:t>
      </w:r>
      <w:r w:rsidR="0091453C">
        <w:t>3</w:t>
      </w:r>
      <w:r w:rsidRPr="00260F34">
        <w:t>: Vzduchové hmoty</w:t>
      </w:r>
      <w:r w:rsidR="00655765">
        <w:t xml:space="preserve"> a jejich vliv na počasí</w:t>
      </w:r>
      <w:bookmarkEnd w:id="111"/>
    </w:p>
    <w:p w:rsidR="00F52CAA" w:rsidRDefault="004874DB" w:rsidP="00142018">
      <w:pPr>
        <w:spacing w:after="120" w:line="276" w:lineRule="auto"/>
        <w:jc w:val="both"/>
      </w:pPr>
      <w:r w:rsidRPr="004874DB">
        <w:rPr>
          <w:i/>
        </w:rPr>
        <w:t>Anotace:</w:t>
      </w:r>
      <w:r>
        <w:rPr>
          <w:b/>
        </w:rPr>
        <w:t xml:space="preserve"> </w:t>
      </w:r>
      <w:r w:rsidR="00F52CAA">
        <w:t xml:space="preserve">Výuková situace se odehrála </w:t>
      </w:r>
      <w:r w:rsidR="00924AEC">
        <w:t xml:space="preserve">na začátku </w:t>
      </w:r>
      <w:r w:rsidR="00F52CAA">
        <w:t>vyučovací hodin</w:t>
      </w:r>
      <w:r w:rsidR="00924AEC">
        <w:t>y</w:t>
      </w:r>
      <w:r w:rsidR="00F52CAA">
        <w:t xml:space="preserve">, která </w:t>
      </w:r>
      <w:r w:rsidR="00C94932">
        <w:t>uzavírala</w:t>
      </w:r>
      <w:r w:rsidR="00924AEC">
        <w:t xml:space="preserve"> t</w:t>
      </w:r>
      <w:r w:rsidR="00C94932">
        <w:t>ematický celek učiva věnovaný</w:t>
      </w:r>
      <w:r w:rsidR="00924AEC">
        <w:t xml:space="preserve"> podnebí Česka. Žáci dostali v předchozí vyučovací hodině věnované </w:t>
      </w:r>
      <w:r w:rsidR="00143F85">
        <w:t xml:space="preserve">částečně podnebí a </w:t>
      </w:r>
      <w:r w:rsidR="00AB3EB1">
        <w:t>částečně</w:t>
      </w:r>
      <w:r w:rsidR="00143F85">
        <w:t xml:space="preserve"> </w:t>
      </w:r>
      <w:r w:rsidR="00924AEC">
        <w:t>vodstvu Česka</w:t>
      </w:r>
      <w:r w:rsidR="006022B8">
        <w:t xml:space="preserve"> za</w:t>
      </w:r>
      <w:r w:rsidR="00924AEC">
        <w:t xml:space="preserve"> domácí úkol</w:t>
      </w:r>
      <w:r w:rsidR="006022B8">
        <w:t xml:space="preserve"> </w:t>
      </w:r>
      <w:r w:rsidR="007739B4">
        <w:t>překresl</w:t>
      </w:r>
      <w:r w:rsidR="006022B8">
        <w:t>it</w:t>
      </w:r>
      <w:r w:rsidR="007739B4">
        <w:t xml:space="preserve"> z učebnice </w:t>
      </w:r>
      <w:r w:rsidR="006022B8">
        <w:t xml:space="preserve">mapu </w:t>
      </w:r>
      <w:r w:rsidR="007739B4">
        <w:t>s vyznačenými vzdušnými hmotami</w:t>
      </w:r>
      <w:r w:rsidR="006022B8">
        <w:t xml:space="preserve"> ovlivňujícími počasí na našem území</w:t>
      </w:r>
      <w:r w:rsidR="00143F85">
        <w:t xml:space="preserve">. </w:t>
      </w:r>
      <w:r w:rsidR="007739B4">
        <w:t xml:space="preserve"> </w:t>
      </w:r>
      <w:r w:rsidR="000169D6">
        <w:t>S</w:t>
      </w:r>
      <w:r w:rsidR="00143F85">
        <w:t xml:space="preserve"> odkazem na </w:t>
      </w:r>
      <w:r w:rsidR="00050F68">
        <w:t xml:space="preserve">žáky zhotovený </w:t>
      </w:r>
      <w:r w:rsidR="00143F85">
        <w:t>mapový náčrt učitel zahájil rozhovor se třídou</w:t>
      </w:r>
      <w:r w:rsidR="00CE4CA3">
        <w:t xml:space="preserve">, ve kterém tematizoval </w:t>
      </w:r>
      <w:r w:rsidR="00324B12">
        <w:t xml:space="preserve">vliv jednotlivých </w:t>
      </w:r>
      <w:r w:rsidR="00CE4CA3">
        <w:t>atmosférick</w:t>
      </w:r>
      <w:r w:rsidR="00324B12">
        <w:t>ých</w:t>
      </w:r>
      <w:r w:rsidR="00CE4CA3">
        <w:t xml:space="preserve"> vzduchov</w:t>
      </w:r>
      <w:r w:rsidR="00324B12">
        <w:t>ých</w:t>
      </w:r>
      <w:r w:rsidR="00CE4CA3">
        <w:t xml:space="preserve"> hmot</w:t>
      </w:r>
      <w:r w:rsidR="00324B12">
        <w:t xml:space="preserve"> na aktuální počasí</w:t>
      </w:r>
      <w:r w:rsidR="00143F85">
        <w:t xml:space="preserve">. </w:t>
      </w:r>
    </w:p>
    <w:p w:rsidR="00CE4CA3" w:rsidRDefault="00CE4CA3" w:rsidP="00965B99">
      <w:pPr>
        <w:spacing w:after="120" w:line="276" w:lineRule="auto"/>
        <w:rPr>
          <w:b/>
        </w:rPr>
      </w:pPr>
    </w:p>
    <w:p w:rsidR="00F52CAA" w:rsidRPr="00220984" w:rsidRDefault="00F52CAA" w:rsidP="00965B99">
      <w:pPr>
        <w:spacing w:after="120" w:line="276" w:lineRule="auto"/>
        <w:rPr>
          <w:b/>
        </w:rPr>
      </w:pPr>
      <w:r w:rsidRPr="003A151D">
        <w:t xml:space="preserve">Přepis části vyučovací </w:t>
      </w:r>
      <w:r w:rsidRPr="00DB39AD">
        <w:t xml:space="preserve">hodiny </w:t>
      </w:r>
      <w:r>
        <w:t>(U – učitel, Ž – žák, ŽŽ – žáci)</w:t>
      </w:r>
    </w:p>
    <w:p w:rsidR="00F52CAA" w:rsidRDefault="00F52CAA" w:rsidP="00965B99">
      <w:pPr>
        <w:spacing w:after="120" w:line="276" w:lineRule="auto"/>
      </w:pPr>
      <w:r>
        <w:rPr>
          <w:sz w:val="20"/>
        </w:rPr>
        <w:t xml:space="preserve">F07 04:45 </w:t>
      </w:r>
      <w:r w:rsidR="00287576">
        <w:t>–</w:t>
      </w:r>
      <w:r>
        <w:rPr>
          <w:sz w:val="20"/>
        </w:rPr>
        <w:t xml:space="preserve"> 06:30</w:t>
      </w:r>
    </w:p>
    <w:tbl>
      <w:tblPr>
        <w:tblW w:w="8789" w:type="dxa"/>
        <w:tblInd w:w="212" w:type="dxa"/>
        <w:tblBorders>
          <w:top w:val="single" w:sz="4" w:space="0" w:color="auto"/>
          <w:left w:val="single" w:sz="4" w:space="0" w:color="auto"/>
          <w:bottom w:val="single" w:sz="4" w:space="0" w:color="auto"/>
          <w:right w:val="single" w:sz="4" w:space="0" w:color="auto"/>
          <w:insideV w:val="single" w:sz="4" w:space="0" w:color="auto"/>
        </w:tblBorders>
        <w:tblCellMar>
          <w:left w:w="70" w:type="dxa"/>
          <w:right w:w="70" w:type="dxa"/>
        </w:tblCellMar>
        <w:tblLook w:val="0000" w:firstRow="0" w:lastRow="0" w:firstColumn="0" w:lastColumn="0" w:noHBand="0" w:noVBand="0"/>
      </w:tblPr>
      <w:tblGrid>
        <w:gridCol w:w="8789"/>
      </w:tblGrid>
      <w:tr w:rsidR="00F52CAA" w:rsidTr="007439EB">
        <w:tc>
          <w:tcPr>
            <w:tcW w:w="8789" w:type="dxa"/>
          </w:tcPr>
          <w:p w:rsidR="00F52CAA" w:rsidRPr="00965B99" w:rsidRDefault="00F52CAA" w:rsidP="00426E58">
            <w:pPr>
              <w:spacing w:before="20" w:after="20"/>
              <w:rPr>
                <w:sz w:val="20"/>
              </w:rPr>
            </w:pPr>
            <w:r w:rsidRPr="00965B99">
              <w:rPr>
                <w:sz w:val="20"/>
              </w:rPr>
              <w:t xml:space="preserve">U: Víte dobře, že v neděli a v pondělí poměrně dost sněžilo. Když se podíváte, psali jste si domácí úkol, měli jste si udělat mapku a udělat si vzdušné hmoty, které ovlivňují podnebí u nás. Logicky, děcka, selským rozumem, </w:t>
            </w:r>
            <w:r w:rsidRPr="00965B99">
              <w:rPr>
                <w:b/>
                <w:sz w:val="20"/>
              </w:rPr>
              <w:t>chci, abyste mi řekli</w:t>
            </w:r>
            <w:r w:rsidRPr="00965B99">
              <w:rPr>
                <w:sz w:val="20"/>
              </w:rPr>
              <w:t xml:space="preserve">, odkud musel, </w:t>
            </w:r>
            <w:r w:rsidRPr="00965B99">
              <w:rPr>
                <w:b/>
                <w:sz w:val="20"/>
              </w:rPr>
              <w:t>která ta fronta, nebo vzdušná hmota sem musela přijít, aby u nás sněžilo</w:t>
            </w:r>
            <w:r w:rsidRPr="00965B99">
              <w:rPr>
                <w:sz w:val="20"/>
              </w:rPr>
              <w:t>. Podívejte se do toho a řekněte. Klidně se podívejte na ten obrázek, co jste si tam kreslili. Jenom stačí, abyste k tomu použili selský rozum, logiku.</w:t>
            </w:r>
          </w:p>
        </w:tc>
      </w:tr>
      <w:tr w:rsidR="00F52CAA" w:rsidTr="007439EB">
        <w:tc>
          <w:tcPr>
            <w:tcW w:w="8789" w:type="dxa"/>
          </w:tcPr>
          <w:p w:rsidR="00F52CAA" w:rsidRPr="00965B99" w:rsidRDefault="00F52CAA" w:rsidP="00426E58">
            <w:pPr>
              <w:spacing w:before="20" w:after="20"/>
              <w:rPr>
                <w:sz w:val="20"/>
              </w:rPr>
            </w:pPr>
            <w:r w:rsidRPr="00965B99">
              <w:rPr>
                <w:sz w:val="20"/>
              </w:rPr>
              <w:t>Z: Jihozápadní.</w:t>
            </w:r>
          </w:p>
        </w:tc>
      </w:tr>
      <w:tr w:rsidR="00F52CAA" w:rsidTr="007439EB">
        <w:tc>
          <w:tcPr>
            <w:tcW w:w="8789" w:type="dxa"/>
          </w:tcPr>
          <w:p w:rsidR="00F52CAA" w:rsidRPr="00965B99" w:rsidRDefault="00F52CAA" w:rsidP="00426E58">
            <w:pPr>
              <w:spacing w:before="20" w:after="20"/>
              <w:rPr>
                <w:sz w:val="20"/>
              </w:rPr>
            </w:pPr>
            <w:r w:rsidRPr="00965B99">
              <w:rPr>
                <w:sz w:val="20"/>
              </w:rPr>
              <w:t>U: Právě, že ne</w:t>
            </w:r>
            <w:r w:rsidR="00AB3EB1">
              <w:rPr>
                <w:sz w:val="20"/>
              </w:rPr>
              <w:t>,</w:t>
            </w:r>
            <w:r w:rsidRPr="00965B99">
              <w:rPr>
                <w:sz w:val="20"/>
              </w:rPr>
              <w:t xml:space="preserve"> Dane</w:t>
            </w:r>
            <w:r w:rsidR="00AB3EB1">
              <w:rPr>
                <w:sz w:val="20"/>
              </w:rPr>
              <w:t>.</w:t>
            </w:r>
            <w:r w:rsidRPr="00965B99">
              <w:rPr>
                <w:sz w:val="20"/>
              </w:rPr>
              <w:t xml:space="preserve"> </w:t>
            </w:r>
            <w:r w:rsidR="00AB3EB1">
              <w:rPr>
                <w:sz w:val="20"/>
              </w:rPr>
              <w:t>K</w:t>
            </w:r>
            <w:r w:rsidRPr="00965B99">
              <w:rPr>
                <w:sz w:val="20"/>
              </w:rPr>
              <w:t>dyby byl jihozápadní.</w:t>
            </w:r>
          </w:p>
        </w:tc>
      </w:tr>
      <w:tr w:rsidR="00F52CAA" w:rsidTr="007439EB">
        <w:tc>
          <w:tcPr>
            <w:tcW w:w="8789" w:type="dxa"/>
          </w:tcPr>
          <w:p w:rsidR="00F52CAA" w:rsidRPr="00965B99" w:rsidRDefault="00F52CAA" w:rsidP="00426E58">
            <w:pPr>
              <w:spacing w:before="20" w:after="20"/>
              <w:rPr>
                <w:sz w:val="20"/>
              </w:rPr>
            </w:pPr>
            <w:r w:rsidRPr="00965B99">
              <w:rPr>
                <w:sz w:val="20"/>
              </w:rPr>
              <w:t>Z: Severní.</w:t>
            </w:r>
          </w:p>
        </w:tc>
      </w:tr>
      <w:tr w:rsidR="00F52CAA" w:rsidTr="007439EB">
        <w:tc>
          <w:tcPr>
            <w:tcW w:w="8789" w:type="dxa"/>
          </w:tcPr>
          <w:p w:rsidR="00F52CAA" w:rsidRPr="00965B99" w:rsidRDefault="00F52CAA" w:rsidP="00426E58">
            <w:pPr>
              <w:spacing w:before="20" w:after="20"/>
              <w:rPr>
                <w:sz w:val="20"/>
              </w:rPr>
            </w:pPr>
            <w:r w:rsidRPr="00965B99">
              <w:rPr>
                <w:sz w:val="20"/>
              </w:rPr>
              <w:t>U: Moment, Dan, tvrdí, že jihozápadní. Má částečně pravdu, od západu by to byly srážky, ale od jihozápadu by u nás asi pršelo, protože tam je teplo, takže?</w:t>
            </w:r>
          </w:p>
        </w:tc>
      </w:tr>
      <w:tr w:rsidR="00F52CAA" w:rsidTr="007439EB">
        <w:tc>
          <w:tcPr>
            <w:tcW w:w="8789" w:type="dxa"/>
          </w:tcPr>
          <w:p w:rsidR="00F52CAA" w:rsidRPr="00965B99" w:rsidRDefault="00F52CAA" w:rsidP="00426E58">
            <w:pPr>
              <w:spacing w:before="20" w:after="20"/>
              <w:rPr>
                <w:sz w:val="20"/>
              </w:rPr>
            </w:pPr>
            <w:r w:rsidRPr="00965B99">
              <w:rPr>
                <w:sz w:val="20"/>
              </w:rPr>
              <w:t>Z: Na severu.</w:t>
            </w:r>
          </w:p>
        </w:tc>
      </w:tr>
      <w:tr w:rsidR="00F52CAA" w:rsidTr="007439EB">
        <w:tc>
          <w:tcPr>
            <w:tcW w:w="8789" w:type="dxa"/>
          </w:tcPr>
          <w:p w:rsidR="00F52CAA" w:rsidRPr="00965B99" w:rsidRDefault="00F52CAA" w:rsidP="00426E58">
            <w:pPr>
              <w:spacing w:before="20" w:after="20"/>
              <w:rPr>
                <w:sz w:val="20"/>
              </w:rPr>
            </w:pPr>
            <w:r w:rsidRPr="00965B99">
              <w:rPr>
                <w:sz w:val="20"/>
              </w:rPr>
              <w:t>U: Severo?</w:t>
            </w:r>
          </w:p>
        </w:tc>
      </w:tr>
      <w:tr w:rsidR="00F52CAA" w:rsidTr="007439EB">
        <w:tc>
          <w:tcPr>
            <w:tcW w:w="8789" w:type="dxa"/>
          </w:tcPr>
          <w:p w:rsidR="00F52CAA" w:rsidRPr="00965B99" w:rsidRDefault="00F52CAA" w:rsidP="00426E58">
            <w:pPr>
              <w:spacing w:before="20" w:after="20"/>
              <w:rPr>
                <w:sz w:val="20"/>
              </w:rPr>
            </w:pPr>
            <w:r w:rsidRPr="00965B99">
              <w:rPr>
                <w:sz w:val="20"/>
              </w:rPr>
              <w:t>Z: Východu.</w:t>
            </w:r>
          </w:p>
        </w:tc>
      </w:tr>
      <w:tr w:rsidR="00F52CAA" w:rsidTr="007439EB">
        <w:tc>
          <w:tcPr>
            <w:tcW w:w="8789" w:type="dxa"/>
          </w:tcPr>
          <w:p w:rsidR="00F52CAA" w:rsidRPr="00965B99" w:rsidRDefault="00F52CAA" w:rsidP="00426E58">
            <w:pPr>
              <w:spacing w:before="20" w:after="20"/>
              <w:rPr>
                <w:sz w:val="20"/>
              </w:rPr>
            </w:pPr>
            <w:r w:rsidRPr="00965B99">
              <w:rPr>
                <w:sz w:val="20"/>
              </w:rPr>
              <w:t>U: Ne, Zdeňku.</w:t>
            </w:r>
          </w:p>
        </w:tc>
      </w:tr>
      <w:tr w:rsidR="00F52CAA" w:rsidTr="007439EB">
        <w:tc>
          <w:tcPr>
            <w:tcW w:w="8789" w:type="dxa"/>
          </w:tcPr>
          <w:p w:rsidR="00F52CAA" w:rsidRPr="00965B99" w:rsidRDefault="00F52CAA" w:rsidP="00426E58">
            <w:pPr>
              <w:spacing w:before="20" w:after="20"/>
              <w:rPr>
                <w:sz w:val="20"/>
              </w:rPr>
            </w:pPr>
            <w:r w:rsidRPr="00965B99">
              <w:rPr>
                <w:sz w:val="20"/>
              </w:rPr>
              <w:t>Z: Západu.</w:t>
            </w:r>
          </w:p>
        </w:tc>
      </w:tr>
      <w:tr w:rsidR="00F52CAA" w:rsidTr="007439EB">
        <w:tc>
          <w:tcPr>
            <w:tcW w:w="8789" w:type="dxa"/>
          </w:tcPr>
          <w:p w:rsidR="00F52CAA" w:rsidRPr="00965B99" w:rsidRDefault="00F52CAA" w:rsidP="00426E58">
            <w:pPr>
              <w:spacing w:before="20" w:after="20"/>
              <w:rPr>
                <w:sz w:val="20"/>
              </w:rPr>
            </w:pPr>
            <w:r w:rsidRPr="00965B99">
              <w:rPr>
                <w:sz w:val="20"/>
              </w:rPr>
              <w:t xml:space="preserve">U: </w:t>
            </w:r>
            <w:r w:rsidRPr="006C1A66">
              <w:rPr>
                <w:b/>
                <w:sz w:val="20"/>
              </w:rPr>
              <w:t>Proč severozápadní, děcka?</w:t>
            </w:r>
          </w:p>
        </w:tc>
      </w:tr>
      <w:tr w:rsidR="00F52CAA" w:rsidTr="007439EB">
        <w:tc>
          <w:tcPr>
            <w:tcW w:w="8789" w:type="dxa"/>
          </w:tcPr>
          <w:p w:rsidR="00F52CAA" w:rsidRPr="00965B99" w:rsidRDefault="00F52CAA" w:rsidP="00426E58">
            <w:pPr>
              <w:spacing w:before="20" w:after="20"/>
              <w:rPr>
                <w:sz w:val="20"/>
              </w:rPr>
            </w:pPr>
            <w:r w:rsidRPr="00965B99">
              <w:rPr>
                <w:sz w:val="20"/>
              </w:rPr>
              <w:t>Z2: Protože nahoře jsou ledovce.</w:t>
            </w:r>
          </w:p>
        </w:tc>
      </w:tr>
      <w:tr w:rsidR="00F52CAA" w:rsidTr="007439EB">
        <w:tc>
          <w:tcPr>
            <w:tcW w:w="8789" w:type="dxa"/>
          </w:tcPr>
          <w:p w:rsidR="00F52CAA" w:rsidRPr="00965B99" w:rsidRDefault="00F52CAA" w:rsidP="00426E58">
            <w:pPr>
              <w:spacing w:before="20" w:after="20"/>
              <w:rPr>
                <w:sz w:val="20"/>
              </w:rPr>
            </w:pPr>
            <w:r w:rsidRPr="00965B99">
              <w:rPr>
                <w:sz w:val="20"/>
              </w:rPr>
              <w:t>U: No, řekls to kostrbatě, ale máš pravdu. Západní to, děcka, musí být, protože na západě se nasytí ta vzdušná hmota vodou a v případě severozápadu je tam chladný vzduch, to znamená, že bude sněžit. Ono to je složitější, tady byla oblast tlakov</w:t>
            </w:r>
            <w:r w:rsidR="007F7B6D">
              <w:rPr>
                <w:sz w:val="20"/>
              </w:rPr>
              <w:t>é</w:t>
            </w:r>
            <w:r w:rsidRPr="00965B99">
              <w:rPr>
                <w:sz w:val="20"/>
              </w:rPr>
              <w:t xml:space="preserve"> níže, která tady seděla a ta přinesla špatný počasí, ale když to zjednodušíme, tak je to tak, jak jsme si to před chvilkou řekli.</w:t>
            </w:r>
          </w:p>
        </w:tc>
      </w:tr>
    </w:tbl>
    <w:p w:rsidR="00F52CAA" w:rsidRDefault="00F52CAA" w:rsidP="00965B99">
      <w:pPr>
        <w:spacing w:after="120" w:line="276" w:lineRule="auto"/>
        <w:rPr>
          <w:b/>
        </w:rPr>
      </w:pPr>
    </w:p>
    <w:p w:rsidR="000678C4" w:rsidRDefault="004874DB" w:rsidP="007439EB">
      <w:pPr>
        <w:spacing w:after="120" w:line="276" w:lineRule="auto"/>
        <w:jc w:val="both"/>
      </w:pPr>
      <w:r w:rsidRPr="004874DB">
        <w:rPr>
          <w:i/>
        </w:rPr>
        <w:t>Analýza:</w:t>
      </w:r>
      <w:r>
        <w:rPr>
          <w:b/>
        </w:rPr>
        <w:t xml:space="preserve"> </w:t>
      </w:r>
      <w:r w:rsidR="007D60A9">
        <w:t xml:space="preserve">Na úrovni systémovosti je jádrová učební úloha </w:t>
      </w:r>
      <w:r w:rsidR="00324B12">
        <w:t>(</w:t>
      </w:r>
      <w:r w:rsidR="00324B12" w:rsidRPr="00795262">
        <w:rPr>
          <w:i/>
        </w:rPr>
        <w:t>Která vzduchová hmota sem musela přijít, aby u nás sněžilo?</w:t>
      </w:r>
      <w:r w:rsidR="00324B12">
        <w:t xml:space="preserve">) </w:t>
      </w:r>
      <w:r w:rsidR="007D60A9">
        <w:t xml:space="preserve">přínosná především v tom, že </w:t>
      </w:r>
      <w:r w:rsidR="00795262">
        <w:t xml:space="preserve">z hlediska systémovosti </w:t>
      </w:r>
      <w:r w:rsidR="007D60A9">
        <w:t xml:space="preserve">vyžaduje po žácích </w:t>
      </w:r>
      <w:r w:rsidR="00E935D0">
        <w:t xml:space="preserve">porozumění </w:t>
      </w:r>
      <w:r w:rsidR="00795262">
        <w:t xml:space="preserve">dílčím meteorologickým </w:t>
      </w:r>
      <w:r w:rsidR="00E935D0">
        <w:t>procesům, které ovlivňují počasí na území Česka</w:t>
      </w:r>
      <w:r w:rsidR="00795262">
        <w:t xml:space="preserve"> (úroveň III)</w:t>
      </w:r>
      <w:r w:rsidR="00E935D0">
        <w:t xml:space="preserve">. Zde se jedná především o pochopení vztahu mezi </w:t>
      </w:r>
      <w:r w:rsidR="00856726">
        <w:t xml:space="preserve">tlakem vzduchu, </w:t>
      </w:r>
      <w:r w:rsidR="006C1A66">
        <w:t>prouděním vzduchu</w:t>
      </w:r>
      <w:r w:rsidR="00856726">
        <w:t xml:space="preserve">, </w:t>
      </w:r>
      <w:r w:rsidR="00E935D0">
        <w:t>typem vzduchov</w:t>
      </w:r>
      <w:r w:rsidR="00856726">
        <w:t>ých hmot</w:t>
      </w:r>
      <w:r w:rsidR="00E935D0">
        <w:t xml:space="preserve">, oblastí původu </w:t>
      </w:r>
      <w:r w:rsidR="00856726">
        <w:t xml:space="preserve">vzduchových hmot </w:t>
      </w:r>
      <w:r w:rsidR="00E935D0">
        <w:t xml:space="preserve">a </w:t>
      </w:r>
      <w:r w:rsidR="00AB3EB1">
        <w:t>aktuálním</w:t>
      </w:r>
      <w:r w:rsidR="00856726">
        <w:t xml:space="preserve"> </w:t>
      </w:r>
      <w:r w:rsidR="00E935D0">
        <w:t xml:space="preserve">charakterem počasí. </w:t>
      </w:r>
      <w:r w:rsidR="00265AE8">
        <w:t>Z</w:t>
      </w:r>
      <w:r w:rsidR="007F1CC8">
        <w:t> hlediska k</w:t>
      </w:r>
      <w:r w:rsidR="000678C4">
        <w:t>omplexit</w:t>
      </w:r>
      <w:r w:rsidR="007F1CC8">
        <w:t xml:space="preserve">y se </w:t>
      </w:r>
      <w:r w:rsidR="00265AE8">
        <w:t>j</w:t>
      </w:r>
      <w:r w:rsidR="007F1CC8">
        <w:t xml:space="preserve">edná o učební úlohu, </w:t>
      </w:r>
      <w:r w:rsidR="00265AE8">
        <w:t>v níž by ž</w:t>
      </w:r>
      <w:r w:rsidR="00265AE8" w:rsidRPr="00265AE8">
        <w:t>ák měl prokázat znalost nějakého naučeného pravidla, postupu</w:t>
      </w:r>
      <w:r w:rsidR="00265AE8">
        <w:t xml:space="preserve"> nebo </w:t>
      </w:r>
      <w:r w:rsidR="00265AE8" w:rsidRPr="00265AE8">
        <w:t>vztahu</w:t>
      </w:r>
      <w:r w:rsidR="00265AE8">
        <w:t xml:space="preserve"> (úroveň II)</w:t>
      </w:r>
      <w:r w:rsidR="00265AE8" w:rsidRPr="00265AE8">
        <w:t>.</w:t>
      </w:r>
      <w:r w:rsidR="00265AE8">
        <w:t xml:space="preserve"> </w:t>
      </w:r>
      <w:r w:rsidR="00F53A1F">
        <w:t>Zároveň se jedná o učební úlohu nejvyšší náročnosti</w:t>
      </w:r>
      <w:r w:rsidR="00856726">
        <w:t xml:space="preserve">, </w:t>
      </w:r>
      <w:r w:rsidR="00F53A1F">
        <w:t>neboť žák by měl na základě</w:t>
      </w:r>
      <w:r w:rsidR="00F53A1F" w:rsidRPr="00952E6A">
        <w:t xml:space="preserve"> získaných poznatků</w:t>
      </w:r>
      <w:r w:rsidR="00F53A1F">
        <w:t xml:space="preserve"> </w:t>
      </w:r>
      <w:r w:rsidR="00B50CCD">
        <w:t xml:space="preserve">zdůvodnit správnost </w:t>
      </w:r>
      <w:r w:rsidR="007439EB">
        <w:t xml:space="preserve">jím </w:t>
      </w:r>
      <w:r w:rsidR="00B50CCD">
        <w:t>navrhovaného řešení (úroveň III).</w:t>
      </w:r>
    </w:p>
    <w:p w:rsidR="007439EB" w:rsidRPr="00260F34" w:rsidRDefault="004874DB" w:rsidP="007439EB">
      <w:pPr>
        <w:spacing w:after="120" w:line="276" w:lineRule="auto"/>
        <w:jc w:val="both"/>
      </w:pPr>
      <w:r>
        <w:rPr>
          <w:i/>
        </w:rPr>
        <w:t>Shrnující k</w:t>
      </w:r>
      <w:r w:rsidRPr="00C01C4E">
        <w:rPr>
          <w:i/>
        </w:rPr>
        <w:t>omentář výzkumníka:</w:t>
      </w:r>
      <w:r w:rsidRPr="00F57FED">
        <w:t xml:space="preserve"> </w:t>
      </w:r>
      <w:r w:rsidR="00965B99" w:rsidRPr="007439EB">
        <w:t>Učitel poměrně zdařile elicituje zdůvodňování odpovědí žáků</w:t>
      </w:r>
      <w:r w:rsidR="00340AE0">
        <w:t xml:space="preserve"> (</w:t>
      </w:r>
      <w:r w:rsidR="00AB3EB1">
        <w:rPr>
          <w:i/>
        </w:rPr>
        <w:t>Právě, že ne, Dane.</w:t>
      </w:r>
      <w:r w:rsidR="00340AE0" w:rsidRPr="00340AE0">
        <w:rPr>
          <w:i/>
        </w:rPr>
        <w:t xml:space="preserve"> </w:t>
      </w:r>
      <w:r w:rsidR="00AB3EB1">
        <w:rPr>
          <w:i/>
        </w:rPr>
        <w:t>K</w:t>
      </w:r>
      <w:r w:rsidR="00340AE0" w:rsidRPr="00340AE0">
        <w:rPr>
          <w:i/>
        </w:rPr>
        <w:t>dyby byl jihozápadní…</w:t>
      </w:r>
      <w:r w:rsidR="00340AE0">
        <w:t>)</w:t>
      </w:r>
      <w:r w:rsidR="00965B99" w:rsidRPr="007439EB">
        <w:t xml:space="preserve">. </w:t>
      </w:r>
      <w:r w:rsidR="001B1126">
        <w:t>Zároveň přibližuje žákům pravidla proudění vzdu</w:t>
      </w:r>
      <w:r w:rsidR="00377F5C">
        <w:t>chových</w:t>
      </w:r>
      <w:r w:rsidR="001B1126">
        <w:t xml:space="preserve"> hmot a </w:t>
      </w:r>
      <w:r w:rsidR="00377F5C">
        <w:t xml:space="preserve">s přihlédnutím k jejich charakteristikám </w:t>
      </w:r>
      <w:r w:rsidR="001B1126">
        <w:t xml:space="preserve">propojuje </w:t>
      </w:r>
      <w:r w:rsidR="00050F68">
        <w:t xml:space="preserve">a kontrastuje </w:t>
      </w:r>
      <w:r w:rsidR="001B1126">
        <w:t>svůj výklad s</w:t>
      </w:r>
      <w:r w:rsidR="007439EB" w:rsidRPr="007439EB">
        <w:t xml:space="preserve"> nesprávnými odpověďmi žáků. V reakci na odpovědi žáků učitel opomíjí žákům ponechat více času na uvažování a promýšlení souvislostí mezi jevy</w:t>
      </w:r>
      <w:r w:rsidR="005C3BA6">
        <w:t>, případně jejich zdůvodňování. Reálný potenciál učební úlohy k utváření a rozvíjení kompetence k řešení problémů tak není plně využit.</w:t>
      </w:r>
      <w:r w:rsidR="007439EB" w:rsidRPr="00F52CAA">
        <w:t xml:space="preserve"> </w:t>
      </w:r>
      <w:r w:rsidR="00142018">
        <w:t xml:space="preserve">Za zmínku stojí </w:t>
      </w:r>
      <w:r w:rsidR="00D665EA">
        <w:t>také</w:t>
      </w:r>
      <w:r w:rsidR="00142018">
        <w:t xml:space="preserve"> zdařilá snaha učitele o propojení učiva s každodenním životem</w:t>
      </w:r>
      <w:r w:rsidR="00D665EA">
        <w:t xml:space="preserve"> žáků tím, že upozorňuje </w:t>
      </w:r>
      <w:r w:rsidR="00142018">
        <w:t>na souvislost učiva s aktuálním počasím (</w:t>
      </w:r>
      <w:r w:rsidR="00142018" w:rsidRPr="00340AE0">
        <w:rPr>
          <w:i/>
        </w:rPr>
        <w:t>… v pondělí poměrně dost sněžilo</w:t>
      </w:r>
      <w:r w:rsidR="00340AE0">
        <w:rPr>
          <w:i/>
        </w:rPr>
        <w:t>.</w:t>
      </w:r>
      <w:r w:rsidR="00142018">
        <w:t xml:space="preserve">). Tímto konstatováním </w:t>
      </w:r>
      <w:r w:rsidR="00340AE0">
        <w:t xml:space="preserve">učitel </w:t>
      </w:r>
      <w:r w:rsidR="00142018">
        <w:t xml:space="preserve">usiluje o zdůvodnění relevance učiva u žáků a </w:t>
      </w:r>
      <w:r w:rsidR="00050F68">
        <w:t>zároveň uvozuje</w:t>
      </w:r>
      <w:r w:rsidR="00142018">
        <w:t xml:space="preserve"> opakování učiva týkajícího se vzdušného proudění na území Česka. </w:t>
      </w:r>
    </w:p>
    <w:p w:rsidR="00FD0203" w:rsidRDefault="00FD0203" w:rsidP="003A151D">
      <w:pPr>
        <w:spacing w:after="120" w:line="276" w:lineRule="auto"/>
      </w:pPr>
    </w:p>
    <w:p w:rsidR="00FD0203" w:rsidRPr="00260F34" w:rsidRDefault="00FD0203" w:rsidP="00FD0203">
      <w:pPr>
        <w:pStyle w:val="Nadpis3"/>
      </w:pPr>
      <w:bookmarkStart w:id="112" w:name="_Toc399775440"/>
      <w:r w:rsidRPr="00681C3A">
        <w:t>Výuková</w:t>
      </w:r>
      <w:r w:rsidRPr="00260F34">
        <w:t xml:space="preserve"> </w:t>
      </w:r>
      <w:r w:rsidRPr="00FD0203">
        <w:t>situace</w:t>
      </w:r>
      <w:r w:rsidRPr="00260F34">
        <w:t xml:space="preserve"> č.</w:t>
      </w:r>
      <w:r w:rsidR="0091453C">
        <w:t xml:space="preserve"> 4</w:t>
      </w:r>
      <w:r w:rsidRPr="00260F34">
        <w:t xml:space="preserve">: </w:t>
      </w:r>
      <w:r>
        <w:t>Vodní stav řek</w:t>
      </w:r>
      <w:r w:rsidR="00655765">
        <w:t xml:space="preserve"> a jeho determinanty</w:t>
      </w:r>
      <w:bookmarkEnd w:id="112"/>
    </w:p>
    <w:p w:rsidR="00BE4CC4" w:rsidRPr="004874DB" w:rsidRDefault="005C3BA6" w:rsidP="004874DB">
      <w:pPr>
        <w:spacing w:after="120" w:line="276" w:lineRule="auto"/>
        <w:jc w:val="both"/>
        <w:rPr>
          <w:b/>
        </w:rPr>
      </w:pPr>
      <w:r w:rsidRPr="004874DB">
        <w:rPr>
          <w:i/>
        </w:rPr>
        <w:t>Anotace</w:t>
      </w:r>
      <w:r w:rsidR="004874DB" w:rsidRPr="004874DB">
        <w:rPr>
          <w:i/>
        </w:rPr>
        <w:t>:</w:t>
      </w:r>
      <w:r w:rsidR="004874DB">
        <w:rPr>
          <w:b/>
        </w:rPr>
        <w:t xml:space="preserve"> </w:t>
      </w:r>
      <w:r w:rsidR="00D665EA">
        <w:t xml:space="preserve">Výuková situace se odehrává ve stejné vyučovací hodině jako předchozí </w:t>
      </w:r>
      <w:r w:rsidR="00F80BDD">
        <w:t>výuková situace</w:t>
      </w:r>
      <w:r w:rsidR="0032150D">
        <w:t xml:space="preserve">. Tématem vyučovací hodiny je vodstvo v Česku. Učitel nejprve </w:t>
      </w:r>
      <w:r w:rsidR="005F3BB7">
        <w:t xml:space="preserve">formou rozhovoru se třídou a s pomocí </w:t>
      </w:r>
      <w:r w:rsidR="00363C7F">
        <w:t xml:space="preserve">tabule, </w:t>
      </w:r>
      <w:r w:rsidR="005F3BB7">
        <w:t xml:space="preserve">nástěnné mapy a atlasu vyjmenoval nejdůležitější řeky nacházející se na našem území a jejich nejdůležitější přítoky. </w:t>
      </w:r>
      <w:r w:rsidR="00363C7F">
        <w:t xml:space="preserve">Žáci si souběžně </w:t>
      </w:r>
      <w:r w:rsidR="00602460">
        <w:t>zmiňované informace zapisovali do svých sešitů. Následně učitel otevřel téma vodního stavu řek</w:t>
      </w:r>
      <w:r w:rsidR="00A34004">
        <w:t xml:space="preserve"> v průběhu roku.</w:t>
      </w:r>
      <w:r w:rsidR="00602460">
        <w:t xml:space="preserve"> Nejprve </w:t>
      </w:r>
      <w:r w:rsidR="00A34004">
        <w:t>sám žáky seznámil s determinantami nejvyššího vodního stavu řek v jarních měsících, poté konfrontoval žáky s učební úlohou spočívající v hledání příčin nejnižšího vodního stavu řek v podzimních měsících.</w:t>
      </w:r>
    </w:p>
    <w:p w:rsidR="00FD1285" w:rsidRDefault="00FD1285" w:rsidP="00FD0203"/>
    <w:p w:rsidR="00FD0203" w:rsidRPr="00220984" w:rsidRDefault="00FD0203" w:rsidP="00FD0203">
      <w:pPr>
        <w:rPr>
          <w:b/>
        </w:rPr>
      </w:pPr>
      <w:r w:rsidRPr="003A151D">
        <w:t xml:space="preserve">Přepis části vyučovací </w:t>
      </w:r>
      <w:r w:rsidRPr="00DB39AD">
        <w:t xml:space="preserve">hodiny </w:t>
      </w:r>
      <w:r>
        <w:t>(U – učitel, Ž – žák, ŽŽ – žáci)</w:t>
      </w:r>
    </w:p>
    <w:p w:rsidR="00FD0203" w:rsidRDefault="00FD0203" w:rsidP="00FD0203">
      <w:pPr>
        <w:rPr>
          <w:sz w:val="20"/>
        </w:rPr>
      </w:pPr>
      <w:r>
        <w:rPr>
          <w:sz w:val="20"/>
        </w:rPr>
        <w:t>F07 27:</w:t>
      </w:r>
      <w:r w:rsidR="006B1482">
        <w:rPr>
          <w:sz w:val="20"/>
        </w:rPr>
        <w:t>05</w:t>
      </w:r>
      <w:r>
        <w:rPr>
          <w:sz w:val="20"/>
        </w:rPr>
        <w:t xml:space="preserve"> </w:t>
      </w:r>
      <w:r w:rsidR="00287576">
        <w:t>–</w:t>
      </w:r>
      <w:r>
        <w:rPr>
          <w:sz w:val="20"/>
        </w:rPr>
        <w:t xml:space="preserve"> 29:</w:t>
      </w:r>
      <w:r w:rsidR="006B1482">
        <w:rPr>
          <w:sz w:val="20"/>
        </w:rPr>
        <w:t>3</w:t>
      </w:r>
      <w:r>
        <w:rPr>
          <w:sz w:val="20"/>
        </w:rPr>
        <w:t>0</w:t>
      </w:r>
    </w:p>
    <w:p w:rsidR="007D1EE6" w:rsidRDefault="007D1EE6" w:rsidP="00FD0203">
      <w:pPr>
        <w:rPr>
          <w:sz w:val="20"/>
        </w:rPr>
      </w:pPr>
    </w:p>
    <w:tbl>
      <w:tblPr>
        <w:tblW w:w="8788" w:type="dxa"/>
        <w:tblInd w:w="354" w:type="dxa"/>
        <w:tblBorders>
          <w:top w:val="single" w:sz="4" w:space="0" w:color="auto"/>
          <w:left w:val="single" w:sz="4" w:space="0" w:color="auto"/>
          <w:bottom w:val="single" w:sz="4" w:space="0" w:color="auto"/>
          <w:right w:val="single" w:sz="4" w:space="0" w:color="auto"/>
          <w:insideV w:val="single" w:sz="4" w:space="0" w:color="auto"/>
        </w:tblBorders>
        <w:tblCellMar>
          <w:left w:w="70" w:type="dxa"/>
          <w:right w:w="70" w:type="dxa"/>
        </w:tblCellMar>
        <w:tblLook w:val="0000" w:firstRow="0" w:lastRow="0" w:firstColumn="0" w:lastColumn="0" w:noHBand="0" w:noVBand="0"/>
      </w:tblPr>
      <w:tblGrid>
        <w:gridCol w:w="8788"/>
      </w:tblGrid>
      <w:tr w:rsidR="00FD0203" w:rsidRPr="00E61C77" w:rsidTr="00FD1285">
        <w:tc>
          <w:tcPr>
            <w:tcW w:w="8788" w:type="dxa"/>
          </w:tcPr>
          <w:p w:rsidR="00FD0203" w:rsidRPr="00E61C77" w:rsidRDefault="00FD0203" w:rsidP="00426E58">
            <w:pPr>
              <w:spacing w:before="20" w:after="20"/>
              <w:rPr>
                <w:sz w:val="20"/>
              </w:rPr>
            </w:pPr>
            <w:r w:rsidRPr="00E61C77">
              <w:rPr>
                <w:sz w:val="20"/>
              </w:rPr>
              <w:t>U: Na úvod jsme si říkali, že to vodstvo je ovlivněno mimo jiné i podnebím. Takže v průběhu toho roku se samozřejmě také mění i stav vodní. V množství vody v řece a v okolí. Takže nejvíce vody mají řeky v březnu a dubnu, napište si. Nejvíce vody mají řeky v březnu a dubnu. Nejvíce vody mají řeky v březnu a dubnu. Zase proč, děcka? Zase logicky. Se</w:t>
            </w:r>
            <w:r>
              <w:rPr>
                <w:sz w:val="20"/>
              </w:rPr>
              <w:t xml:space="preserve"> </w:t>
            </w:r>
            <w:r w:rsidRPr="00E61C77">
              <w:rPr>
                <w:sz w:val="20"/>
              </w:rPr>
              <w:t xml:space="preserve">rozpouští ten sníh. Jasně. Napište si do závorky, ať vás pro jistotu ještě jednou trkne. Dochází k tání ledu a nejméně vody samozřejmě, nejméně vody mají na konci léta a na začátku podzimu. </w:t>
            </w:r>
            <w:r w:rsidRPr="0013685E">
              <w:rPr>
                <w:b/>
                <w:sz w:val="20"/>
              </w:rPr>
              <w:t>Nejméně vody mají na konci léta a začátkem podzimu. Opět</w:t>
            </w:r>
            <w:r w:rsidR="00FD1285">
              <w:rPr>
                <w:b/>
                <w:sz w:val="20"/>
              </w:rPr>
              <w:t>,</w:t>
            </w:r>
            <w:r w:rsidRPr="0013685E">
              <w:rPr>
                <w:b/>
                <w:sz w:val="20"/>
              </w:rPr>
              <w:t xml:space="preserve"> logicky</w:t>
            </w:r>
            <w:r w:rsidR="00FD1285">
              <w:rPr>
                <w:b/>
                <w:sz w:val="20"/>
              </w:rPr>
              <w:t>,</w:t>
            </w:r>
            <w:r w:rsidRPr="0013685E">
              <w:rPr>
                <w:b/>
                <w:sz w:val="20"/>
              </w:rPr>
              <w:t xml:space="preserve"> proč?</w:t>
            </w:r>
          </w:p>
        </w:tc>
      </w:tr>
      <w:tr w:rsidR="00FD0203" w:rsidRPr="00E61C77" w:rsidTr="00FD1285">
        <w:tc>
          <w:tcPr>
            <w:tcW w:w="8788" w:type="dxa"/>
          </w:tcPr>
          <w:p w:rsidR="00FD0203" w:rsidRPr="00E61C77" w:rsidRDefault="009A6280" w:rsidP="00426E58">
            <w:pPr>
              <w:spacing w:before="20" w:after="20"/>
              <w:rPr>
                <w:sz w:val="20"/>
              </w:rPr>
            </w:pPr>
            <w:r w:rsidRPr="00E61C77">
              <w:rPr>
                <w:sz w:val="20"/>
              </w:rPr>
              <w:t>ZZ: (…)</w:t>
            </w:r>
          </w:p>
        </w:tc>
      </w:tr>
      <w:tr w:rsidR="00FD0203" w:rsidRPr="00E61C77" w:rsidTr="00FD1285">
        <w:tc>
          <w:tcPr>
            <w:tcW w:w="8788" w:type="dxa"/>
          </w:tcPr>
          <w:p w:rsidR="00FD0203" w:rsidRPr="00E61C77" w:rsidRDefault="00FD0203" w:rsidP="00426E58">
            <w:pPr>
              <w:spacing w:before="20" w:after="20"/>
              <w:rPr>
                <w:sz w:val="20"/>
              </w:rPr>
            </w:pPr>
            <w:r w:rsidRPr="00E61C77">
              <w:rPr>
                <w:sz w:val="20"/>
              </w:rPr>
              <w:t>U: Ještě jednou, Dane, proč?</w:t>
            </w:r>
          </w:p>
        </w:tc>
      </w:tr>
      <w:tr w:rsidR="00FD0203" w:rsidRPr="00E61C77" w:rsidTr="00FD1285">
        <w:tc>
          <w:tcPr>
            <w:tcW w:w="8788" w:type="dxa"/>
          </w:tcPr>
          <w:p w:rsidR="00FD0203" w:rsidRPr="00E61C77" w:rsidRDefault="00FD0203" w:rsidP="00426E58">
            <w:pPr>
              <w:spacing w:before="20" w:after="20"/>
              <w:rPr>
                <w:sz w:val="20"/>
              </w:rPr>
            </w:pPr>
            <w:r w:rsidRPr="00E61C77">
              <w:rPr>
                <w:sz w:val="20"/>
              </w:rPr>
              <w:t>Z: Protože jsou vysušený z léta.</w:t>
            </w:r>
          </w:p>
        </w:tc>
      </w:tr>
      <w:tr w:rsidR="00FD0203" w:rsidRPr="00E61C77" w:rsidTr="00FD1285">
        <w:tc>
          <w:tcPr>
            <w:tcW w:w="8788" w:type="dxa"/>
          </w:tcPr>
          <w:p w:rsidR="00FD0203" w:rsidRPr="00E61C77" w:rsidRDefault="00FD0203" w:rsidP="00426E58">
            <w:pPr>
              <w:spacing w:before="20" w:after="20"/>
              <w:rPr>
                <w:sz w:val="20"/>
              </w:rPr>
            </w:pPr>
            <w:r w:rsidRPr="00E61C77">
              <w:rPr>
                <w:sz w:val="20"/>
              </w:rPr>
              <w:t>U: A Tome? Tuším, tys měl ještě nějaký nápad.</w:t>
            </w:r>
          </w:p>
        </w:tc>
      </w:tr>
      <w:tr w:rsidR="00FD0203" w:rsidRPr="00E61C77" w:rsidTr="00FD1285">
        <w:tc>
          <w:tcPr>
            <w:tcW w:w="8788" w:type="dxa"/>
          </w:tcPr>
          <w:p w:rsidR="00FD0203" w:rsidRPr="00E61C77" w:rsidRDefault="00FD0203" w:rsidP="00426E58">
            <w:pPr>
              <w:spacing w:before="20" w:after="20"/>
              <w:rPr>
                <w:sz w:val="20"/>
              </w:rPr>
            </w:pPr>
            <w:r w:rsidRPr="00E61C77">
              <w:rPr>
                <w:sz w:val="20"/>
              </w:rPr>
              <w:t>Z2: Že se to vypařuje, že je větší teplo.</w:t>
            </w:r>
          </w:p>
        </w:tc>
      </w:tr>
      <w:tr w:rsidR="00FD0203" w:rsidRPr="00E61C77" w:rsidTr="00FD1285">
        <w:tc>
          <w:tcPr>
            <w:tcW w:w="8788" w:type="dxa"/>
          </w:tcPr>
          <w:p w:rsidR="00FD0203" w:rsidRPr="00E61C77" w:rsidRDefault="00FD0203" w:rsidP="00426E58">
            <w:pPr>
              <w:spacing w:before="20" w:after="20"/>
              <w:rPr>
                <w:sz w:val="20"/>
              </w:rPr>
            </w:pPr>
            <w:r w:rsidRPr="00E61C77">
              <w:rPr>
                <w:sz w:val="20"/>
              </w:rPr>
              <w:t>U: Dobrý, to souvisí s tím teplem. Takže správně, napište si do závorky vysoký výpar a ještě tam je jeden faktor. Vysoký výpar, ještě jedna věc tam je. Děcka, v tomto období je zemědělství poměrně náročn</w:t>
            </w:r>
            <w:r w:rsidR="00474C26">
              <w:rPr>
                <w:sz w:val="20"/>
              </w:rPr>
              <w:t>é</w:t>
            </w:r>
            <w:r w:rsidRPr="00E61C77">
              <w:rPr>
                <w:sz w:val="20"/>
              </w:rPr>
              <w:t xml:space="preserve"> na zálivku, takže se odčerpává vlastně těm řekám voda na zalívání. Takže si napište k tomu ještě i zemědělské zálivky.</w:t>
            </w:r>
          </w:p>
        </w:tc>
      </w:tr>
    </w:tbl>
    <w:p w:rsidR="003A151D" w:rsidRDefault="003A151D" w:rsidP="00AB2BC6">
      <w:pPr>
        <w:spacing w:after="120" w:line="276" w:lineRule="auto"/>
      </w:pPr>
    </w:p>
    <w:p w:rsidR="00C01C4E" w:rsidRPr="004874DB" w:rsidRDefault="005C3BA6" w:rsidP="004D5391">
      <w:pPr>
        <w:spacing w:after="120" w:line="276" w:lineRule="auto"/>
        <w:jc w:val="both"/>
        <w:rPr>
          <w:b/>
        </w:rPr>
      </w:pPr>
      <w:r w:rsidRPr="004874DB">
        <w:rPr>
          <w:i/>
        </w:rPr>
        <w:t>Analýza</w:t>
      </w:r>
      <w:r w:rsidR="004874DB" w:rsidRPr="004874DB">
        <w:rPr>
          <w:i/>
        </w:rPr>
        <w:t>:</w:t>
      </w:r>
      <w:r w:rsidR="004874DB">
        <w:rPr>
          <w:b/>
        </w:rPr>
        <w:t xml:space="preserve"> </w:t>
      </w:r>
      <w:r w:rsidR="00C033E1">
        <w:t>Jádrová u</w:t>
      </w:r>
      <w:r w:rsidR="00BE4CC4">
        <w:t>čební úloh</w:t>
      </w:r>
      <w:r w:rsidR="000A3D62">
        <w:t>a</w:t>
      </w:r>
      <w:r w:rsidR="00BE4CC4">
        <w:t xml:space="preserve"> </w:t>
      </w:r>
      <w:r w:rsidR="00C033E1">
        <w:t>(</w:t>
      </w:r>
      <w:r w:rsidR="00C033E1" w:rsidRPr="00C033E1">
        <w:rPr>
          <w:i/>
        </w:rPr>
        <w:t>Proč mají řeky nejméně vody na konci léta a začátkem podzimu?</w:t>
      </w:r>
      <w:r w:rsidR="00C033E1" w:rsidRPr="00C033E1">
        <w:t>)</w:t>
      </w:r>
      <w:r w:rsidR="00C033E1">
        <w:t xml:space="preserve"> </w:t>
      </w:r>
      <w:r w:rsidR="000A3D62">
        <w:t>má potenciál rozvíjet</w:t>
      </w:r>
      <w:r w:rsidR="000A3D62" w:rsidRPr="00BE4CC4">
        <w:t xml:space="preserve"> schopnost identifikovat, popsat a porozumět a vztahům a souvislostem mezi jednotlivými prvky systému</w:t>
      </w:r>
      <w:r w:rsidR="00C033E1">
        <w:t>. Konkrétně se jedná determinanty režimu odtoku, resp. o souvislosti mezi teplotou vzduchu, srážkami, výparem a vodním stavem řek. Z</w:t>
      </w:r>
      <w:r w:rsidR="000A3D62">
        <w:t xml:space="preserve"> </w:t>
      </w:r>
      <w:r w:rsidR="00BE4CC4">
        <w:t xml:space="preserve">hlediska systémovosti </w:t>
      </w:r>
      <w:r w:rsidR="000A3D62">
        <w:t xml:space="preserve">je možné ji </w:t>
      </w:r>
      <w:r w:rsidR="00BE4CC4">
        <w:t>řadit do úrovně II</w:t>
      </w:r>
      <w:r w:rsidR="00C033E1">
        <w:t xml:space="preserve">. </w:t>
      </w:r>
      <w:r w:rsidR="00663F09">
        <w:t xml:space="preserve">Učitel prostřednictvím zadání učební úlohy očekává, že žák bude aplikovat </w:t>
      </w:r>
      <w:r w:rsidR="00663F09" w:rsidRPr="00492677">
        <w:t>znalost nějakého naučeného pravidla, postupu, vztahu</w:t>
      </w:r>
      <w:r w:rsidR="00663F09">
        <w:t xml:space="preserve">. </w:t>
      </w:r>
      <w:r w:rsidR="00517FEB">
        <w:t xml:space="preserve">Rozhodující vliv na režim odtoku mají klimatické podmínky. Ačkoli v nejteplejších měsících v roce spadne v Česku nejvíce srážek, vodní toky mají nejvyšší vodní stavy především v období jarního tání sněhu. Nejnižší vodní stavy řek jsou v zimních měsících, neboť v tomto období nedochází k tání sněhu a zároveň spadne nejméně srážek. </w:t>
      </w:r>
      <w:r w:rsidR="00334379">
        <w:t xml:space="preserve">Na úrovni komplexity </w:t>
      </w:r>
      <w:r w:rsidR="00517FEB">
        <w:t>se učební úloha nachází na</w:t>
      </w:r>
      <w:r w:rsidR="00C033E1">
        <w:t xml:space="preserve"> </w:t>
      </w:r>
      <w:r w:rsidR="00334379">
        <w:t>úrovn</w:t>
      </w:r>
      <w:r w:rsidR="00517FEB">
        <w:t>i II</w:t>
      </w:r>
      <w:r w:rsidR="00492677">
        <w:t xml:space="preserve">. </w:t>
      </w:r>
      <w:r w:rsidR="00D110D4">
        <w:t>Náročnost uč</w:t>
      </w:r>
      <w:r w:rsidR="001F309C">
        <w:t>e</w:t>
      </w:r>
      <w:r w:rsidR="00D110D4">
        <w:t xml:space="preserve">bní úlohy </w:t>
      </w:r>
      <w:r w:rsidR="00D64A65">
        <w:t>j</w:t>
      </w:r>
      <w:r w:rsidR="00D110D4">
        <w:t xml:space="preserve">e možné přiřadit do </w:t>
      </w:r>
      <w:r w:rsidR="00694697">
        <w:t xml:space="preserve">úrovně </w:t>
      </w:r>
      <w:r w:rsidR="00D64A65">
        <w:t>II, neboť učební úloha vyžaduje od žáků</w:t>
      </w:r>
      <w:r w:rsidR="00D64A65" w:rsidRPr="00D64A65">
        <w:t xml:space="preserve"> </w:t>
      </w:r>
      <w:r w:rsidR="00BF4F79">
        <w:t>schopnost samostatně vysvětlit příčiny nízkého vodního stavu řek</w:t>
      </w:r>
      <w:r w:rsidR="00D64A65" w:rsidRPr="00D64A65">
        <w:t>.</w:t>
      </w:r>
    </w:p>
    <w:p w:rsidR="008B2394" w:rsidRDefault="004874DB" w:rsidP="004D5391">
      <w:pPr>
        <w:spacing w:after="120" w:line="276" w:lineRule="auto"/>
        <w:jc w:val="both"/>
      </w:pPr>
      <w:r>
        <w:rPr>
          <w:i/>
        </w:rPr>
        <w:t>Shrnující k</w:t>
      </w:r>
      <w:r w:rsidR="00C01C4E" w:rsidRPr="00C01C4E">
        <w:rPr>
          <w:i/>
        </w:rPr>
        <w:t>omentář výzkumníka:</w:t>
      </w:r>
      <w:r w:rsidR="00C01C4E" w:rsidRPr="00F57FED">
        <w:t xml:space="preserve"> </w:t>
      </w:r>
      <w:r w:rsidR="00C01C4E">
        <w:t>Výuková situace může sloužit jako příklad klasického didaktického dilematu, kdy u</w:t>
      </w:r>
      <w:r w:rsidR="009C4DDC">
        <w:t xml:space="preserve">čitel na jednu stranu musí, a na druhou stranu nesmí žákovi říci, jak má řešit zadanou úlohu. Jestliže učitel nechce říci žákovi očekávanou odpověď, riskuje, že žák nic neodpoví nic a nic také neudělá. Žák </w:t>
      </w:r>
      <w:r w:rsidR="00C01C4E">
        <w:t xml:space="preserve">zároveň </w:t>
      </w:r>
      <w:r w:rsidR="009C4DDC">
        <w:t>očekává, že ho učitel předem</w:t>
      </w:r>
      <w:r w:rsidR="007D0FE9">
        <w:t xml:space="preserve"> </w:t>
      </w:r>
      <w:r w:rsidR="00FE5A7B">
        <w:t>seznámí s</w:t>
      </w:r>
      <w:r w:rsidR="007D0FE9">
        <w:t xml:space="preserve"> prostředky </w:t>
      </w:r>
      <w:r w:rsidR="00FE5A7B">
        <w:t xml:space="preserve">nezbytnými </w:t>
      </w:r>
      <w:r w:rsidR="007D0FE9">
        <w:t>pro vyřešení zadané učební úlohy, případně ho rovnou seznámí s jejím řešením.</w:t>
      </w:r>
      <w:r w:rsidR="00FB39A8">
        <w:t xml:space="preserve"> </w:t>
      </w:r>
      <w:r w:rsidR="00E60C15">
        <w:t xml:space="preserve">Učitel neponechal žákům dostatek času k zamyšlení se nad </w:t>
      </w:r>
      <w:r w:rsidR="00A0388E">
        <w:t>dalšími faktory ovlivňujícími vodní stavy řek v</w:t>
      </w:r>
      <w:r w:rsidR="00474C26">
        <w:t> </w:t>
      </w:r>
      <w:r w:rsidR="00A0388E">
        <w:t>Česku</w:t>
      </w:r>
      <w:r w:rsidR="00474C26">
        <w:t xml:space="preserve"> (</w:t>
      </w:r>
      <w:r w:rsidR="00474C26" w:rsidRPr="00474C26">
        <w:rPr>
          <w:i/>
        </w:rPr>
        <w:t>… ještě jedna věc tam je. Děcka, v tomto období je zemědělství poměrně náročné na zálivku</w:t>
      </w:r>
      <w:r w:rsidR="00877970">
        <w:rPr>
          <w:i/>
        </w:rPr>
        <w:t>…</w:t>
      </w:r>
      <w:r w:rsidR="00474C26">
        <w:t>)</w:t>
      </w:r>
      <w:r w:rsidR="00A0388E">
        <w:t xml:space="preserve">. </w:t>
      </w:r>
      <w:r w:rsidR="001F309C" w:rsidRPr="001F309C">
        <w:t xml:space="preserve">Odběry povrchové vody </w:t>
      </w:r>
      <w:r w:rsidR="00FB39A8">
        <w:t xml:space="preserve">obecně </w:t>
      </w:r>
      <w:r w:rsidR="00A0388E">
        <w:t xml:space="preserve">(vodárenství, průmysl, zemědělství apod.) </w:t>
      </w:r>
      <w:r w:rsidR="001F309C" w:rsidRPr="001F309C">
        <w:t xml:space="preserve">patří k antropogenním </w:t>
      </w:r>
      <w:r w:rsidR="00FB39A8">
        <w:t>faktorům</w:t>
      </w:r>
      <w:r w:rsidR="001F309C" w:rsidRPr="001F309C">
        <w:t xml:space="preserve"> ovlivňující přirozené množství </w:t>
      </w:r>
      <w:r w:rsidR="00FB39A8">
        <w:t xml:space="preserve">i </w:t>
      </w:r>
      <w:r w:rsidR="00FB39A8" w:rsidRPr="001F309C">
        <w:t>kvali</w:t>
      </w:r>
      <w:r w:rsidR="00FB39A8">
        <w:t>tu</w:t>
      </w:r>
      <w:r w:rsidR="00FB39A8" w:rsidRPr="001F309C">
        <w:t xml:space="preserve"> </w:t>
      </w:r>
      <w:r w:rsidR="001F309C" w:rsidRPr="001F309C">
        <w:t>vody v</w:t>
      </w:r>
      <w:r w:rsidR="00474C26">
        <w:t> </w:t>
      </w:r>
      <w:r w:rsidR="001F309C" w:rsidRPr="001F309C">
        <w:t>tocích</w:t>
      </w:r>
      <w:r w:rsidR="00474C26">
        <w:t xml:space="preserve"> a je na nich </w:t>
      </w:r>
      <w:r w:rsidR="00877970">
        <w:t>možné ukázat interakce mezi fyzickogeografickými a humánně geografickými systémy.</w:t>
      </w:r>
    </w:p>
    <w:p w:rsidR="0013685E" w:rsidRPr="00FF6C64" w:rsidRDefault="0013685E" w:rsidP="0013685E">
      <w:pPr>
        <w:spacing w:after="120" w:line="276" w:lineRule="auto"/>
      </w:pPr>
    </w:p>
    <w:p w:rsidR="00DB39AD" w:rsidRPr="00260F34" w:rsidRDefault="00DB39AD" w:rsidP="00681C3A">
      <w:pPr>
        <w:pStyle w:val="Nadpis3"/>
      </w:pPr>
      <w:bookmarkStart w:id="113" w:name="_Toc399775441"/>
      <w:r w:rsidRPr="00681C3A">
        <w:t>Výuková</w:t>
      </w:r>
      <w:r w:rsidRPr="00260F34">
        <w:t xml:space="preserve"> situace č. </w:t>
      </w:r>
      <w:r w:rsidR="0091453C">
        <w:t>5</w:t>
      </w:r>
      <w:r w:rsidRPr="00260F34">
        <w:t xml:space="preserve">: </w:t>
      </w:r>
      <w:r w:rsidR="0048404D">
        <w:t>Vlastnosti půd</w:t>
      </w:r>
      <w:r w:rsidR="00655765">
        <w:t xml:space="preserve"> a jejich determinanty</w:t>
      </w:r>
      <w:bookmarkEnd w:id="113"/>
    </w:p>
    <w:p w:rsidR="005C3BA6" w:rsidRPr="0018345D" w:rsidRDefault="00F6051B" w:rsidP="00F6051B">
      <w:pPr>
        <w:spacing w:after="120" w:line="276" w:lineRule="auto"/>
        <w:jc w:val="both"/>
      </w:pPr>
      <w:r w:rsidRPr="004874DB">
        <w:rPr>
          <w:i/>
        </w:rPr>
        <w:t>Anotace:</w:t>
      </w:r>
      <w:r>
        <w:rPr>
          <w:b/>
        </w:rPr>
        <w:t xml:space="preserve"> </w:t>
      </w:r>
      <w:r w:rsidR="0018345D" w:rsidRPr="0018345D">
        <w:t xml:space="preserve">Výuková situace </w:t>
      </w:r>
      <w:r w:rsidR="005E78F8">
        <w:t>se uskutečnila</w:t>
      </w:r>
      <w:r w:rsidR="0018345D">
        <w:t xml:space="preserve"> ve vyučovací hodině, která navazuje na vyučovací hodinu, ve které se odehrály obě předešlé výukové situace. </w:t>
      </w:r>
      <w:r w:rsidR="00E56AA3">
        <w:t>V úvodní části vyučovací hodiny učitel dokončil tematický celek učiva věnovaný vodstvu v Česku a zahájil téma půd</w:t>
      </w:r>
      <w:r w:rsidR="00772764">
        <w:t xml:space="preserve">. Poté, co si žáci doplnili </w:t>
      </w:r>
      <w:r w:rsidR="009A6280">
        <w:t xml:space="preserve">nový </w:t>
      </w:r>
      <w:r w:rsidR="00772764">
        <w:t xml:space="preserve">nadpis do sešitu, zahájil učitel </w:t>
      </w:r>
      <w:r w:rsidR="00497D8C">
        <w:t xml:space="preserve">téma půd </w:t>
      </w:r>
      <w:r w:rsidR="00772764">
        <w:t xml:space="preserve">učební úlohou vyžadující po žácích </w:t>
      </w:r>
      <w:r>
        <w:t>zamyslet se nad vlastnostmi půd a faktory, které je ovlivňují.</w:t>
      </w:r>
    </w:p>
    <w:p w:rsidR="003A151D" w:rsidRDefault="003A151D" w:rsidP="00AB2BC6">
      <w:pPr>
        <w:spacing w:after="120" w:line="276" w:lineRule="auto"/>
      </w:pPr>
    </w:p>
    <w:p w:rsidR="006B580B" w:rsidRPr="00220984" w:rsidRDefault="006B580B" w:rsidP="006B580B">
      <w:pPr>
        <w:rPr>
          <w:b/>
        </w:rPr>
      </w:pPr>
      <w:r w:rsidRPr="003A151D">
        <w:t xml:space="preserve">Přepis části vyučovací </w:t>
      </w:r>
      <w:r w:rsidRPr="00DB39AD">
        <w:t xml:space="preserve">hodiny </w:t>
      </w:r>
      <w:r>
        <w:t>(U – učitel, Ž – žák, ŽŽ – žáci)</w:t>
      </w:r>
    </w:p>
    <w:p w:rsidR="006B580B" w:rsidRDefault="0048404D" w:rsidP="006B580B">
      <w:pPr>
        <w:rPr>
          <w:sz w:val="20"/>
        </w:rPr>
      </w:pPr>
      <w:r>
        <w:rPr>
          <w:sz w:val="20"/>
        </w:rPr>
        <w:t>F</w:t>
      </w:r>
      <w:r w:rsidR="006B580B">
        <w:rPr>
          <w:sz w:val="20"/>
        </w:rPr>
        <w:t>0</w:t>
      </w:r>
      <w:r>
        <w:rPr>
          <w:sz w:val="20"/>
        </w:rPr>
        <w:t>8</w:t>
      </w:r>
      <w:r w:rsidR="006B580B">
        <w:rPr>
          <w:sz w:val="20"/>
        </w:rPr>
        <w:t xml:space="preserve"> </w:t>
      </w:r>
      <w:r w:rsidR="003C5ACA">
        <w:rPr>
          <w:sz w:val="20"/>
        </w:rPr>
        <w:t>18</w:t>
      </w:r>
      <w:r w:rsidR="006B580B">
        <w:rPr>
          <w:sz w:val="20"/>
        </w:rPr>
        <w:t>:</w:t>
      </w:r>
      <w:r w:rsidR="003C5ACA">
        <w:rPr>
          <w:sz w:val="20"/>
        </w:rPr>
        <w:t>2</w:t>
      </w:r>
      <w:r w:rsidR="006B580B">
        <w:rPr>
          <w:sz w:val="20"/>
        </w:rPr>
        <w:t xml:space="preserve">0 </w:t>
      </w:r>
      <w:r w:rsidR="00287576">
        <w:t>–</w:t>
      </w:r>
      <w:r w:rsidR="006B580B">
        <w:rPr>
          <w:sz w:val="20"/>
        </w:rPr>
        <w:t xml:space="preserve"> </w:t>
      </w:r>
      <w:r w:rsidR="003C5ACA">
        <w:rPr>
          <w:sz w:val="20"/>
        </w:rPr>
        <w:t>21</w:t>
      </w:r>
      <w:r w:rsidR="006B580B">
        <w:rPr>
          <w:sz w:val="20"/>
        </w:rPr>
        <w:t>:</w:t>
      </w:r>
      <w:r w:rsidR="003C5ACA">
        <w:rPr>
          <w:sz w:val="20"/>
        </w:rPr>
        <w:t>2</w:t>
      </w:r>
      <w:r w:rsidR="006B580B">
        <w:rPr>
          <w:sz w:val="20"/>
        </w:rPr>
        <w:t>0</w:t>
      </w:r>
    </w:p>
    <w:p w:rsidR="006B580B" w:rsidRDefault="006B580B" w:rsidP="006B580B"/>
    <w:tbl>
      <w:tblPr>
        <w:tblW w:w="8789" w:type="dxa"/>
        <w:tblInd w:w="212" w:type="dxa"/>
        <w:tblBorders>
          <w:top w:val="single" w:sz="4" w:space="0" w:color="auto"/>
          <w:left w:val="single" w:sz="4" w:space="0" w:color="auto"/>
          <w:bottom w:val="single" w:sz="4" w:space="0" w:color="auto"/>
          <w:right w:val="single" w:sz="4" w:space="0" w:color="auto"/>
          <w:insideV w:val="single" w:sz="4" w:space="0" w:color="auto"/>
        </w:tblBorders>
        <w:tblCellMar>
          <w:left w:w="70" w:type="dxa"/>
          <w:right w:w="70" w:type="dxa"/>
        </w:tblCellMar>
        <w:tblLook w:val="0000" w:firstRow="0" w:lastRow="0" w:firstColumn="0" w:lastColumn="0" w:noHBand="0" w:noVBand="0"/>
      </w:tblPr>
      <w:tblGrid>
        <w:gridCol w:w="8789"/>
      </w:tblGrid>
      <w:tr w:rsidR="003C5ACA" w:rsidRPr="00283C05" w:rsidTr="00ED7856">
        <w:tc>
          <w:tcPr>
            <w:tcW w:w="8789" w:type="dxa"/>
          </w:tcPr>
          <w:p w:rsidR="003C5ACA" w:rsidRPr="00827FC8" w:rsidRDefault="003C5ACA" w:rsidP="00426E58">
            <w:pPr>
              <w:spacing w:before="20" w:after="20"/>
              <w:rPr>
                <w:sz w:val="20"/>
              </w:rPr>
            </w:pPr>
            <w:r w:rsidRPr="00827FC8">
              <w:rPr>
                <w:sz w:val="20"/>
              </w:rPr>
              <w:t xml:space="preserve">U: </w:t>
            </w:r>
            <w:r w:rsidR="00EB5371">
              <w:rPr>
                <w:b/>
                <w:sz w:val="20"/>
              </w:rPr>
              <w:t>J</w:t>
            </w:r>
            <w:r w:rsidRPr="00EB5371">
              <w:rPr>
                <w:b/>
                <w:sz w:val="20"/>
              </w:rPr>
              <w:t>aké vlastnosti bude mít ta půda</w:t>
            </w:r>
            <w:r w:rsidR="0030284B">
              <w:rPr>
                <w:b/>
                <w:sz w:val="20"/>
              </w:rPr>
              <w:t>?</w:t>
            </w:r>
            <w:r w:rsidRPr="00EB5371">
              <w:rPr>
                <w:b/>
                <w:sz w:val="20"/>
              </w:rPr>
              <w:t xml:space="preserve"> Co má všechno na </w:t>
            </w:r>
            <w:r w:rsidR="00ED7856">
              <w:rPr>
                <w:b/>
                <w:sz w:val="20"/>
              </w:rPr>
              <w:t>ni</w:t>
            </w:r>
            <w:r w:rsidRPr="00EB5371">
              <w:rPr>
                <w:b/>
                <w:sz w:val="20"/>
              </w:rPr>
              <w:t xml:space="preserve"> vliv?</w:t>
            </w:r>
          </w:p>
        </w:tc>
      </w:tr>
      <w:tr w:rsidR="003C5ACA" w:rsidRPr="00283C05" w:rsidTr="00ED7856">
        <w:tc>
          <w:tcPr>
            <w:tcW w:w="8789" w:type="dxa"/>
          </w:tcPr>
          <w:p w:rsidR="003C5ACA" w:rsidRPr="00827FC8" w:rsidRDefault="003C5ACA" w:rsidP="00426E58">
            <w:pPr>
              <w:spacing w:before="20" w:after="20"/>
              <w:rPr>
                <w:sz w:val="20"/>
              </w:rPr>
            </w:pPr>
            <w:r w:rsidRPr="00827FC8">
              <w:rPr>
                <w:sz w:val="20"/>
              </w:rPr>
              <w:t>Z: Vlhkost.</w:t>
            </w:r>
          </w:p>
        </w:tc>
      </w:tr>
      <w:tr w:rsidR="003C5ACA" w:rsidRPr="00283C05" w:rsidTr="00ED7856">
        <w:tc>
          <w:tcPr>
            <w:tcW w:w="8789" w:type="dxa"/>
          </w:tcPr>
          <w:p w:rsidR="003C5ACA" w:rsidRPr="00827FC8" w:rsidRDefault="003C5ACA" w:rsidP="00426E58">
            <w:pPr>
              <w:spacing w:before="20" w:after="20"/>
              <w:rPr>
                <w:sz w:val="20"/>
              </w:rPr>
            </w:pPr>
            <w:r w:rsidRPr="00827FC8">
              <w:rPr>
                <w:sz w:val="20"/>
              </w:rPr>
              <w:t>U: Dobře, takže vlhkost, takže nějaké podnebí.</w:t>
            </w:r>
          </w:p>
        </w:tc>
      </w:tr>
      <w:tr w:rsidR="003C5ACA" w:rsidRPr="00283C05" w:rsidTr="00ED7856">
        <w:tc>
          <w:tcPr>
            <w:tcW w:w="8789" w:type="dxa"/>
          </w:tcPr>
          <w:p w:rsidR="003C5ACA" w:rsidRPr="00827FC8" w:rsidRDefault="003C5ACA" w:rsidP="00426E58">
            <w:pPr>
              <w:spacing w:before="20" w:after="20"/>
              <w:rPr>
                <w:sz w:val="20"/>
              </w:rPr>
            </w:pPr>
            <w:r w:rsidRPr="00827FC8">
              <w:rPr>
                <w:sz w:val="20"/>
              </w:rPr>
              <w:t>Z: Teplota.</w:t>
            </w:r>
          </w:p>
        </w:tc>
      </w:tr>
      <w:tr w:rsidR="003C5ACA" w:rsidRPr="00283C05" w:rsidTr="00ED7856">
        <w:tc>
          <w:tcPr>
            <w:tcW w:w="8789" w:type="dxa"/>
          </w:tcPr>
          <w:p w:rsidR="003C5ACA" w:rsidRPr="00827FC8" w:rsidRDefault="003C5ACA" w:rsidP="00426E58">
            <w:pPr>
              <w:spacing w:before="20" w:after="20"/>
              <w:rPr>
                <w:sz w:val="20"/>
              </w:rPr>
            </w:pPr>
            <w:r w:rsidRPr="00827FC8">
              <w:rPr>
                <w:sz w:val="20"/>
              </w:rPr>
              <w:t>Z2: Ty rostliny.</w:t>
            </w:r>
          </w:p>
        </w:tc>
      </w:tr>
      <w:tr w:rsidR="003C5ACA" w:rsidRPr="00283C05" w:rsidTr="00ED7856">
        <w:tc>
          <w:tcPr>
            <w:tcW w:w="8789" w:type="dxa"/>
          </w:tcPr>
          <w:p w:rsidR="003C5ACA" w:rsidRPr="00827FC8" w:rsidRDefault="003C5ACA" w:rsidP="00426E58">
            <w:pPr>
              <w:spacing w:before="20" w:after="20"/>
              <w:rPr>
                <w:sz w:val="20"/>
              </w:rPr>
            </w:pPr>
            <w:r w:rsidRPr="00827FC8">
              <w:rPr>
                <w:sz w:val="20"/>
              </w:rPr>
              <w:t>U: Samozřejmě rostliny, které na ní žijí, proč? Protože když ta rostlina umře, tak ty její zbytky tady zůstanou a jinak</w:t>
            </w:r>
            <w:r w:rsidR="00827FC8" w:rsidRPr="00827FC8">
              <w:rPr>
                <w:sz w:val="20"/>
              </w:rPr>
              <w:t xml:space="preserve"> bude asi vypadat jinak, kde ten opad je jehličí, jinak kde jsou listnáče, co dál?</w:t>
            </w:r>
          </w:p>
        </w:tc>
      </w:tr>
      <w:tr w:rsidR="003C5ACA" w:rsidRPr="00283C05" w:rsidTr="00ED7856">
        <w:tc>
          <w:tcPr>
            <w:tcW w:w="8789" w:type="dxa"/>
          </w:tcPr>
          <w:p w:rsidR="003C5ACA" w:rsidRPr="00827FC8" w:rsidRDefault="003C5ACA" w:rsidP="00426E58">
            <w:pPr>
              <w:spacing w:before="20" w:after="20"/>
              <w:rPr>
                <w:sz w:val="20"/>
              </w:rPr>
            </w:pPr>
            <w:r w:rsidRPr="00827FC8">
              <w:rPr>
                <w:sz w:val="20"/>
              </w:rPr>
              <w:t>Z: No kde jsou ty řeky blízko.</w:t>
            </w:r>
          </w:p>
        </w:tc>
      </w:tr>
      <w:tr w:rsidR="003C5ACA" w:rsidRPr="00283C05" w:rsidTr="00ED7856">
        <w:tc>
          <w:tcPr>
            <w:tcW w:w="8789" w:type="dxa"/>
          </w:tcPr>
          <w:p w:rsidR="003C5ACA" w:rsidRPr="00827FC8" w:rsidRDefault="003C5ACA" w:rsidP="00426E58">
            <w:pPr>
              <w:spacing w:before="20" w:after="20"/>
              <w:rPr>
                <w:sz w:val="20"/>
              </w:rPr>
            </w:pPr>
            <w:r w:rsidRPr="00827FC8">
              <w:rPr>
                <w:sz w:val="20"/>
              </w:rPr>
              <w:t>U: Jasně, takže vlhkost a blízkost vodních toků. Samozřejmě tam, kde víc prší, bude docházet ke splavování nějakých úrodných látek.</w:t>
            </w:r>
            <w:r w:rsidR="00827FC8" w:rsidRPr="00827FC8">
              <w:rPr>
                <w:sz w:val="20"/>
              </w:rPr>
              <w:t xml:space="preserve"> Ještě něco? Samozřejmě činnost člověka. To znamená, člověk asi přetváří tak nějak tu přírodu. Normální louky a pastviny z nich dělá pole, kácí stromy a tak dále, takže ta činnost člověka je důležitá. Ještě jedna věc, vynechali jste j</w:t>
            </w:r>
            <w:r w:rsidR="00AB3EB1">
              <w:rPr>
                <w:sz w:val="20"/>
              </w:rPr>
              <w:t>i</w:t>
            </w:r>
            <w:r w:rsidR="00827FC8" w:rsidRPr="00827FC8">
              <w:rPr>
                <w:sz w:val="20"/>
              </w:rPr>
              <w:t>.</w:t>
            </w:r>
          </w:p>
        </w:tc>
      </w:tr>
      <w:tr w:rsidR="003C5ACA" w:rsidRPr="00283C05" w:rsidTr="00ED7856">
        <w:tc>
          <w:tcPr>
            <w:tcW w:w="8789" w:type="dxa"/>
          </w:tcPr>
          <w:p w:rsidR="003C5ACA" w:rsidRPr="00827FC8" w:rsidRDefault="003C5ACA" w:rsidP="00426E58">
            <w:pPr>
              <w:spacing w:before="20" w:after="20"/>
              <w:rPr>
                <w:sz w:val="20"/>
              </w:rPr>
            </w:pPr>
            <w:r w:rsidRPr="00827FC8">
              <w:rPr>
                <w:sz w:val="20"/>
              </w:rPr>
              <w:t>Z: Typy půd.</w:t>
            </w:r>
          </w:p>
        </w:tc>
      </w:tr>
      <w:tr w:rsidR="003C5ACA" w:rsidRPr="00283C05" w:rsidTr="00ED7856">
        <w:tc>
          <w:tcPr>
            <w:tcW w:w="8789" w:type="dxa"/>
          </w:tcPr>
          <w:p w:rsidR="003C5ACA" w:rsidRPr="00827FC8" w:rsidRDefault="003C5ACA" w:rsidP="00426E58">
            <w:pPr>
              <w:spacing w:before="20" w:after="20"/>
              <w:rPr>
                <w:sz w:val="20"/>
              </w:rPr>
            </w:pPr>
            <w:r w:rsidRPr="00827FC8">
              <w:rPr>
                <w:sz w:val="20"/>
              </w:rPr>
              <w:t>U: Dobrý, máš pravdu, typy půd, ale to je výsledkem geologické stavby, takže geologie. Děcka, zcela evidentně budou</w:t>
            </w:r>
            <w:r w:rsidR="00827FC8" w:rsidRPr="00827FC8">
              <w:rPr>
                <w:sz w:val="20"/>
              </w:rPr>
              <w:t xml:space="preserve"> mít typy půd.</w:t>
            </w:r>
          </w:p>
        </w:tc>
      </w:tr>
      <w:tr w:rsidR="003C5ACA" w:rsidRPr="00283C05" w:rsidTr="00ED7856">
        <w:tc>
          <w:tcPr>
            <w:tcW w:w="8789" w:type="dxa"/>
          </w:tcPr>
          <w:p w:rsidR="003C5ACA" w:rsidRPr="00827FC8" w:rsidRDefault="003C5ACA" w:rsidP="00426E58">
            <w:pPr>
              <w:spacing w:before="20" w:after="20"/>
              <w:rPr>
                <w:sz w:val="20"/>
              </w:rPr>
            </w:pPr>
            <w:r w:rsidRPr="00827FC8">
              <w:rPr>
                <w:sz w:val="20"/>
              </w:rPr>
              <w:t>Z: Nadmořská výška.</w:t>
            </w:r>
          </w:p>
        </w:tc>
      </w:tr>
      <w:tr w:rsidR="003C5ACA" w:rsidRPr="00283C05" w:rsidTr="00ED7856">
        <w:tc>
          <w:tcPr>
            <w:tcW w:w="8789" w:type="dxa"/>
          </w:tcPr>
          <w:p w:rsidR="003C5ACA" w:rsidRPr="00827FC8" w:rsidRDefault="003C5ACA" w:rsidP="007E2B2B">
            <w:pPr>
              <w:spacing w:before="20" w:after="20"/>
              <w:rPr>
                <w:sz w:val="20"/>
              </w:rPr>
            </w:pPr>
            <w:r w:rsidRPr="00827FC8">
              <w:rPr>
                <w:sz w:val="20"/>
              </w:rPr>
              <w:t>U: Jasně.</w:t>
            </w:r>
            <w:r w:rsidR="00BE2CAC">
              <w:rPr>
                <w:sz w:val="20"/>
              </w:rPr>
              <w:t xml:space="preserve"> </w:t>
            </w:r>
            <w:r w:rsidRPr="00827FC8">
              <w:rPr>
                <w:sz w:val="20"/>
              </w:rPr>
              <w:t>Na</w:t>
            </w:r>
            <w:r w:rsidR="00BD2338">
              <w:rPr>
                <w:sz w:val="20"/>
              </w:rPr>
              <w:t>,</w:t>
            </w:r>
            <w:r w:rsidRPr="00827FC8">
              <w:rPr>
                <w:sz w:val="20"/>
              </w:rPr>
              <w:t xml:space="preserve"> řekněme</w:t>
            </w:r>
            <w:r w:rsidR="00BD2338">
              <w:rPr>
                <w:sz w:val="20"/>
              </w:rPr>
              <w:t>,</w:t>
            </w:r>
            <w:r w:rsidRPr="00827FC8">
              <w:rPr>
                <w:sz w:val="20"/>
              </w:rPr>
              <w:t xml:space="preserve"> pískovcích nebo na vápencích</w:t>
            </w:r>
            <w:r w:rsidR="00BD2338">
              <w:rPr>
                <w:sz w:val="20"/>
              </w:rPr>
              <w:t>,</w:t>
            </w:r>
            <w:r w:rsidRPr="00827FC8">
              <w:rPr>
                <w:sz w:val="20"/>
              </w:rPr>
              <w:t xml:space="preserve"> a to proto, </w:t>
            </w:r>
            <w:r w:rsidR="00EB5371" w:rsidRPr="00827FC8">
              <w:rPr>
                <w:sz w:val="20"/>
              </w:rPr>
              <w:t>že</w:t>
            </w:r>
            <w:r w:rsidR="00827FC8" w:rsidRPr="00827FC8">
              <w:rPr>
                <w:sz w:val="20"/>
              </w:rPr>
              <w:t xml:space="preserve"> ta půda vzniká zvětráváním toho geologického podkladu, jaký ten má vlastnosti, tak podobný bude mít i ta půda. To souvisí s tím podnebím, protože čím výš jdeme, tím víc prší, takže jedno souvisí s druhým a ještě jedna věc. Vzpomeňte si na gu</w:t>
            </w:r>
            <w:r w:rsidR="007E2B2B">
              <w:rPr>
                <w:sz w:val="20"/>
              </w:rPr>
              <w:t>á</w:t>
            </w:r>
            <w:r w:rsidR="00827FC8" w:rsidRPr="00827FC8">
              <w:rPr>
                <w:sz w:val="20"/>
              </w:rPr>
              <w:t>no. Co je to gu</w:t>
            </w:r>
            <w:r w:rsidR="00BD2338">
              <w:rPr>
                <w:sz w:val="20"/>
              </w:rPr>
              <w:t>á</w:t>
            </w:r>
            <w:r w:rsidR="00827FC8" w:rsidRPr="00827FC8">
              <w:rPr>
                <w:sz w:val="20"/>
              </w:rPr>
              <w:t>no?</w:t>
            </w:r>
          </w:p>
        </w:tc>
      </w:tr>
      <w:tr w:rsidR="003C5ACA" w:rsidRPr="00283C05" w:rsidTr="00ED7856">
        <w:tc>
          <w:tcPr>
            <w:tcW w:w="8789" w:type="dxa"/>
          </w:tcPr>
          <w:p w:rsidR="003C5ACA" w:rsidRPr="00827FC8" w:rsidRDefault="003C5ACA" w:rsidP="00426E58">
            <w:pPr>
              <w:spacing w:before="20" w:after="20"/>
              <w:rPr>
                <w:sz w:val="20"/>
              </w:rPr>
            </w:pPr>
            <w:r w:rsidRPr="00827FC8">
              <w:rPr>
                <w:sz w:val="20"/>
              </w:rPr>
              <w:t>Z: To je to, přírodní hnojivo.</w:t>
            </w:r>
          </w:p>
        </w:tc>
      </w:tr>
      <w:tr w:rsidR="003C5ACA" w:rsidRPr="00283C05" w:rsidTr="00ED7856">
        <w:tc>
          <w:tcPr>
            <w:tcW w:w="8789" w:type="dxa"/>
          </w:tcPr>
          <w:p w:rsidR="003C5ACA" w:rsidRPr="00827FC8" w:rsidRDefault="003C5ACA" w:rsidP="00426E58">
            <w:pPr>
              <w:spacing w:before="20" w:after="20"/>
              <w:rPr>
                <w:sz w:val="20"/>
              </w:rPr>
            </w:pPr>
            <w:r w:rsidRPr="00827FC8">
              <w:rPr>
                <w:sz w:val="20"/>
              </w:rPr>
              <w:t>U: Přírodní hnojivo, vznikající z trusu ptáků, se to usazuje.</w:t>
            </w:r>
            <w:r w:rsidR="00827FC8" w:rsidRPr="00827FC8">
              <w:rPr>
                <w:sz w:val="20"/>
              </w:rPr>
              <w:t xml:space="preserve"> Takže i zvířata ovlivňují půdu. Takže napíšeme si takovou úvodní větičku. Na vznik, rozšíření a vlastnosti půd, na vznik, rozšíření a vlastnosti půd má vliv, takže jak jsme si říkali, geologická stavba, reliéf.</w:t>
            </w:r>
          </w:p>
        </w:tc>
      </w:tr>
      <w:tr w:rsidR="003C5ACA" w:rsidRPr="00283C05" w:rsidTr="00ED7856">
        <w:tc>
          <w:tcPr>
            <w:tcW w:w="8789" w:type="dxa"/>
          </w:tcPr>
          <w:p w:rsidR="003C5ACA" w:rsidRPr="00827FC8" w:rsidRDefault="003C5ACA" w:rsidP="00426E58">
            <w:pPr>
              <w:spacing w:before="20" w:after="20"/>
              <w:rPr>
                <w:sz w:val="20"/>
              </w:rPr>
            </w:pPr>
            <w:r w:rsidRPr="00827FC8">
              <w:rPr>
                <w:sz w:val="20"/>
              </w:rPr>
              <w:t>Z: Co?</w:t>
            </w:r>
          </w:p>
        </w:tc>
      </w:tr>
      <w:tr w:rsidR="003C5ACA" w:rsidRPr="00283C05" w:rsidTr="00ED7856">
        <w:tc>
          <w:tcPr>
            <w:tcW w:w="8789" w:type="dxa"/>
          </w:tcPr>
          <w:p w:rsidR="003C5ACA" w:rsidRPr="00827FC8" w:rsidRDefault="003C5ACA" w:rsidP="00426E58">
            <w:pPr>
              <w:spacing w:before="20" w:after="20"/>
              <w:rPr>
                <w:sz w:val="20"/>
              </w:rPr>
            </w:pPr>
            <w:r w:rsidRPr="00827FC8">
              <w:rPr>
                <w:sz w:val="20"/>
              </w:rPr>
              <w:t>U: Geologická stavba a reliéf.</w:t>
            </w:r>
            <w:r w:rsidR="00827FC8" w:rsidRPr="00827FC8">
              <w:rPr>
                <w:sz w:val="20"/>
              </w:rPr>
              <w:t xml:space="preserve"> S tím samozřejmě souvisí ta nadmořská výška, podnebí, vegetace a člověk. Na vznik, rozšíření a vlastnosti půd má vliv geologická stavba, reliéf, podnebí, vegetace a člověk.</w:t>
            </w:r>
          </w:p>
        </w:tc>
      </w:tr>
    </w:tbl>
    <w:p w:rsidR="008B2394" w:rsidRDefault="008B2394" w:rsidP="00DB39AD">
      <w:pPr>
        <w:spacing w:after="200" w:line="276" w:lineRule="auto"/>
        <w:ind w:left="720"/>
      </w:pPr>
    </w:p>
    <w:p w:rsidR="008B6AA8" w:rsidRPr="00F57FED" w:rsidRDefault="00F6051B" w:rsidP="00F57FED">
      <w:pPr>
        <w:spacing w:after="120" w:line="276" w:lineRule="auto"/>
        <w:jc w:val="both"/>
      </w:pPr>
      <w:r w:rsidRPr="004874DB">
        <w:rPr>
          <w:i/>
        </w:rPr>
        <w:t>Analýza:</w:t>
      </w:r>
      <w:r>
        <w:rPr>
          <w:b/>
        </w:rPr>
        <w:t xml:space="preserve"> </w:t>
      </w:r>
      <w:r w:rsidR="008B6AA8" w:rsidRPr="00F57FED">
        <w:t xml:space="preserve">Na úrovni systémovosti je jádrová učební úloha </w:t>
      </w:r>
      <w:r w:rsidR="00EF162C">
        <w:t>(</w:t>
      </w:r>
      <w:r w:rsidR="00EF162C" w:rsidRPr="00EF162C">
        <w:rPr>
          <w:i/>
        </w:rPr>
        <w:t>Jaké faktory ovlivňují vlastnosti půd?</w:t>
      </w:r>
      <w:r w:rsidR="00EF162C" w:rsidRPr="00EF162C">
        <w:t>)</w:t>
      </w:r>
      <w:r w:rsidR="00EF162C" w:rsidRPr="00EF162C">
        <w:rPr>
          <w:i/>
        </w:rPr>
        <w:t xml:space="preserve"> </w:t>
      </w:r>
      <w:r>
        <w:t>rozvíjející</w:t>
      </w:r>
      <w:r w:rsidR="008B6AA8" w:rsidRPr="00F57FED">
        <w:t xml:space="preserve"> především v tom, že vyžaduje po žácích porozumění půdotvorným procesům, neboli procesům</w:t>
      </w:r>
      <w:r w:rsidR="0012354E" w:rsidRPr="00F57FED">
        <w:t>,</w:t>
      </w:r>
      <w:r w:rsidR="008B6AA8" w:rsidRPr="00F57FED">
        <w:t xml:space="preserve"> které bezprostředně ovlivňují vlastnosti půd</w:t>
      </w:r>
      <w:r w:rsidR="00EF162C">
        <w:t xml:space="preserve"> </w:t>
      </w:r>
      <w:r w:rsidR="00EF162C" w:rsidRPr="00F57FED">
        <w:t>(úroveň III)</w:t>
      </w:r>
      <w:r w:rsidR="008B6AA8" w:rsidRPr="00F57FED">
        <w:t xml:space="preserve">. </w:t>
      </w:r>
      <w:r>
        <w:t xml:space="preserve">Podmínkou správného řešení učební úlohy je </w:t>
      </w:r>
      <w:r w:rsidR="008B6AA8" w:rsidRPr="00F57FED">
        <w:t xml:space="preserve">pochopení vztahu mezi </w:t>
      </w:r>
      <w:r w:rsidR="0012354E" w:rsidRPr="00F57FED">
        <w:t>fyzikálními, chemickými a biologickými procesy probíhajícími v</w:t>
      </w:r>
      <w:r w:rsidR="0030284B" w:rsidRPr="00F57FED">
        <w:t> </w:t>
      </w:r>
      <w:r w:rsidR="0012354E" w:rsidRPr="00F57FED">
        <w:t>půdách</w:t>
      </w:r>
      <w:r w:rsidR="0030284B" w:rsidRPr="00F57FED">
        <w:t xml:space="preserve">. </w:t>
      </w:r>
      <w:r w:rsidR="008B6AA8" w:rsidRPr="00F57FED">
        <w:t xml:space="preserve">Z hlediska komplexity se jedná o učební úlohu, v níž by žák měl prokázat znalost nějakého naučeného pravidla, postupu nebo vztahu (úroveň II). </w:t>
      </w:r>
      <w:r w:rsidR="009729EA" w:rsidRPr="00F57FED">
        <w:t xml:space="preserve">Konkrétně se jedná o znalost toho, že vlastnosti půdy závisí na matečné hornině, geomorfologických podmínkách, klimatických, hydrologických a biotických činitelích, stáří území a antropogenních činitelích. </w:t>
      </w:r>
      <w:r w:rsidR="008B6AA8" w:rsidRPr="00F57FED">
        <w:t xml:space="preserve">Zároveň se </w:t>
      </w:r>
      <w:r w:rsidR="00F57FED">
        <w:t>ne</w:t>
      </w:r>
      <w:r w:rsidR="008B6AA8" w:rsidRPr="00F57FED">
        <w:t xml:space="preserve">jedná o učební úlohu </w:t>
      </w:r>
      <w:r w:rsidR="00193A57">
        <w:t>střední úrovně</w:t>
      </w:r>
      <w:r w:rsidR="008B6AA8" w:rsidRPr="00F57FED">
        <w:t xml:space="preserve"> náročnosti</w:t>
      </w:r>
      <w:r w:rsidR="00193A57">
        <w:t xml:space="preserve"> (úroveň II</w:t>
      </w:r>
      <w:r w:rsidR="00193A57" w:rsidRPr="00F57FED">
        <w:t>)</w:t>
      </w:r>
      <w:r w:rsidR="008B6AA8" w:rsidRPr="00F57FED">
        <w:t xml:space="preserve">, neboť </w:t>
      </w:r>
      <w:r w:rsidR="00F57FED">
        <w:t xml:space="preserve">zadání učební úlohy </w:t>
      </w:r>
      <w:r w:rsidR="00F57FED" w:rsidRPr="00A119AF">
        <w:t>vyžaduj</w:t>
      </w:r>
      <w:r w:rsidR="00F57FED">
        <w:t>e</w:t>
      </w:r>
      <w:r w:rsidR="00F57FED" w:rsidRPr="00A119AF">
        <w:t xml:space="preserve"> schopnost </w:t>
      </w:r>
      <w:r w:rsidR="00F57FED">
        <w:t xml:space="preserve">žáka </w:t>
      </w:r>
      <w:r w:rsidR="00F57FED" w:rsidRPr="00A119AF">
        <w:t>samostatně vysvětlit</w:t>
      </w:r>
      <w:r w:rsidR="00F57FED" w:rsidRPr="00F57FED">
        <w:t xml:space="preserve"> </w:t>
      </w:r>
      <w:r w:rsidR="00457FA7">
        <w:t>vztah mezi půdotvornými činiteli a vlastnostmi půd na určitém místě</w:t>
      </w:r>
      <w:r w:rsidR="008B6AA8" w:rsidRPr="00F57FED">
        <w:t>.</w:t>
      </w:r>
    </w:p>
    <w:p w:rsidR="008B2394" w:rsidRDefault="00EF162C" w:rsidP="00F57FED">
      <w:pPr>
        <w:spacing w:line="276" w:lineRule="auto"/>
        <w:jc w:val="both"/>
      </w:pPr>
      <w:r>
        <w:rPr>
          <w:i/>
        </w:rPr>
        <w:t>Shrnující k</w:t>
      </w:r>
      <w:r w:rsidRPr="00C01C4E">
        <w:rPr>
          <w:i/>
        </w:rPr>
        <w:t>omentář výzkumníka:</w:t>
      </w:r>
      <w:r w:rsidRPr="00F57FED">
        <w:t xml:space="preserve"> </w:t>
      </w:r>
      <w:r w:rsidR="00EB5371" w:rsidRPr="00F57FED">
        <w:t>Jádrem popisované výukové situace je učební úloha</w:t>
      </w:r>
      <w:r w:rsidR="00497D8C">
        <w:t xml:space="preserve"> sloužící jako úvodní učební aktivita související s novým tematickým celkem učiva. </w:t>
      </w:r>
      <w:r w:rsidR="00EB5371" w:rsidRPr="00F57FED">
        <w:t xml:space="preserve"> Ačkoli se jedná </w:t>
      </w:r>
      <w:r w:rsidR="00AB3EB1">
        <w:t xml:space="preserve">o </w:t>
      </w:r>
      <w:r w:rsidR="005A7A38">
        <w:t>problémovou</w:t>
      </w:r>
      <w:r w:rsidR="00EB5371" w:rsidRPr="00F57FED">
        <w:t xml:space="preserve"> učební úloh</w:t>
      </w:r>
      <w:r w:rsidR="005A7A38">
        <w:t>u</w:t>
      </w:r>
      <w:r w:rsidR="00EB5371" w:rsidRPr="00F57FED">
        <w:t>, výukový dialog se odehrává v poměrně ry</w:t>
      </w:r>
      <w:r w:rsidR="00AB3EB1">
        <w:t>c</w:t>
      </w:r>
      <w:r w:rsidR="00EB5371" w:rsidRPr="00F57FED">
        <w:t>hlém tempu s výraznější dominancí učitele. Problémová učební úloha tak do jisté míry ztrácí svůj potenciál, neboť v</w:t>
      </w:r>
      <w:r w:rsidR="008C622A" w:rsidRPr="00F57FED">
        <w:t xml:space="preserve"> takto vysokém výukovém tempu nedochází k autentickému řešení problémů a reflexi navrhovaných řešení. Výukový dialog se místy blíží výkladu, což žákům </w:t>
      </w:r>
      <w:r w:rsidR="00BD2338">
        <w:t xml:space="preserve">do značné míry </w:t>
      </w:r>
      <w:r w:rsidR="008C622A" w:rsidRPr="00F57FED">
        <w:t>znemožňuje zažít pocit (např. v rámci výukového dialogu</w:t>
      </w:r>
      <w:r w:rsidR="005A7A38">
        <w:t xml:space="preserve"> či jiné učební aktivity</w:t>
      </w:r>
      <w:r w:rsidR="008C622A" w:rsidRPr="00F57FED">
        <w:t xml:space="preserve">) </w:t>
      </w:r>
      <w:r w:rsidR="005A7A38">
        <w:t xml:space="preserve">probíranému </w:t>
      </w:r>
      <w:r>
        <w:t>učivu</w:t>
      </w:r>
      <w:r w:rsidR="008C622A" w:rsidRPr="00F57FED">
        <w:t xml:space="preserve"> </w:t>
      </w:r>
      <w:r w:rsidR="005A7A38">
        <w:t xml:space="preserve">hlouběji </w:t>
      </w:r>
      <w:r w:rsidR="008C622A" w:rsidRPr="00F57FED">
        <w:t xml:space="preserve">porozumět, případně něco originálního </w:t>
      </w:r>
      <w:r w:rsidR="009A6280">
        <w:t xml:space="preserve">samostatně </w:t>
      </w:r>
      <w:r w:rsidR="008C622A" w:rsidRPr="00F57FED">
        <w:t>vymyslet</w:t>
      </w:r>
      <w:r w:rsidR="005A7A38">
        <w:t xml:space="preserve"> nebo</w:t>
      </w:r>
      <w:r w:rsidR="008C622A" w:rsidRPr="00F57FED">
        <w:t xml:space="preserve"> vytvořit.</w:t>
      </w:r>
      <w:r w:rsidR="00BE2CAC">
        <w:t xml:space="preserve"> </w:t>
      </w:r>
      <w:r w:rsidR="008C622A" w:rsidRPr="00F57FED">
        <w:t>Ukázka dokumentuje, že příliš vysoké tempo výuky je na úkor hlubšího porozumění učivu, neboť probírané učivo není zasazeno do širších souvi</w:t>
      </w:r>
      <w:r w:rsidR="005A7A38">
        <w:t>slostí (jež by bylo možné upřesnit konkrétními</w:t>
      </w:r>
      <w:r w:rsidR="008C622A" w:rsidRPr="00F57FED">
        <w:t xml:space="preserve"> příklady). Chybí taktéž autentický situační k</w:t>
      </w:r>
      <w:r w:rsidR="00D557A2">
        <w:t>ontext (zde se nabízí souvislost vlastností půd</w:t>
      </w:r>
      <w:r w:rsidR="008C622A" w:rsidRPr="00F57FED">
        <w:t xml:space="preserve"> např. se zemědělstvím </w:t>
      </w:r>
      <w:r w:rsidR="00AB3EB1" w:rsidRPr="00F57FED">
        <w:t>apod.</w:t>
      </w:r>
      <w:r w:rsidR="008C622A" w:rsidRPr="00F57FED">
        <w:t>).</w:t>
      </w:r>
    </w:p>
    <w:p w:rsidR="0091453C" w:rsidRDefault="0091453C" w:rsidP="00F57FED">
      <w:pPr>
        <w:spacing w:line="276" w:lineRule="auto"/>
        <w:jc w:val="both"/>
      </w:pPr>
    </w:p>
    <w:p w:rsidR="0091453C" w:rsidRPr="006114C2" w:rsidRDefault="0091453C" w:rsidP="0091453C">
      <w:pPr>
        <w:pStyle w:val="Nadpis3"/>
      </w:pPr>
      <w:bookmarkStart w:id="114" w:name="_Toc399775442"/>
      <w:r w:rsidRPr="00FB41AA">
        <w:t>Výuková</w:t>
      </w:r>
      <w:r w:rsidRPr="006114C2">
        <w:t xml:space="preserve"> situace č. </w:t>
      </w:r>
      <w:r>
        <w:t>6</w:t>
      </w:r>
      <w:r w:rsidRPr="006114C2">
        <w:t xml:space="preserve">: </w:t>
      </w:r>
      <w:r>
        <w:t>Význam a využití lesů</w:t>
      </w:r>
      <w:bookmarkEnd w:id="114"/>
    </w:p>
    <w:p w:rsidR="00D557A2" w:rsidRPr="00A47252" w:rsidRDefault="00030054" w:rsidP="00BD2338">
      <w:pPr>
        <w:spacing w:after="120" w:line="276" w:lineRule="auto"/>
        <w:jc w:val="both"/>
      </w:pPr>
      <w:r w:rsidRPr="004874DB">
        <w:rPr>
          <w:i/>
        </w:rPr>
        <w:t>Anotace:</w:t>
      </w:r>
      <w:r>
        <w:rPr>
          <w:b/>
        </w:rPr>
        <w:t xml:space="preserve"> </w:t>
      </w:r>
      <w:r w:rsidR="00A47252" w:rsidRPr="00A47252">
        <w:t xml:space="preserve">Výuková situace </w:t>
      </w:r>
      <w:r w:rsidR="00A47252">
        <w:t>je součástí vyučovací hodiny věnované úvodu do biosféry.</w:t>
      </w:r>
      <w:r w:rsidR="009D59AD">
        <w:t xml:space="preserve"> Učitelka otevřela tematiku biosféry </w:t>
      </w:r>
      <w:r w:rsidR="008C64F1">
        <w:t xml:space="preserve">definicí pojmu biosféra, kterou si žáci napsali do sešitu. Následoval rozhovor se třídou, jehož cílem bylo zopakovat </w:t>
      </w:r>
      <w:r w:rsidR="00502204">
        <w:t xml:space="preserve">jednotlivé vegetační pásy a vegetační stupně. </w:t>
      </w:r>
      <w:r w:rsidR="00A2444C">
        <w:t xml:space="preserve">Dění ve třídě je možné charakterizovat jako amalgám výkladu nového učiva a </w:t>
      </w:r>
      <w:r w:rsidR="00E02CCD">
        <w:t xml:space="preserve">průběžného diktování zápisu do sešitu. </w:t>
      </w:r>
      <w:r w:rsidR="00502204">
        <w:t xml:space="preserve">Žáci si průběžně vyhotovují zápis do sešitu, přičemž učitel </w:t>
      </w:r>
      <w:r w:rsidR="00C82198">
        <w:t>se sou</w:t>
      </w:r>
      <w:r w:rsidR="00734B1C">
        <w:t>časně</w:t>
      </w:r>
      <w:r w:rsidR="00C82198">
        <w:t xml:space="preserve"> věnuje </w:t>
      </w:r>
      <w:r w:rsidR="00C91632">
        <w:t xml:space="preserve">čtenému </w:t>
      </w:r>
      <w:r w:rsidR="00C82198">
        <w:t>výkladu učiva, pomocí uzavřených otázek aktivizuje žáky</w:t>
      </w:r>
      <w:r w:rsidR="00C91632">
        <w:t xml:space="preserve"> a</w:t>
      </w:r>
      <w:r w:rsidR="00C82198">
        <w:t xml:space="preserve"> </w:t>
      </w:r>
      <w:r w:rsidR="00734B1C">
        <w:t xml:space="preserve">řeší drobné </w:t>
      </w:r>
      <w:r w:rsidR="00C91632">
        <w:t>projevy nekázně</w:t>
      </w:r>
      <w:r w:rsidR="00734B1C">
        <w:t xml:space="preserve"> žáků</w:t>
      </w:r>
      <w:r w:rsidR="00C82198">
        <w:t>.</w:t>
      </w:r>
    </w:p>
    <w:p w:rsidR="00D557A2" w:rsidRDefault="00D557A2" w:rsidP="0091453C">
      <w:pPr>
        <w:rPr>
          <w:b/>
        </w:rPr>
      </w:pPr>
    </w:p>
    <w:p w:rsidR="0091453C" w:rsidRPr="00220984" w:rsidRDefault="0091453C" w:rsidP="0091453C">
      <w:pPr>
        <w:rPr>
          <w:b/>
        </w:rPr>
      </w:pPr>
      <w:r w:rsidRPr="003A151D">
        <w:t xml:space="preserve">Přepis části vyučovací </w:t>
      </w:r>
      <w:r w:rsidRPr="00DB39AD">
        <w:t xml:space="preserve">hodiny </w:t>
      </w:r>
      <w:r>
        <w:t>(U – učitel, Ž – žák, ŽŽ – žáci)</w:t>
      </w:r>
    </w:p>
    <w:p w:rsidR="0091453C" w:rsidRDefault="0091453C" w:rsidP="0091453C">
      <w:pPr>
        <w:rPr>
          <w:sz w:val="20"/>
        </w:rPr>
      </w:pPr>
      <w:r>
        <w:rPr>
          <w:sz w:val="20"/>
        </w:rPr>
        <w:t xml:space="preserve">B06 37:20 </w:t>
      </w:r>
      <w:r w:rsidR="00287576">
        <w:t>–</w:t>
      </w:r>
      <w:r>
        <w:rPr>
          <w:sz w:val="20"/>
        </w:rPr>
        <w:t xml:space="preserve"> 41:30</w:t>
      </w:r>
    </w:p>
    <w:p w:rsidR="0091453C" w:rsidRDefault="0091453C" w:rsidP="0091453C">
      <w:pPr>
        <w:spacing w:after="120" w:line="276" w:lineRule="auto"/>
      </w:pPr>
    </w:p>
    <w:tbl>
      <w:tblPr>
        <w:tblW w:w="8789" w:type="dxa"/>
        <w:tblInd w:w="212" w:type="dxa"/>
        <w:tblBorders>
          <w:top w:val="single" w:sz="4" w:space="0" w:color="auto"/>
          <w:left w:val="single" w:sz="4" w:space="0" w:color="auto"/>
          <w:bottom w:val="single" w:sz="4" w:space="0" w:color="auto"/>
          <w:right w:val="single" w:sz="4" w:space="0" w:color="auto"/>
          <w:insideV w:val="single" w:sz="4" w:space="0" w:color="auto"/>
        </w:tblBorders>
        <w:tblCellMar>
          <w:left w:w="70" w:type="dxa"/>
          <w:right w:w="70" w:type="dxa"/>
        </w:tblCellMar>
        <w:tblLook w:val="0000" w:firstRow="0" w:lastRow="0" w:firstColumn="0" w:lastColumn="0" w:noHBand="0" w:noVBand="0"/>
      </w:tblPr>
      <w:tblGrid>
        <w:gridCol w:w="8789"/>
      </w:tblGrid>
      <w:tr w:rsidR="0091453C" w:rsidRPr="00772136" w:rsidTr="004874DB">
        <w:tc>
          <w:tcPr>
            <w:tcW w:w="8789" w:type="dxa"/>
          </w:tcPr>
          <w:p w:rsidR="0091453C" w:rsidRPr="00772136" w:rsidRDefault="0091453C" w:rsidP="00426E58">
            <w:pPr>
              <w:spacing w:before="20" w:after="20"/>
              <w:rPr>
                <w:sz w:val="20"/>
              </w:rPr>
            </w:pPr>
            <w:r w:rsidRPr="00772136">
              <w:rPr>
                <w:sz w:val="20"/>
              </w:rPr>
              <w:t xml:space="preserve">U: Tak. </w:t>
            </w:r>
            <w:r w:rsidRPr="00BD2338">
              <w:rPr>
                <w:b/>
                <w:sz w:val="20"/>
              </w:rPr>
              <w:t xml:space="preserve">A teď si napíšeme význam lesů </w:t>
            </w:r>
            <w:r w:rsidRPr="00BD2338">
              <w:rPr>
                <w:sz w:val="20"/>
              </w:rPr>
              <w:t>a každý sám, pak to dáme společně dohromady,</w:t>
            </w:r>
            <w:r w:rsidRPr="00BD2338">
              <w:rPr>
                <w:b/>
                <w:sz w:val="20"/>
              </w:rPr>
              <w:t xml:space="preserve"> každý sám zkusí zapřemýšlet.</w:t>
            </w:r>
            <w:r>
              <w:rPr>
                <w:sz w:val="20"/>
              </w:rPr>
              <w:t xml:space="preserve"> V</w:t>
            </w:r>
            <w:r w:rsidRPr="00772136">
              <w:rPr>
                <w:sz w:val="20"/>
              </w:rPr>
              <w:t xml:space="preserve">íte, že lesy mají nějakou funkci, že plní funkci. </w:t>
            </w:r>
            <w:r w:rsidRPr="00BD2338">
              <w:rPr>
                <w:sz w:val="20"/>
              </w:rPr>
              <w:t>Takže každý si udělá dva tři, dvě tři poznámky, každý sám, potom to dáme společně dohromady, Honzo, teď máš práci, máš přemýšlet nad významem lesů.</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Z: Já přemýšlím.</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 xml:space="preserve">U: Tak. Jaký kromě rekreační funkce, nebo rekreačního významu mají ještě nějaké důležitější, co se týče životního prostředí, ano? Hned. Ještě počkejte, ještě to někteří nemají. Někteří ani ještě nezačali psát, </w:t>
            </w:r>
            <w:r w:rsidRPr="005505D9">
              <w:rPr>
                <w:sz w:val="20"/>
              </w:rPr>
              <w:t>Mončo,</w:t>
            </w:r>
            <w:r w:rsidRPr="00BA76F9">
              <w:rPr>
                <w:b/>
                <w:sz w:val="20"/>
              </w:rPr>
              <w:t xml:space="preserve"> </w:t>
            </w:r>
            <w:r w:rsidRPr="005505D9">
              <w:rPr>
                <w:sz w:val="20"/>
              </w:rPr>
              <w:t>udělejte si pár poznámek, nečekejte, až vám to někdo řekne.</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Z: Určitě.</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U: Vlastíku, ty taky sedíš, hledíš, místo abys.</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Z: Já jsem psal.</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U: Jo, už to máš napsané? Já se hned půjdu podívat, jestli to máš hotové.</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U: Jo? Má tam něco</w:t>
            </w:r>
            <w:r>
              <w:rPr>
                <w:sz w:val="20"/>
              </w:rPr>
              <w:t>,</w:t>
            </w:r>
            <w:r w:rsidRPr="00772136">
              <w:rPr>
                <w:sz w:val="20"/>
              </w:rPr>
              <w:t xml:space="preserve"> Bětko?</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Z: Jo má.</w:t>
            </w:r>
          </w:p>
        </w:tc>
      </w:tr>
      <w:tr w:rsidR="0091453C" w:rsidRPr="00772136" w:rsidTr="004874DB">
        <w:tc>
          <w:tcPr>
            <w:tcW w:w="8789" w:type="dxa"/>
          </w:tcPr>
          <w:p w:rsidR="0091453C" w:rsidRPr="00772136" w:rsidRDefault="00AB3EB1" w:rsidP="00426E58">
            <w:pPr>
              <w:spacing w:before="20" w:after="20"/>
              <w:rPr>
                <w:sz w:val="20"/>
              </w:rPr>
            </w:pPr>
            <w:r>
              <w:rPr>
                <w:sz w:val="20"/>
              </w:rPr>
              <w:t>U: Výborně. Tak.</w:t>
            </w:r>
            <w:r w:rsidR="0091453C" w:rsidRPr="00772136">
              <w:rPr>
                <w:sz w:val="20"/>
              </w:rPr>
              <w:t xml:space="preserve"> Vlastík nám řekne, co má poznačeno jako význam lesů, co sis napsal.</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Z: Nic. Stromy.</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U: Prosím?</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Z: Stromy.</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ZZ: (smích)</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 xml:space="preserve">U: Děcka, nesmějte se, jaké stromy, vysvětli to. </w:t>
            </w:r>
            <w:r w:rsidRPr="00BA76F9">
              <w:rPr>
                <w:b/>
                <w:sz w:val="20"/>
              </w:rPr>
              <w:t>Tak jakou mají funkci, k čemu slouží lesy, Vlasto, jo?</w:t>
            </w:r>
            <w:r w:rsidRPr="00772136">
              <w:rPr>
                <w:sz w:val="20"/>
              </w:rPr>
              <w:t xml:space="preserve"> Význam. To znamená to prospěšné, tak, Milane?</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Z: Paní učitelko, vytváří vzduch.</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Z2: No tak to vím.</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U: Zásobují kyslíkem to ovzduší. Leone?</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Z3: Zpevňují půdu.</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U: Třeba, zabraňují půdní erozi. Jirka?</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Z: Dodávají dřevo a papír.</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U: Tak. Pro průmysl a hospodářství, výborně a ještě jste zapomněli důležité dvě, důležité dvě funkce?</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Z: Zachycování dešťové vody?</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U: Zachycují škodlivé látky z ovzduší, takže zachycují škodliviny a zabraňují</w:t>
            </w:r>
            <w:r>
              <w:rPr>
                <w:sz w:val="20"/>
              </w:rPr>
              <w:t xml:space="preserve"> </w:t>
            </w:r>
            <w:r w:rsidRPr="00772136">
              <w:rPr>
                <w:sz w:val="20"/>
              </w:rPr>
              <w:t>H-L-U-Č-N-O ?</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Z: Hlučnosti.</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U: Hlučnosti, výborně.</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Z: Ještě zadržují vodu.</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U: Zadržují vodu, výborně, takže i pro podnebí mají význam, říkali jsme tu erozi, to znamená odnos, zpevňují tu půdu, takže každý si tam poznačí nějaký ten význam, ano? Takže zabraňují nebo zachycují škodlivé látky, kdo to ještě nemá, zachycují škodliviny, zabraňují hlučnosti, snižují hlučnost. Marek už má všechno napsané? Rekreační význam jsme si říkali a hospodářský pro průmysl, jak tady říkal David, třeba dřevozpracující.</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Z: To jsem říkal já.</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U: Poslední, co si poznačíme</w:t>
            </w:r>
            <w:r>
              <w:rPr>
                <w:sz w:val="20"/>
              </w:rPr>
              <w:t>,</w:t>
            </w:r>
            <w:r w:rsidRPr="00772136">
              <w:rPr>
                <w:sz w:val="20"/>
              </w:rPr>
              <w:t xml:space="preserve"> je ekologická stabilita krajiny, Martine.</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Z: Ekonomická?</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U: Ekologická, ne ekonomická, je to to slovo ekologie, to jsme ještě zapomněli dneska.</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Z: To jsou ti ekologové.</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Z2: Greenpeace!</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 xml:space="preserve">U: Jirko! Tak, slovo ekologie, s tím se setkáváte stále, dennodenně a vidíme, že ekologie, jiným slovem </w:t>
            </w:r>
            <w:r w:rsidR="00AB3EB1">
              <w:rPr>
                <w:sz w:val="20"/>
              </w:rPr>
              <w:t>bychom</w:t>
            </w:r>
            <w:r w:rsidRPr="00772136">
              <w:rPr>
                <w:sz w:val="20"/>
              </w:rPr>
              <w:t xml:space="preserve"> mohli říct, Míšo, je ochrana?</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Z: Přírody.</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U: Přírody, ano. Životního prostředí, ano, výborně. Takže ekologická stabilita krajiny, co to asi bude?</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Z: Když se něco vykácí, tak se to hnedka zalesňuje.</w:t>
            </w:r>
          </w:p>
        </w:tc>
      </w:tr>
      <w:tr w:rsidR="0091453C" w:rsidRPr="00772136" w:rsidTr="004874DB">
        <w:tc>
          <w:tcPr>
            <w:tcW w:w="8789" w:type="dxa"/>
          </w:tcPr>
          <w:p w:rsidR="0091453C" w:rsidRPr="00772136" w:rsidRDefault="0091453C" w:rsidP="00426E58">
            <w:pPr>
              <w:spacing w:before="20" w:after="20"/>
              <w:rPr>
                <w:sz w:val="20"/>
              </w:rPr>
            </w:pPr>
            <w:r w:rsidRPr="00772136">
              <w:rPr>
                <w:sz w:val="20"/>
              </w:rPr>
              <w:t>U: Ano, nějakým způsobem ta krajina se vrací do</w:t>
            </w:r>
            <w:r>
              <w:rPr>
                <w:sz w:val="20"/>
              </w:rPr>
              <w:t xml:space="preserve"> původního stavu.</w:t>
            </w:r>
          </w:p>
        </w:tc>
      </w:tr>
    </w:tbl>
    <w:p w:rsidR="00F80BDD" w:rsidRDefault="00F80BDD" w:rsidP="0091453C">
      <w:pPr>
        <w:spacing w:after="120" w:line="276" w:lineRule="auto"/>
        <w:jc w:val="both"/>
      </w:pPr>
    </w:p>
    <w:p w:rsidR="0091453C" w:rsidRDefault="00D557A2" w:rsidP="0091453C">
      <w:pPr>
        <w:spacing w:after="120" w:line="276" w:lineRule="auto"/>
        <w:jc w:val="both"/>
      </w:pPr>
      <w:r w:rsidRPr="004874DB">
        <w:rPr>
          <w:i/>
        </w:rPr>
        <w:t>Analýza:</w:t>
      </w:r>
      <w:r>
        <w:rPr>
          <w:b/>
        </w:rPr>
        <w:t xml:space="preserve"> </w:t>
      </w:r>
      <w:r w:rsidR="0091453C">
        <w:t xml:space="preserve">Učební úloha vyžadující po žácích zamyslet se nad významem lesů poměrně zdařile reprezentuje charakter geografického učiva, neboť tematizuje fungování ekosystému lesa na pozadí možností jeho využití lidskou společností. Z hlediska systémovosti je možné učební úlohu zařadit do úrovně II. Jde zde především o porozumění </w:t>
      </w:r>
      <w:r w:rsidR="0091453C" w:rsidRPr="0083084A">
        <w:t>vztahům a souvislostem mezi jednotlivými prvky systému.</w:t>
      </w:r>
      <w:r w:rsidR="0091453C">
        <w:t xml:space="preserve"> Přestože vyučující </w:t>
      </w:r>
      <w:r w:rsidR="0091453C" w:rsidRPr="00FF6C64">
        <w:t>nechává na žácích, aby zkonstruovali a vymysleli</w:t>
      </w:r>
      <w:r w:rsidR="0091453C">
        <w:t xml:space="preserve"> odpovědi, edukační potenciál učební úlohy se snižuje s ohledem na její nízkou komplexitu. Přestože se jedná o otevřenou otázku, nejsou k jejímu řešení potřeba znalosti pravidel či složitějších vztahů. Obdobné je možné konstatovat také o náročnosti učební úlohy.</w:t>
      </w:r>
    </w:p>
    <w:p w:rsidR="0091453C" w:rsidRDefault="00D557A2" w:rsidP="0091453C">
      <w:pPr>
        <w:spacing w:after="120" w:line="276" w:lineRule="auto"/>
        <w:jc w:val="both"/>
      </w:pPr>
      <w:r>
        <w:rPr>
          <w:i/>
        </w:rPr>
        <w:t>Shrnující k</w:t>
      </w:r>
      <w:r w:rsidRPr="00C01C4E">
        <w:rPr>
          <w:i/>
        </w:rPr>
        <w:t>omentář výzkumníka:</w:t>
      </w:r>
      <w:r w:rsidRPr="00F57FED">
        <w:t xml:space="preserve"> </w:t>
      </w:r>
      <w:r w:rsidR="0091453C">
        <w:t>Je velmi pravděpodobné, že učební úloha pro většinu žáků nebude představovat pro žáky 9. ročníku ZŠ kognitivní výzvu. Na příkladu této učební úlohy je možné demonstrovat propojenost jednotlivých dimenzí teoretického modelu příležitostí k utváření a rozvíjení kompetence k řešení problémů. Aby učební úlohu bylo možné považovat za problémovou, bylo by nutné ji alterovat zejména v tom smyslu, aby byla zřetelněji zacílena například na geografické procesy odehrávající se v ekosystému lesa. V případě, že by měli žáci nacházet souvislosti mezi jednotlivými geografickými procesy, zvýšila by se také její komplexita a náročnost. Pokud bychom zůstali u funkcí lesa, bylo by možné zvýšit komplexitu i náročnost učební úlohy tím, že by žáci mohli předpovídat, co by se stalo v případě, že by některá z funkcí lesa byla narušena, a jakými opatřeními by bylo možné tomuto narušení čelit.</w:t>
      </w:r>
      <w:r w:rsidR="00903B93">
        <w:t xml:space="preserve"> Z přepisu vyučovací hodiny bohužel není možné zprostředkovat atmosféru, ve které se výuková situace odehrává. </w:t>
      </w:r>
      <w:r w:rsidR="0085209C">
        <w:t>Očima výzkumníka lze analyzovanou hodinu označit jako nezřetelně strukturovanou a obtížně analyzovatelnou</w:t>
      </w:r>
      <w:r w:rsidR="008A431A">
        <w:t xml:space="preserve"> z hlediska interakcí, které se v ní odehrávají</w:t>
      </w:r>
      <w:r w:rsidR="0085209C">
        <w:t xml:space="preserve">. Tím, že učitelka propojuje výklad nového učiva se souběžným diktováním </w:t>
      </w:r>
      <w:r w:rsidR="008A431A">
        <w:t xml:space="preserve">zápisu do sešitu, se stává její </w:t>
      </w:r>
      <w:r w:rsidR="005505D9">
        <w:t>hlasový projev</w:t>
      </w:r>
      <w:r w:rsidR="008A431A">
        <w:t xml:space="preserve"> značně monotónní. Žáci jsou celou vyučovací hodinu zaměstnaní</w:t>
      </w:r>
      <w:r w:rsidR="00EA16CC">
        <w:t xml:space="preserve"> (a tudíž ukáznění)</w:t>
      </w:r>
      <w:r w:rsidR="008A431A">
        <w:t xml:space="preserve">, nicméně </w:t>
      </w:r>
      <w:r w:rsidR="00076D4F">
        <w:t xml:space="preserve">nelze hovořit o jejich výraznější kognitivní aktivizaci. </w:t>
      </w:r>
      <w:r w:rsidR="00C535A2">
        <w:t xml:space="preserve">V případě zvýšení </w:t>
      </w:r>
      <w:r w:rsidR="00E94256">
        <w:t xml:space="preserve">systémovosti, komplexity a náročnosti učební úlohy může </w:t>
      </w:r>
      <w:r w:rsidR="00D50648">
        <w:t>ve vyučovací hodině dojít k narušení nepsané dohody mezi učitelem a žáky o výměně nulové</w:t>
      </w:r>
      <w:r w:rsidR="00912A88">
        <w:t>/nízké</w:t>
      </w:r>
      <w:r w:rsidR="00D50648">
        <w:t xml:space="preserve"> kognitivní aktivizace </w:t>
      </w:r>
      <w:r w:rsidR="00912A88">
        <w:t xml:space="preserve">žáků </w:t>
      </w:r>
      <w:r w:rsidR="007071AF">
        <w:t>na</w:t>
      </w:r>
      <w:r w:rsidR="00912A88">
        <w:t xml:space="preserve"> stran</w:t>
      </w:r>
      <w:r w:rsidR="007071AF">
        <w:t>ě</w:t>
      </w:r>
      <w:r w:rsidR="00912A88">
        <w:t xml:space="preserve"> učitele </w:t>
      </w:r>
      <w:r w:rsidR="00D50648">
        <w:t xml:space="preserve">za relativní ukázněnost </w:t>
      </w:r>
      <w:r w:rsidR="007071AF">
        <w:t>na straně žáků</w:t>
      </w:r>
      <w:r w:rsidR="00D50648">
        <w:t>.</w:t>
      </w:r>
      <w:r w:rsidR="007071AF">
        <w:t xml:space="preserve"> V tomto případě hrozí, že vyučovací hodina</w:t>
      </w:r>
      <w:r w:rsidR="00030054">
        <w:t xml:space="preserve"> se může proměnit v boj o moc mezi učitelkou a žáky.</w:t>
      </w:r>
      <w:r w:rsidR="00D50648">
        <w:rPr>
          <w:rStyle w:val="Znakapoznpodarou"/>
        </w:rPr>
        <w:footnoteReference w:id="98"/>
      </w:r>
      <w:r w:rsidR="00D50648">
        <w:t xml:space="preserve"> </w:t>
      </w:r>
    </w:p>
    <w:p w:rsidR="002C5AAA" w:rsidRDefault="002C5AAA" w:rsidP="00F57FED">
      <w:pPr>
        <w:spacing w:line="276" w:lineRule="auto"/>
        <w:jc w:val="both"/>
      </w:pPr>
    </w:p>
    <w:p w:rsidR="00681C3A" w:rsidRPr="00260F34" w:rsidRDefault="00681C3A" w:rsidP="00B26430">
      <w:pPr>
        <w:pStyle w:val="Nadpis3"/>
      </w:pPr>
      <w:bookmarkStart w:id="115" w:name="_Toc399775443"/>
      <w:r w:rsidRPr="00B26430">
        <w:t>Výuková</w:t>
      </w:r>
      <w:r w:rsidRPr="00260F34">
        <w:t xml:space="preserve"> </w:t>
      </w:r>
      <w:r w:rsidRPr="00B26430">
        <w:t>situace</w:t>
      </w:r>
      <w:r w:rsidRPr="00260F34">
        <w:t xml:space="preserve"> č. </w:t>
      </w:r>
      <w:r w:rsidR="0091453C">
        <w:t>7</w:t>
      </w:r>
      <w:r w:rsidRPr="00260F34">
        <w:t xml:space="preserve">: </w:t>
      </w:r>
      <w:r w:rsidR="00487FE7">
        <w:t xml:space="preserve">Změny </w:t>
      </w:r>
      <w:r w:rsidR="00655765">
        <w:t xml:space="preserve">a ochrana </w:t>
      </w:r>
      <w:r w:rsidR="00487FE7">
        <w:t>přírodních složek krajiny</w:t>
      </w:r>
      <w:bookmarkEnd w:id="115"/>
      <w:r w:rsidR="00487FE7">
        <w:t xml:space="preserve"> </w:t>
      </w:r>
    </w:p>
    <w:p w:rsidR="00DA2E47" w:rsidRPr="00567760" w:rsidRDefault="00A50DC5" w:rsidP="005505D9">
      <w:pPr>
        <w:spacing w:after="120" w:line="276" w:lineRule="auto"/>
        <w:jc w:val="both"/>
      </w:pPr>
      <w:r w:rsidRPr="004874DB">
        <w:rPr>
          <w:i/>
        </w:rPr>
        <w:t>Anotace:</w:t>
      </w:r>
      <w:r>
        <w:rPr>
          <w:b/>
        </w:rPr>
        <w:t xml:space="preserve"> </w:t>
      </w:r>
      <w:r w:rsidR="001B4758" w:rsidRPr="00567760">
        <w:t>Výuková situace je součástí vyučovací hodiny, jež navazuje na vyučovací hodinu</w:t>
      </w:r>
      <w:r w:rsidR="00D21675">
        <w:t xml:space="preserve"> věnovanou biosféře</w:t>
      </w:r>
      <w:r w:rsidR="001B4758" w:rsidRPr="00567760">
        <w:t xml:space="preserve">, jejíž součástí </w:t>
      </w:r>
      <w:r w:rsidR="00567760">
        <w:t>byla předešlá</w:t>
      </w:r>
      <w:r w:rsidR="002E0826">
        <w:t xml:space="preserve"> </w:t>
      </w:r>
      <w:r w:rsidR="001B4758" w:rsidRPr="00567760">
        <w:t>výuková situace</w:t>
      </w:r>
      <w:r w:rsidR="00567760">
        <w:t>.</w:t>
      </w:r>
      <w:r w:rsidR="001B4758" w:rsidRPr="00567760">
        <w:t xml:space="preserve"> </w:t>
      </w:r>
      <w:r w:rsidR="00D21675">
        <w:t xml:space="preserve">Tématem analyzované vyučovací hodiny je ochrana přírody a krajiny. </w:t>
      </w:r>
      <w:r w:rsidR="00726563">
        <w:t xml:space="preserve">Učitelka </w:t>
      </w:r>
      <w:r w:rsidR="008350A9">
        <w:t xml:space="preserve">formou výkladu a souběžného diktování zápisu do sešitu </w:t>
      </w:r>
      <w:r w:rsidR="00726563">
        <w:t xml:space="preserve">seznamuje </w:t>
      </w:r>
      <w:r w:rsidR="008350A9">
        <w:t>žáky s jednotlivými typy krajin</w:t>
      </w:r>
      <w:r w:rsidR="00726563">
        <w:t xml:space="preserve"> (přírodní, kulturní</w:t>
      </w:r>
      <w:r w:rsidR="00BE10BD">
        <w:t xml:space="preserve">) a </w:t>
      </w:r>
      <w:r w:rsidR="006F0740">
        <w:t>typologií</w:t>
      </w:r>
      <w:r w:rsidR="00BE10BD">
        <w:t xml:space="preserve"> chráněných území i s příklady (národní parky, chráněné krajinné oblasti</w:t>
      </w:r>
      <w:r w:rsidR="006F0740">
        <w:t xml:space="preserve"> apod.</w:t>
      </w:r>
      <w:r w:rsidR="00BE10BD">
        <w:t>).</w:t>
      </w:r>
      <w:r w:rsidR="00726563">
        <w:t xml:space="preserve"> </w:t>
      </w:r>
      <w:r w:rsidR="00EE22C3">
        <w:t>Žáci souběžně pracují s atlasem a píší zápis do sešitu.</w:t>
      </w:r>
      <w:r w:rsidR="008350A9">
        <w:t xml:space="preserve"> Na konci hodiny učitelka </w:t>
      </w:r>
      <w:r w:rsidR="002728E3">
        <w:t xml:space="preserve">zahajuje výklad o ochraně životního prostředí a </w:t>
      </w:r>
      <w:r w:rsidR="008350A9">
        <w:t xml:space="preserve">zadává </w:t>
      </w:r>
      <w:r w:rsidR="002728E3">
        <w:t xml:space="preserve">žákům </w:t>
      </w:r>
      <w:r w:rsidR="008350A9">
        <w:t>domácí úkol, jehož součástí je mimo jiné několik problémových učebních úloh</w:t>
      </w:r>
      <w:r w:rsidR="002728E3">
        <w:t>.</w:t>
      </w:r>
      <w:r w:rsidR="006450EC">
        <w:t xml:space="preserve"> </w:t>
      </w:r>
      <w:r w:rsidR="00BF5144">
        <w:t>Žáky vypracované ř</w:t>
      </w:r>
      <w:r w:rsidR="006450EC">
        <w:t>ešení jednotlivých učebních úloh by mělo sloužit jako podklad k diskusi v</w:t>
      </w:r>
      <w:r w:rsidR="00BF5144">
        <w:t> </w:t>
      </w:r>
      <w:r>
        <w:t>následující</w:t>
      </w:r>
      <w:r w:rsidR="00BF5144">
        <w:t xml:space="preserve"> vyučovací hodině.</w:t>
      </w:r>
      <w:r w:rsidR="00BF5144">
        <w:rPr>
          <w:rStyle w:val="Znakapoznpodarou"/>
        </w:rPr>
        <w:footnoteReference w:id="99"/>
      </w:r>
    </w:p>
    <w:p w:rsidR="001B4758" w:rsidRDefault="001B4758" w:rsidP="006114C2"/>
    <w:p w:rsidR="006114C2" w:rsidRPr="00220984" w:rsidRDefault="006114C2" w:rsidP="006114C2">
      <w:pPr>
        <w:rPr>
          <w:b/>
        </w:rPr>
      </w:pPr>
      <w:r w:rsidRPr="003A151D">
        <w:t xml:space="preserve">Přepis části vyučovací </w:t>
      </w:r>
      <w:r w:rsidRPr="00DB39AD">
        <w:t xml:space="preserve">hodiny </w:t>
      </w:r>
      <w:r>
        <w:t>(U – učitel, Ž – žák, ŽŽ – žáci)</w:t>
      </w:r>
    </w:p>
    <w:p w:rsidR="001037E3" w:rsidRDefault="00B578D4" w:rsidP="001037E3">
      <w:pPr>
        <w:rPr>
          <w:sz w:val="20"/>
        </w:rPr>
      </w:pPr>
      <w:r>
        <w:rPr>
          <w:sz w:val="20"/>
        </w:rPr>
        <w:t>B</w:t>
      </w:r>
      <w:r w:rsidR="001037E3">
        <w:rPr>
          <w:sz w:val="20"/>
        </w:rPr>
        <w:t>0</w:t>
      </w:r>
      <w:r>
        <w:rPr>
          <w:sz w:val="20"/>
        </w:rPr>
        <w:t>7</w:t>
      </w:r>
      <w:r w:rsidR="001037E3">
        <w:rPr>
          <w:sz w:val="20"/>
        </w:rPr>
        <w:t xml:space="preserve"> 41:20 </w:t>
      </w:r>
      <w:r w:rsidR="00287576">
        <w:t>–</w:t>
      </w:r>
      <w:r w:rsidR="001037E3">
        <w:rPr>
          <w:sz w:val="20"/>
        </w:rPr>
        <w:t xml:space="preserve"> 43:50</w:t>
      </w:r>
    </w:p>
    <w:p w:rsidR="00681C3A" w:rsidRDefault="00681C3A" w:rsidP="00681C3A">
      <w:pPr>
        <w:spacing w:after="120" w:line="276" w:lineRule="auto"/>
      </w:pPr>
    </w:p>
    <w:tbl>
      <w:tblPr>
        <w:tblW w:w="8789" w:type="dxa"/>
        <w:tblInd w:w="212" w:type="dxa"/>
        <w:tblBorders>
          <w:top w:val="single" w:sz="4" w:space="0" w:color="auto"/>
          <w:left w:val="single" w:sz="4" w:space="0" w:color="auto"/>
          <w:bottom w:val="single" w:sz="4" w:space="0" w:color="auto"/>
          <w:right w:val="single" w:sz="4" w:space="0" w:color="auto"/>
          <w:insideV w:val="single" w:sz="4" w:space="0" w:color="auto"/>
        </w:tblBorders>
        <w:tblCellMar>
          <w:left w:w="70" w:type="dxa"/>
          <w:right w:w="70" w:type="dxa"/>
        </w:tblCellMar>
        <w:tblLook w:val="0000" w:firstRow="0" w:lastRow="0" w:firstColumn="0" w:lastColumn="0" w:noHBand="0" w:noVBand="0"/>
      </w:tblPr>
      <w:tblGrid>
        <w:gridCol w:w="8789"/>
      </w:tblGrid>
      <w:tr w:rsidR="001037E3" w:rsidRPr="00772136" w:rsidTr="00D16549">
        <w:tc>
          <w:tcPr>
            <w:tcW w:w="8789" w:type="dxa"/>
          </w:tcPr>
          <w:p w:rsidR="001037E3" w:rsidRPr="00967751" w:rsidRDefault="001037E3" w:rsidP="00A720FB">
            <w:pPr>
              <w:spacing w:before="20" w:after="20"/>
              <w:rPr>
                <w:sz w:val="20"/>
              </w:rPr>
            </w:pPr>
            <w:r w:rsidRPr="00967751">
              <w:rPr>
                <w:sz w:val="20"/>
              </w:rPr>
              <w:t xml:space="preserve">U: </w:t>
            </w:r>
            <w:r w:rsidRPr="00110F85">
              <w:rPr>
                <w:b/>
                <w:sz w:val="20"/>
              </w:rPr>
              <w:t>Tak každý popřemýšlí, jakým způsobem se mění povrch na naší planetě</w:t>
            </w:r>
            <w:r w:rsidR="00110F85">
              <w:rPr>
                <w:b/>
                <w:sz w:val="20"/>
              </w:rPr>
              <w:t>. Nejen</w:t>
            </w:r>
            <w:r w:rsidRPr="00110F85">
              <w:rPr>
                <w:b/>
                <w:sz w:val="20"/>
              </w:rPr>
              <w:t xml:space="preserve"> v České republice</w:t>
            </w:r>
            <w:r w:rsidR="00110F85">
              <w:rPr>
                <w:b/>
                <w:sz w:val="20"/>
              </w:rPr>
              <w:t>,</w:t>
            </w:r>
            <w:r w:rsidRPr="00110F85">
              <w:rPr>
                <w:b/>
                <w:sz w:val="20"/>
              </w:rPr>
              <w:t xml:space="preserve"> ale obecně. </w:t>
            </w:r>
            <w:r w:rsidR="00B578D4" w:rsidRPr="00110F85">
              <w:rPr>
                <w:b/>
                <w:sz w:val="20"/>
              </w:rPr>
              <w:t>K čemu dochází, jak se mění reliéf.</w:t>
            </w:r>
            <w:r w:rsidR="00B578D4" w:rsidRPr="00967751">
              <w:rPr>
                <w:sz w:val="20"/>
              </w:rPr>
              <w:t xml:space="preserve"> Za druhé, nebo druhá odrážka. </w:t>
            </w:r>
            <w:r w:rsidR="00B578D4" w:rsidRPr="00110F85">
              <w:rPr>
                <w:b/>
                <w:sz w:val="20"/>
              </w:rPr>
              <w:t xml:space="preserve">Změny podnebí a ochrana čistoty ovzduší. </w:t>
            </w:r>
            <w:r w:rsidR="00B578D4" w:rsidRPr="00967751">
              <w:rPr>
                <w:sz w:val="20"/>
              </w:rPr>
              <w:t>Tak. Druhá odrážka změny podnebí, Marku, máš to napsané? A ochrana čistoty ovzduší. Takže zase</w:t>
            </w:r>
            <w:r w:rsidR="00110F85">
              <w:rPr>
                <w:sz w:val="20"/>
              </w:rPr>
              <w:t>,</w:t>
            </w:r>
            <w:r w:rsidR="00B578D4" w:rsidRPr="00967751">
              <w:rPr>
                <w:sz w:val="20"/>
              </w:rPr>
              <w:t xml:space="preserve"> jakým způsobem dochází ke změnám klimatu, ne jenom co se týká České republiky, ale vůbec celosvětově. Víte, že dneska je to velmi takové téma, které slyšíme stále ve zprávách a určitě to sledujete. Takže změny podnebí. Za třetí, nebo třetí odrážka </w:t>
            </w:r>
            <w:r w:rsidR="00B578D4" w:rsidRPr="00110F85">
              <w:rPr>
                <w:b/>
                <w:sz w:val="20"/>
              </w:rPr>
              <w:t>změny hydrosféry a ochrana čistoty vod.</w:t>
            </w:r>
            <w:r w:rsidR="00B578D4" w:rsidRPr="00967751">
              <w:rPr>
                <w:sz w:val="20"/>
              </w:rPr>
              <w:t xml:space="preserve"> Změny hydrosféry a ochrana čistoty vod. Takže první jsme měli povrch, druhá, druhý bod bylo podnebí a třetí je hydrosféra. Čtvrté, čtvrtý, </w:t>
            </w:r>
            <w:r w:rsidR="00B578D4" w:rsidRPr="00110F85">
              <w:rPr>
                <w:b/>
                <w:sz w:val="20"/>
              </w:rPr>
              <w:t>změny půd a jejich ochrana</w:t>
            </w:r>
            <w:r w:rsidR="00B578D4" w:rsidRPr="00967751">
              <w:rPr>
                <w:sz w:val="20"/>
              </w:rPr>
              <w:t>. Změny půd a jejich ochrana a poslední… Honzo, já jsem říkala, že ten domácí úkol je na doma, ano? A ne, že na tom budeš pracovat teď.</w:t>
            </w:r>
          </w:p>
        </w:tc>
      </w:tr>
      <w:tr w:rsidR="001037E3" w:rsidRPr="00772136" w:rsidTr="00D16549">
        <w:tc>
          <w:tcPr>
            <w:tcW w:w="8789" w:type="dxa"/>
          </w:tcPr>
          <w:p w:rsidR="001037E3" w:rsidRPr="00967751" w:rsidRDefault="001037E3" w:rsidP="00A720FB">
            <w:pPr>
              <w:spacing w:before="20" w:after="20"/>
              <w:rPr>
                <w:sz w:val="20"/>
              </w:rPr>
            </w:pPr>
            <w:r w:rsidRPr="00967751">
              <w:rPr>
                <w:sz w:val="20"/>
              </w:rPr>
              <w:t>Z: Já už jsem pracoval tady, no.</w:t>
            </w:r>
          </w:p>
        </w:tc>
      </w:tr>
      <w:tr w:rsidR="001037E3" w:rsidRPr="00772136" w:rsidTr="00D16549">
        <w:tc>
          <w:tcPr>
            <w:tcW w:w="8789" w:type="dxa"/>
          </w:tcPr>
          <w:p w:rsidR="001037E3" w:rsidRPr="00967751" w:rsidRDefault="001037E3" w:rsidP="00A720FB">
            <w:pPr>
              <w:spacing w:before="20" w:after="20"/>
              <w:rPr>
                <w:sz w:val="20"/>
              </w:rPr>
            </w:pPr>
            <w:r w:rsidRPr="00967751">
              <w:rPr>
                <w:sz w:val="20"/>
              </w:rPr>
              <w:t>U: Ale teď máš pracovat úplně na něčem jiném. A za čtvrté, za páté</w:t>
            </w:r>
            <w:r w:rsidR="00B578D4" w:rsidRPr="00967751">
              <w:rPr>
                <w:sz w:val="20"/>
              </w:rPr>
              <w:t xml:space="preserve"> </w:t>
            </w:r>
            <w:r w:rsidR="00110F85">
              <w:rPr>
                <w:b/>
                <w:sz w:val="20"/>
              </w:rPr>
              <w:t>změny bioty a její</w:t>
            </w:r>
            <w:r w:rsidR="00B578D4" w:rsidRPr="00110F85">
              <w:rPr>
                <w:b/>
                <w:sz w:val="20"/>
              </w:rPr>
              <w:t xml:space="preserve"> ochrana</w:t>
            </w:r>
            <w:r w:rsidR="00B578D4" w:rsidRPr="00967751">
              <w:rPr>
                <w:sz w:val="20"/>
              </w:rPr>
              <w:t>. Změny bioty. Ano? Takže jsme měli před tím půdy, Milane, stíháš? Milane, už to máš napsané? Můžeš zopakovat?</w:t>
            </w:r>
          </w:p>
        </w:tc>
      </w:tr>
      <w:tr w:rsidR="001037E3" w:rsidRPr="00772136" w:rsidTr="00D16549">
        <w:tc>
          <w:tcPr>
            <w:tcW w:w="8789" w:type="dxa"/>
          </w:tcPr>
          <w:p w:rsidR="001037E3" w:rsidRPr="00967751" w:rsidRDefault="001037E3" w:rsidP="00A720FB">
            <w:pPr>
              <w:spacing w:before="20" w:after="20"/>
              <w:rPr>
                <w:sz w:val="20"/>
              </w:rPr>
            </w:pPr>
            <w:r w:rsidRPr="00967751">
              <w:rPr>
                <w:sz w:val="20"/>
              </w:rPr>
              <w:t>Z: Ne, nemůžu.</w:t>
            </w:r>
          </w:p>
        </w:tc>
      </w:tr>
      <w:tr w:rsidR="001037E3" w:rsidRPr="00772136" w:rsidTr="00D16549">
        <w:tc>
          <w:tcPr>
            <w:tcW w:w="8789" w:type="dxa"/>
          </w:tcPr>
          <w:p w:rsidR="001037E3" w:rsidRPr="00967751" w:rsidRDefault="001037E3" w:rsidP="00A720FB">
            <w:pPr>
              <w:spacing w:before="20" w:after="20"/>
              <w:rPr>
                <w:sz w:val="20"/>
              </w:rPr>
            </w:pPr>
            <w:r w:rsidRPr="00967751">
              <w:rPr>
                <w:sz w:val="20"/>
              </w:rPr>
              <w:t>U: Ptej se. Změny půd a teď změny</w:t>
            </w:r>
            <w:r w:rsidR="00B578D4" w:rsidRPr="00967751">
              <w:rPr>
                <w:sz w:val="20"/>
              </w:rPr>
              <w:t xml:space="preserve"> bioty. </w:t>
            </w:r>
            <w:r w:rsidR="00B578D4" w:rsidRPr="00110F85">
              <w:rPr>
                <w:b/>
                <w:sz w:val="20"/>
              </w:rPr>
              <w:t>Tak popřemýšlíte a ke každému bodu si zkusíte vymyslet, popřemýšlet nad nějakým konkrétním příkladem, nemusí to být jenom v České republice, ale třeba i co se týče celého světa.</w:t>
            </w:r>
          </w:p>
        </w:tc>
      </w:tr>
    </w:tbl>
    <w:p w:rsidR="003A151D" w:rsidRDefault="003A151D" w:rsidP="00AB2BC6">
      <w:pPr>
        <w:spacing w:after="120" w:line="276" w:lineRule="auto"/>
      </w:pPr>
    </w:p>
    <w:p w:rsidR="00771CE2" w:rsidRDefault="00030054" w:rsidP="00753496">
      <w:pPr>
        <w:autoSpaceDE w:val="0"/>
        <w:autoSpaceDN w:val="0"/>
        <w:adjustRightInd w:val="0"/>
        <w:spacing w:after="120" w:line="276" w:lineRule="auto"/>
        <w:jc w:val="both"/>
      </w:pPr>
      <w:r w:rsidRPr="004874DB">
        <w:rPr>
          <w:i/>
        </w:rPr>
        <w:t>Analýza:</w:t>
      </w:r>
      <w:r>
        <w:rPr>
          <w:b/>
        </w:rPr>
        <w:t xml:space="preserve"> </w:t>
      </w:r>
      <w:r w:rsidR="00771CE2">
        <w:t>V ukázce je obsaženo hned několik problémových učebních úloh</w:t>
      </w:r>
      <w:r w:rsidR="002728E3">
        <w:t xml:space="preserve"> (</w:t>
      </w:r>
      <w:r w:rsidR="00771CE2" w:rsidRPr="006450EC">
        <w:rPr>
          <w:i/>
        </w:rPr>
        <w:t xml:space="preserve">K jakým změnám </w:t>
      </w:r>
      <w:r w:rsidR="002728E3" w:rsidRPr="006450EC">
        <w:rPr>
          <w:i/>
        </w:rPr>
        <w:t xml:space="preserve">povrchu, podnebí, vodstva, půd a </w:t>
      </w:r>
      <w:r w:rsidR="00771CE2" w:rsidRPr="006450EC">
        <w:rPr>
          <w:i/>
        </w:rPr>
        <w:t>bioty dochází ve světě, a jak je možné těmto změnám čelit?</w:t>
      </w:r>
      <w:r w:rsidR="002728E3">
        <w:t>)</w:t>
      </w:r>
      <w:r w:rsidR="006450EC">
        <w:t>.</w:t>
      </w:r>
      <w:r w:rsidR="00771CE2">
        <w:t xml:space="preserve"> </w:t>
      </w:r>
      <w:r w:rsidR="00C7612C">
        <w:t xml:space="preserve">Z hlediska systémovosti se jedná o učební úlohu </w:t>
      </w:r>
      <w:r w:rsidR="00771CE2">
        <w:t>nejvyšší úrovně (úroveň III)</w:t>
      </w:r>
      <w:r w:rsidR="00C7612C">
        <w:t xml:space="preserve">. K řešení učební úlohy žák musí být schopen </w:t>
      </w:r>
      <w:r w:rsidR="00771CE2">
        <w:t xml:space="preserve">identifikovat procesy odehrávající se v jednotlivých přírodních složkách krajiny, případně v jejich vzájemné interakci. Interakce člověka a prostředí je v zadání učební úlohy zdůrazněna zvláštním zřetelem k ochraně jednotlivých složek krajiny. Žák by měl identifikovat souvislost mezi změnami jednotlivých složek krajiny a současně potřebou jejich udržitelnosti. Jelikož každá dílčí část učební úlohy má více možných řešení, jedná se o učební úlohu nejvyšší úrovně komplexity (úroveň III). Učební úlohu je možné taktéž přiřadit do nejvyšší úrovně náročnosti (úroveň III), neboť se očekává, že žák prokáže schopnost samostatně </w:t>
      </w:r>
      <w:r w:rsidR="00110F85">
        <w:t>navrhovat možné způsoby přírodních složek krajiny</w:t>
      </w:r>
      <w:r w:rsidR="006450EC">
        <w:t xml:space="preserve"> a následně je obhájit v diskusi.</w:t>
      </w:r>
    </w:p>
    <w:p w:rsidR="00753496" w:rsidRPr="005E7AF7" w:rsidRDefault="00030054" w:rsidP="007508A4">
      <w:pPr>
        <w:spacing w:after="120" w:line="276" w:lineRule="auto"/>
        <w:jc w:val="both"/>
      </w:pPr>
      <w:r>
        <w:rPr>
          <w:i/>
        </w:rPr>
        <w:t>Shrnující k</w:t>
      </w:r>
      <w:r w:rsidRPr="00C01C4E">
        <w:rPr>
          <w:i/>
        </w:rPr>
        <w:t>omentář výzkumníka:</w:t>
      </w:r>
      <w:r w:rsidR="001B4758">
        <w:rPr>
          <w:i/>
        </w:rPr>
        <w:t xml:space="preserve"> </w:t>
      </w:r>
      <w:r w:rsidR="00240386">
        <w:t xml:space="preserve">Ukázka je cenná nejen tím, že obsažené učební úlohy jsou zaměřeny na samostatný sběr </w:t>
      </w:r>
      <w:r w:rsidR="00110F85">
        <w:t xml:space="preserve">a zpracování informací </w:t>
      </w:r>
      <w:r w:rsidR="00240386">
        <w:t>a (v ideálním případě) samostatné generování možných způsobů řešení, ale</w:t>
      </w:r>
      <w:r w:rsidR="00110F85">
        <w:t xml:space="preserve"> současně také</w:t>
      </w:r>
      <w:r w:rsidR="00240386">
        <w:t xml:space="preserve"> ukazuje, že </w:t>
      </w:r>
      <w:r w:rsidR="00EB5371">
        <w:t xml:space="preserve">učitel řešení </w:t>
      </w:r>
      <w:r w:rsidR="00240386">
        <w:t>problémov</w:t>
      </w:r>
      <w:r w:rsidR="00EB5371">
        <w:t>ých</w:t>
      </w:r>
      <w:r w:rsidR="00240386">
        <w:t xml:space="preserve"> učební</w:t>
      </w:r>
      <w:r w:rsidR="00EB5371">
        <w:t>ch úloh</w:t>
      </w:r>
      <w:r w:rsidR="00240386">
        <w:t xml:space="preserve"> </w:t>
      </w:r>
      <w:r w:rsidR="00EB5371">
        <w:t>patrně kvůli</w:t>
      </w:r>
      <w:r w:rsidR="00240386">
        <w:t xml:space="preserve"> </w:t>
      </w:r>
      <w:r w:rsidR="00EB5371">
        <w:t xml:space="preserve">jejich </w:t>
      </w:r>
      <w:r w:rsidR="00240386">
        <w:t xml:space="preserve">časové náročnosti </w:t>
      </w:r>
      <w:r w:rsidR="00EB5371">
        <w:t xml:space="preserve">přesunul na období domácí přípravy žáků. To na jednu stranu </w:t>
      </w:r>
      <w:r w:rsidR="00110F85">
        <w:t xml:space="preserve">z pohledu učitele </w:t>
      </w:r>
      <w:r w:rsidR="00EB5371">
        <w:t>plní účel časové úspory, nicméně učitel tím</w:t>
      </w:r>
      <w:r w:rsidR="00110F85">
        <w:t xml:space="preserve"> současně</w:t>
      </w:r>
      <w:r w:rsidR="00EB5371">
        <w:t xml:space="preserve"> ztrácí kontrolu nad procesem řešení problémových učebních úloh</w:t>
      </w:r>
      <w:r w:rsidR="008C622A">
        <w:t>.</w:t>
      </w:r>
      <w:r w:rsidR="00EB5371">
        <w:t xml:space="preserve"> </w:t>
      </w:r>
      <w:r w:rsidR="007508A4" w:rsidRPr="007508A4">
        <w:t xml:space="preserve">Činnost učitele zahrnuje silnou složku regulace procesů žákova učení, která při domácí práci žáků pochopitelně zůstává nevyužita. </w:t>
      </w:r>
      <w:r w:rsidR="00110F85">
        <w:t>Je pravděpodobné, že pokud by učitel pracoval s učební úlohou ve výuce</w:t>
      </w:r>
      <w:r w:rsidR="007508A4">
        <w:t>, bylo by třeba jejímu řešení vě</w:t>
      </w:r>
      <w:r w:rsidR="00110F85">
        <w:t xml:space="preserve">novat více než jednu vyučovací hodinu. </w:t>
      </w:r>
      <w:r w:rsidR="007508A4">
        <w:t xml:space="preserve">Časová náročnost je spojena jednak s prezentací, porovnáním, diskusí, případně zhodnocením žáky navrhovaných řešení, a jednak s možným prohloubením její obsahové dimenze. Učební úloha může být impulsem ke kritické práci s informacemi, případně jejím prostřednictvím je možné žáky nasměrovat k </w:t>
      </w:r>
      <w:r w:rsidR="00110F85">
        <w:t>identifikaci</w:t>
      </w:r>
      <w:r w:rsidR="00753496" w:rsidRPr="005E7AF7">
        <w:t xml:space="preserve"> vzájemn</w:t>
      </w:r>
      <w:r w:rsidR="00753496">
        <w:t>ých</w:t>
      </w:r>
      <w:r w:rsidR="00753496" w:rsidRPr="005E7AF7">
        <w:t xml:space="preserve"> souvislost</w:t>
      </w:r>
      <w:r w:rsidR="00753496">
        <w:t>í</w:t>
      </w:r>
      <w:r w:rsidR="00753496" w:rsidRPr="005E7AF7">
        <w:t xml:space="preserve"> </w:t>
      </w:r>
      <w:r w:rsidR="00110F85">
        <w:t>mezi jednotlivými přír</w:t>
      </w:r>
      <w:r w:rsidR="007508A4">
        <w:t>o</w:t>
      </w:r>
      <w:r w:rsidR="00110F85">
        <w:t xml:space="preserve">dními složkami krajiny. </w:t>
      </w:r>
    </w:p>
    <w:p w:rsidR="00753496" w:rsidRPr="005E7AF7" w:rsidRDefault="00753496" w:rsidP="00753496">
      <w:pPr>
        <w:autoSpaceDE w:val="0"/>
        <w:autoSpaceDN w:val="0"/>
        <w:adjustRightInd w:val="0"/>
        <w:spacing w:after="120" w:line="276" w:lineRule="auto"/>
      </w:pPr>
    </w:p>
    <w:p w:rsidR="00FC4E8D" w:rsidRPr="00D42D2E" w:rsidRDefault="00787D62" w:rsidP="00D42D2E">
      <w:pPr>
        <w:pStyle w:val="Nadpis2"/>
      </w:pPr>
      <w:bookmarkStart w:id="116" w:name="_Toc399775444"/>
      <w:r>
        <w:t>S</w:t>
      </w:r>
      <w:r w:rsidR="00FC4E8D" w:rsidRPr="00D42D2E">
        <w:t>hrnutí</w:t>
      </w:r>
      <w:bookmarkEnd w:id="116"/>
    </w:p>
    <w:p w:rsidR="008725C7" w:rsidRDefault="003468E4" w:rsidP="000733DD">
      <w:pPr>
        <w:autoSpaceDE w:val="0"/>
        <w:autoSpaceDN w:val="0"/>
        <w:adjustRightInd w:val="0"/>
        <w:spacing w:after="120" w:line="276" w:lineRule="auto"/>
        <w:jc w:val="both"/>
      </w:pPr>
      <w:r>
        <w:t>Na základě analytického r</w:t>
      </w:r>
      <w:r w:rsidRPr="00700FED">
        <w:t>ozbor</w:t>
      </w:r>
      <w:r>
        <w:t>u</w:t>
      </w:r>
      <w:r w:rsidRPr="00700FED">
        <w:t xml:space="preserve"> vid</w:t>
      </w:r>
      <w:r>
        <w:t>e</w:t>
      </w:r>
      <w:r w:rsidRPr="00700FED">
        <w:t>o</w:t>
      </w:r>
      <w:r>
        <w:t>záznamů</w:t>
      </w:r>
      <w:r w:rsidRPr="00700FED">
        <w:t xml:space="preserve"> 50 vyu</w:t>
      </w:r>
      <w:r w:rsidRPr="00700FED">
        <w:rPr>
          <w:rFonts w:ascii="TimesNewRomanPSMT" w:eastAsia="TimesNewRomanPSMT" w:cs="TimesNewRomanPSMT"/>
        </w:rPr>
        <w:t>č</w:t>
      </w:r>
      <w:r w:rsidRPr="00700FED">
        <w:t>ovacích hodin (téma P</w:t>
      </w:r>
      <w:r w:rsidRPr="00700FED">
        <w:rPr>
          <w:rFonts w:ascii="TimesNewRomanPSMT" w:eastAsia="TimesNewRomanPSMT" w:cs="TimesNewRomanPSMT"/>
        </w:rPr>
        <w:t>ř</w:t>
      </w:r>
      <w:r w:rsidRPr="00700FED">
        <w:t xml:space="preserve">írodní podmínky </w:t>
      </w:r>
      <w:r w:rsidRPr="00700FED">
        <w:rPr>
          <w:rFonts w:ascii="TimesNewRomanPSMT" w:eastAsia="TimesNewRomanPSMT" w:cs="TimesNewRomanPSMT"/>
        </w:rPr>
        <w:t>Č</w:t>
      </w:r>
      <w:r w:rsidR="001220DA">
        <w:t>R) jsme identifikovali 7 výukových situací, které mají potenciál utvářet a rozvíjet kompetenci k řešení problémů. To naznačuje, že cca v jedn</w:t>
      </w:r>
      <w:r w:rsidR="001B47D6">
        <w:t>é</w:t>
      </w:r>
      <w:r w:rsidR="001220DA">
        <w:t xml:space="preserve"> osmině </w:t>
      </w:r>
      <w:r w:rsidR="001B47D6">
        <w:t xml:space="preserve">pozorovaných </w:t>
      </w:r>
      <w:r w:rsidR="001220DA">
        <w:t xml:space="preserve">vyučovacích hodin </w:t>
      </w:r>
      <w:r w:rsidR="001B47D6">
        <w:t xml:space="preserve">byli žáci aktivně konfrontováni s problémovou učební úlohou. </w:t>
      </w:r>
      <w:r w:rsidR="007B031A">
        <w:t xml:space="preserve">Ačkoliv se jedná o </w:t>
      </w:r>
      <w:r w:rsidR="00F9302B">
        <w:t xml:space="preserve">relativně </w:t>
      </w:r>
      <w:r w:rsidR="007B031A">
        <w:t xml:space="preserve">pozitivní zjištění, </w:t>
      </w:r>
      <w:r w:rsidR="00AB3EB1">
        <w:t>většina</w:t>
      </w:r>
      <w:r w:rsidR="007B031A">
        <w:t xml:space="preserve"> problémových učebních úloh identifikovaných v pozorované výuce v sobě neintegruje teoretické znaky nejvyšších úrovní systémovosti, komplexity a náročnosti. To k</w:t>
      </w:r>
      <w:r w:rsidR="00F9302B">
        <w:t>ontrastuje s učebními úlohami v námi</w:t>
      </w:r>
      <w:r w:rsidR="007B031A">
        <w:t xml:space="preserve"> zkoumaných učebnicích. Zde bylo možné 17 učebních úloh možné </w:t>
      </w:r>
      <w:r w:rsidR="00F9302B">
        <w:t xml:space="preserve">současně </w:t>
      </w:r>
      <w:r w:rsidR="007B031A">
        <w:t xml:space="preserve">přiřadit do nejvyšší úrovně systémovosti, komplexity i náročnosti. </w:t>
      </w:r>
      <w:r w:rsidR="00F52CAA" w:rsidRPr="00FF6C64">
        <w:t xml:space="preserve">Ideálně-typická charakteristika problému, jak </w:t>
      </w:r>
      <w:r w:rsidR="00B37837">
        <w:t>jí popisujeme</w:t>
      </w:r>
      <w:r w:rsidR="00F52CAA" w:rsidRPr="00FF6C64">
        <w:t xml:space="preserve"> v kapitole </w:t>
      </w:r>
      <w:r w:rsidR="00845F73">
        <w:t>1.5,</w:t>
      </w:r>
      <w:r w:rsidR="00F52CAA" w:rsidRPr="00FF6C64">
        <w:t xml:space="preserve"> je pochopitelně vzdálena reálným problémovým situacím odehrávajícím se v každodenní výuce.</w:t>
      </w:r>
      <w:r w:rsidR="00BE2CAC">
        <w:t xml:space="preserve"> </w:t>
      </w:r>
      <w:r w:rsidR="00B37837" w:rsidRPr="001702CE">
        <w:t xml:space="preserve">Pokud se ve výuce vyskytují problémové učební úlohy, zpravidla úzce souvisejí s geograficky specifickými obsahy, případně dovednostmi a metodami. Všechny námi analyzované výukové situace byly zařazeny do procesu výkladu, objevování nebo učení se některé oblasti geografického učiva. </w:t>
      </w:r>
      <w:r w:rsidR="00753642" w:rsidRPr="001702CE">
        <w:t xml:space="preserve">To je možné interpretovat pozitivně, neboť některé výzkumy upozorňují, že pokud se vy výuce </w:t>
      </w:r>
      <w:r w:rsidR="00D065C5" w:rsidRPr="001702CE">
        <w:t xml:space="preserve">zeměpisu </w:t>
      </w:r>
      <w:r w:rsidR="00753642" w:rsidRPr="001702CE">
        <w:t>vyskytují kognitivně náročné učební úlohy, zpravidla nesouvisejí s geograficky specifickými obsahy, dovednostmi a metodami. Výuka zeměpisu se v tomto případě orientuje na procvičování obecných mezioborových a nadoborových kompetencí na kvazigeografickém obsahu, tedy obsahu, který není</w:t>
      </w:r>
      <w:r w:rsidR="00835B0A" w:rsidRPr="001702CE">
        <w:t xml:space="preserve"> z pohledu geografie relevantní (srov. Golay, Rempfler, &amp; Vettiger, 2012, s. 13). </w:t>
      </w:r>
      <w:r w:rsidR="00B37837" w:rsidRPr="001702CE">
        <w:t xml:space="preserve">Pokud </w:t>
      </w:r>
      <w:r w:rsidR="00835B0A" w:rsidRPr="001702CE">
        <w:t>se vrátíme zpět k výsledkům našeho výzkumu, z</w:t>
      </w:r>
      <w:r w:rsidR="00B37837" w:rsidRPr="001702CE">
        <w:t> hlediska vzdělávacích obsahů jsou pro problémové učení ve výuce zeměpisu nosné především fenomény, se kterými se člověk každodenně setkává</w:t>
      </w:r>
      <w:r w:rsidR="001B47D6">
        <w:t xml:space="preserve"> ve svém běžném životě</w:t>
      </w:r>
      <w:r w:rsidR="00B37837" w:rsidRPr="001702CE">
        <w:t xml:space="preserve"> a zpravidla je nezáměrně vnímá a hodnotí (</w:t>
      </w:r>
      <w:r w:rsidR="00AB3EB1" w:rsidRPr="001702CE">
        <w:t>množství</w:t>
      </w:r>
      <w:r w:rsidR="00B37837" w:rsidRPr="001702CE">
        <w:t xml:space="preserve"> vody v řece, vlastnosti půd, sněžení, změny krajiny, význam lesů apod.). Cílem výuky zeměpisu je utvářet takové výukové situace, které by zprostředkovávaly žákům </w:t>
      </w:r>
      <w:r w:rsidR="001B47D6">
        <w:t xml:space="preserve">hlubší </w:t>
      </w:r>
      <w:r w:rsidR="00B37837" w:rsidRPr="001702CE">
        <w:t>porozumění zmiňovaným fenoménům v širších (</w:t>
      </w:r>
      <w:r w:rsidR="001B47D6">
        <w:t>prostorových</w:t>
      </w:r>
      <w:r w:rsidR="00B37837" w:rsidRPr="001702CE">
        <w:t>) souvislostech</w:t>
      </w:r>
      <w:r w:rsidR="00D065C5" w:rsidRPr="001702CE">
        <w:t xml:space="preserve">. Nezbytnou podmínkou </w:t>
      </w:r>
      <w:r w:rsidR="00BE683B" w:rsidRPr="001702CE">
        <w:t xml:space="preserve">k takto koncipované výuce je důraz na utváření kontextuálních a procedurálních znalostí. Učitelé v námi </w:t>
      </w:r>
      <w:r w:rsidR="00B1109F" w:rsidRPr="001702CE">
        <w:t>zkouman</w:t>
      </w:r>
      <w:r w:rsidR="00BE683B" w:rsidRPr="001702CE">
        <w:t>ých vyučovacích hodinách</w:t>
      </w:r>
      <w:r w:rsidR="00B1109F" w:rsidRPr="001702CE">
        <w:t xml:space="preserve"> </w:t>
      </w:r>
      <w:r w:rsidR="004D7407" w:rsidRPr="001702CE">
        <w:t>klad</w:t>
      </w:r>
      <w:r w:rsidR="00076024" w:rsidRPr="001702CE">
        <w:t xml:space="preserve">li </w:t>
      </w:r>
      <w:r w:rsidR="004D7407" w:rsidRPr="001702CE">
        <w:t>zvlá</w:t>
      </w:r>
      <w:r w:rsidR="00B1109F" w:rsidRPr="001702CE">
        <w:t xml:space="preserve">štní </w:t>
      </w:r>
      <w:r w:rsidR="00A52BF3">
        <w:t>důraz</w:t>
      </w:r>
      <w:r w:rsidR="00B1109F" w:rsidRPr="001702CE">
        <w:t xml:space="preserve"> </w:t>
      </w:r>
      <w:r w:rsidR="00076024" w:rsidRPr="001702CE">
        <w:t xml:space="preserve">především </w:t>
      </w:r>
      <w:r w:rsidR="00A52BF3">
        <w:t>na</w:t>
      </w:r>
      <w:r w:rsidR="00076024" w:rsidRPr="001702CE">
        <w:t xml:space="preserve"> </w:t>
      </w:r>
      <w:r w:rsidR="00A52BF3">
        <w:t>strukturní</w:t>
      </w:r>
      <w:r w:rsidR="00B1109F" w:rsidRPr="001702CE">
        <w:t xml:space="preserve"> prvk</w:t>
      </w:r>
      <w:r w:rsidR="00A52BF3">
        <w:t>y</w:t>
      </w:r>
      <w:r w:rsidR="00B1109F" w:rsidRPr="001702CE">
        <w:t xml:space="preserve"> jednotlivých geografických systémů </w:t>
      </w:r>
      <w:r w:rsidR="004D7407" w:rsidRPr="001702CE">
        <w:t>a na jej</w:t>
      </w:r>
      <w:r w:rsidR="00A52BF3">
        <w:t>ich</w:t>
      </w:r>
      <w:r w:rsidR="004D7407" w:rsidRPr="001702CE">
        <w:t xml:space="preserve"> základě usil</w:t>
      </w:r>
      <w:r w:rsidR="00076024" w:rsidRPr="001702CE">
        <w:t>ovali</w:t>
      </w:r>
      <w:r w:rsidR="004D7407" w:rsidRPr="001702CE">
        <w:t xml:space="preserve"> o </w:t>
      </w:r>
      <w:r w:rsidR="00076024" w:rsidRPr="001702CE">
        <w:t xml:space="preserve">identifikaci jejich funkcí, případně z pohledu žáka pasivnímu </w:t>
      </w:r>
      <w:r w:rsidR="004D7407" w:rsidRPr="001702CE">
        <w:t xml:space="preserve">zprostředkování </w:t>
      </w:r>
      <w:r w:rsidR="001702CE" w:rsidRPr="001702CE">
        <w:t xml:space="preserve">geografických </w:t>
      </w:r>
      <w:r w:rsidR="004D7407" w:rsidRPr="001702CE">
        <w:t>procesů</w:t>
      </w:r>
      <w:r w:rsidR="00B1109F" w:rsidRPr="001702CE">
        <w:t xml:space="preserve"> odehrávajících se v prostoru. D</w:t>
      </w:r>
      <w:r w:rsidR="004D7407" w:rsidRPr="001702CE">
        <w:t>alší roviny</w:t>
      </w:r>
      <w:r w:rsidR="00B1109F" w:rsidRPr="001702CE">
        <w:t xml:space="preserve"> geografické systémové kompetence</w:t>
      </w:r>
      <w:r w:rsidR="004D7407" w:rsidRPr="001702CE">
        <w:t xml:space="preserve"> (</w:t>
      </w:r>
      <w:r w:rsidR="00FB50BD" w:rsidRPr="001702CE">
        <w:t xml:space="preserve">např. </w:t>
      </w:r>
      <w:r w:rsidR="002068E9" w:rsidRPr="001702CE">
        <w:t xml:space="preserve">analýza </w:t>
      </w:r>
      <w:r w:rsidR="004D7407" w:rsidRPr="001702CE">
        <w:t>prostorově relevantní</w:t>
      </w:r>
      <w:r w:rsidR="002068E9" w:rsidRPr="001702CE">
        <w:t>ch systémových vztahů</w:t>
      </w:r>
      <w:r w:rsidR="004D7407" w:rsidRPr="001702CE">
        <w:t xml:space="preserve"> </w:t>
      </w:r>
      <w:r w:rsidR="002068E9" w:rsidRPr="001702CE">
        <w:t xml:space="preserve">a </w:t>
      </w:r>
      <w:r w:rsidR="004D7407" w:rsidRPr="001702CE">
        <w:t>souvisl</w:t>
      </w:r>
      <w:r w:rsidR="002068E9" w:rsidRPr="001702CE">
        <w:t>ostí</w:t>
      </w:r>
      <w:r w:rsidR="0045244B" w:rsidRPr="001702CE">
        <w:t xml:space="preserve">, případně </w:t>
      </w:r>
      <w:r w:rsidR="002068E9" w:rsidRPr="001702CE">
        <w:t xml:space="preserve">identifikace a </w:t>
      </w:r>
      <w:r w:rsidR="00A52BF3">
        <w:t xml:space="preserve">samostatné </w:t>
      </w:r>
      <w:r w:rsidR="002068E9" w:rsidRPr="001702CE">
        <w:t>zdůvodňování geografických procesů</w:t>
      </w:r>
      <w:r w:rsidR="004D7407" w:rsidRPr="001702CE">
        <w:t>)</w:t>
      </w:r>
      <w:r w:rsidR="00FB50BD" w:rsidRPr="001702CE">
        <w:t xml:space="preserve">, </w:t>
      </w:r>
      <w:r w:rsidR="0045244B" w:rsidRPr="001702CE">
        <w:t xml:space="preserve">ke </w:t>
      </w:r>
      <w:r w:rsidR="00FB50BD" w:rsidRPr="001702CE">
        <w:t>kter</w:t>
      </w:r>
      <w:r w:rsidR="0045244B" w:rsidRPr="001702CE">
        <w:t>ým</w:t>
      </w:r>
      <w:r w:rsidR="00FB50BD" w:rsidRPr="001702CE">
        <w:t xml:space="preserve"> je do značné míry n</w:t>
      </w:r>
      <w:r w:rsidR="001702CE" w:rsidRPr="001702CE">
        <w:t>ezbytné</w:t>
      </w:r>
      <w:r w:rsidR="00FB50BD" w:rsidRPr="001702CE">
        <w:t xml:space="preserve"> </w:t>
      </w:r>
      <w:r w:rsidR="0045244B" w:rsidRPr="001702CE">
        <w:t>přistupovat</w:t>
      </w:r>
      <w:r w:rsidR="00FB50BD" w:rsidRPr="001702CE">
        <w:t xml:space="preserve"> problémově, </w:t>
      </w:r>
      <w:r w:rsidR="00A52BF3">
        <w:t>učitelé tematizují</w:t>
      </w:r>
      <w:r w:rsidR="004D7407" w:rsidRPr="001702CE">
        <w:t xml:space="preserve"> podstatně méně. </w:t>
      </w:r>
    </w:p>
    <w:p w:rsidR="00F70460" w:rsidRDefault="00F70460">
      <w:r>
        <w:br w:type="page"/>
      </w:r>
    </w:p>
    <w:p w:rsidR="00A27065" w:rsidRDefault="005B09A7" w:rsidP="00A27065">
      <w:pPr>
        <w:pStyle w:val="Nadpis1"/>
      </w:pPr>
      <w:bookmarkStart w:id="117" w:name="_Toc399775445"/>
      <w:r>
        <w:t>D</w:t>
      </w:r>
      <w:r w:rsidR="00A27065" w:rsidRPr="00D42D2E">
        <w:t>iskuse</w:t>
      </w:r>
      <w:bookmarkEnd w:id="117"/>
    </w:p>
    <w:p w:rsidR="00A353D6" w:rsidRPr="007B7712" w:rsidRDefault="007B7712" w:rsidP="00A353D6">
      <w:pPr>
        <w:spacing w:after="120" w:line="276" w:lineRule="auto"/>
        <w:jc w:val="both"/>
      </w:pPr>
      <w:r w:rsidRPr="007B7712">
        <w:t>C</w:t>
      </w:r>
      <w:r w:rsidR="003A252E" w:rsidRPr="007B7712">
        <w:t>ílem této práce není pojmenovat</w:t>
      </w:r>
      <w:r w:rsidR="00A353D6" w:rsidRPr="007B7712">
        <w:t xml:space="preserve"> </w:t>
      </w:r>
      <w:r w:rsidR="00B70A7B">
        <w:t>obecné</w:t>
      </w:r>
      <w:r w:rsidR="003A252E" w:rsidRPr="007B7712">
        <w:t xml:space="preserve"> problémy, se kterými se v současnosti </w:t>
      </w:r>
      <w:r w:rsidR="00B70A7B" w:rsidRPr="007B7712">
        <w:t xml:space="preserve">potýká </w:t>
      </w:r>
      <w:r w:rsidR="003A252E" w:rsidRPr="007B7712">
        <w:t>geografické vzdělávání</w:t>
      </w:r>
      <w:r w:rsidRPr="007B7712">
        <w:t>.</w:t>
      </w:r>
      <w:r w:rsidR="00A353D6" w:rsidRPr="007B7712">
        <w:rPr>
          <w:rStyle w:val="Znakapoznpodarou"/>
        </w:rPr>
        <w:footnoteReference w:id="100"/>
      </w:r>
      <w:r w:rsidR="003A252E" w:rsidRPr="007B7712">
        <w:t xml:space="preserve"> </w:t>
      </w:r>
      <w:r w:rsidRPr="007B7712">
        <w:t>Přesto v této kapitole překračujeme</w:t>
      </w:r>
      <w:r w:rsidR="00A353D6" w:rsidRPr="007B7712">
        <w:t xml:space="preserve"> rámec deskripce výzkumných zjištění a s</w:t>
      </w:r>
      <w:r w:rsidR="00AB3EB1">
        <w:t> </w:t>
      </w:r>
      <w:r w:rsidR="00A353D6" w:rsidRPr="007B7712">
        <w:t>přihlédnutí</w:t>
      </w:r>
      <w:r w:rsidR="00AB3EB1">
        <w:t xml:space="preserve">m </w:t>
      </w:r>
      <w:r w:rsidR="00A353D6" w:rsidRPr="007B7712">
        <w:t xml:space="preserve">k limitacím provedeného výzkumu zasazujeme výsledky </w:t>
      </w:r>
      <w:r w:rsidRPr="007B7712">
        <w:t xml:space="preserve">námi provedených </w:t>
      </w:r>
      <w:r w:rsidR="00A353D6" w:rsidRPr="007B7712">
        <w:t>dílčích analýz do širších souvislostí. Na pozadí námi realizované sondy do geografického učiva je tak možné zpětně vyslat signál o kvalitě</w:t>
      </w:r>
      <w:r w:rsidR="00B70A7B">
        <w:t xml:space="preserve"> kurikula a</w:t>
      </w:r>
      <w:r w:rsidR="00A353D6" w:rsidRPr="007B7712">
        <w:t xml:space="preserve"> výuky zeměpisu na základních školách v Česku.</w:t>
      </w:r>
    </w:p>
    <w:p w:rsidR="00A353D6" w:rsidRPr="00B416F6" w:rsidRDefault="00A353D6" w:rsidP="00A353D6">
      <w:pPr>
        <w:spacing w:after="120" w:line="276" w:lineRule="auto"/>
        <w:jc w:val="both"/>
        <w:rPr>
          <w:color w:val="FF0000"/>
        </w:rPr>
      </w:pPr>
    </w:p>
    <w:p w:rsidR="00A27065" w:rsidRPr="00D42D2E" w:rsidRDefault="00A27065" w:rsidP="00E56D06">
      <w:pPr>
        <w:pStyle w:val="Nadpis2"/>
        <w:spacing w:line="276" w:lineRule="auto"/>
        <w:jc w:val="both"/>
      </w:pPr>
      <w:bookmarkStart w:id="118" w:name="_Toc399775446"/>
      <w:r w:rsidRPr="00D42D2E">
        <w:t>Limitace</w:t>
      </w:r>
      <w:r w:rsidR="00695341">
        <w:t xml:space="preserve"> výzkumu</w:t>
      </w:r>
      <w:bookmarkEnd w:id="118"/>
    </w:p>
    <w:p w:rsidR="00C262F9" w:rsidRPr="00C646E3" w:rsidRDefault="003176CB" w:rsidP="00B70A7B">
      <w:pPr>
        <w:spacing w:before="120" w:after="120" w:line="276" w:lineRule="auto"/>
        <w:jc w:val="both"/>
        <w:rPr>
          <w:rFonts w:eastAsia="Calibri"/>
          <w:lang w:eastAsia="en-US"/>
        </w:rPr>
      </w:pPr>
      <w:r w:rsidRPr="00C646E3">
        <w:t>Výsledky výzkumu je možné rel</w:t>
      </w:r>
      <w:r w:rsidR="00125721">
        <w:t>a</w:t>
      </w:r>
      <w:r w:rsidRPr="00C646E3">
        <w:t xml:space="preserve">tivizovat, a to již od samého ideového nastavení výzkumu. </w:t>
      </w:r>
      <w:r w:rsidR="00C262F9" w:rsidRPr="00C646E3">
        <w:rPr>
          <w:rFonts w:eastAsia="Calibri"/>
          <w:lang w:eastAsia="en-US"/>
        </w:rPr>
        <w:t xml:space="preserve">Nakolik se námi popisované skutečnosti blíží realitě geografického vzdělávání, lze bohužel jen v omezené míře ověřit, poněvadž tu neexistuje žádná objektivní ani měřitelná reference. </w:t>
      </w:r>
      <w:r w:rsidR="00C262F9">
        <w:t xml:space="preserve">Každý výzkum v oblasti pedagogiky je vždy zjednodušením složité reality (srov. Pelikán, 1998, s. 30). Úskalí společenských věd je ve velké složitosti zkoumaných jevů a ve vzájemné závislosti faktorů a proměnných, jež život ve školních třídách ovlivňují a jež není možné v této práci objektivně zachytit. Některé z proměnných často nejen neznáme, ale neumíme je ani v plném rozsahu postihnout. </w:t>
      </w:r>
      <w:r w:rsidR="00F078D0">
        <w:rPr>
          <w:rFonts w:eastAsia="Calibri"/>
          <w:lang w:eastAsia="en-US"/>
        </w:rPr>
        <w:t>T</w:t>
      </w:r>
      <w:r w:rsidR="00F078D0" w:rsidRPr="00C646E3">
        <w:rPr>
          <w:rFonts w:eastAsia="Calibri"/>
          <w:lang w:eastAsia="en-US"/>
        </w:rPr>
        <w:t>eoretické pozadí prezentovaného výzkumu, zvolené metodické postupy i výsledná zjištění odráží především námi zvolenou výzkumnou otázku a veškeré myšlenky uvedené v této publikaci je třeba</w:t>
      </w:r>
      <w:r w:rsidR="00F078D0">
        <w:rPr>
          <w:rFonts w:eastAsia="Calibri"/>
          <w:lang w:eastAsia="en-US"/>
        </w:rPr>
        <w:t xml:space="preserve"> v tomto ohledu také interpretovat</w:t>
      </w:r>
      <w:r w:rsidR="00F078D0" w:rsidRPr="00C646E3">
        <w:rPr>
          <w:rFonts w:eastAsia="Calibri"/>
          <w:lang w:eastAsia="en-US"/>
        </w:rPr>
        <w:t xml:space="preserve">. </w:t>
      </w:r>
    </w:p>
    <w:p w:rsidR="002F099C" w:rsidRDefault="00A27065" w:rsidP="00B70A7B">
      <w:pPr>
        <w:spacing w:after="120" w:line="276" w:lineRule="auto"/>
        <w:jc w:val="both"/>
      </w:pPr>
      <w:r w:rsidRPr="00D31D9E">
        <w:t xml:space="preserve">Jakkoliv se můžeme domnívat, že prezentovaná zjištění alespoň částečně zrcadlí realitu geografického vzdělávání v Česku, četná metodologická úskalí (srov. také kap. </w:t>
      </w:r>
      <w:r w:rsidR="00845F73">
        <w:t>2.3.2</w:t>
      </w:r>
      <w:r w:rsidRPr="00D31D9E">
        <w:t xml:space="preserve"> a </w:t>
      </w:r>
      <w:r w:rsidR="00845F73">
        <w:t>2.3.3</w:t>
      </w:r>
      <w:r w:rsidRPr="00D31D9E">
        <w:t xml:space="preserve">), složení výzkumného vzorku, zúžení pouze na nižší sekundární vzdělávání a skutečnost, že fyzickogeografické vzdělávací obsahy mohou být zastoupeny kromě zeměpisu také v jiných vyučovacích předmětech, neumožňují širší zobecnění námi prezentovaných zjištění. Použitý teoretický model pro posuzování učebních úloh ve vztahu k utváření a rozvíjení kompetence k řešení problémů byl vytvořen ad hoc s ohledem na cíle tohoto výzkumu. </w:t>
      </w:r>
      <w:r w:rsidR="00F078D0">
        <w:rPr>
          <w:rFonts w:eastAsia="Calibri"/>
          <w:lang w:eastAsia="en-US"/>
        </w:rPr>
        <w:t>N</w:t>
      </w:r>
      <w:r w:rsidR="00F078D0">
        <w:t>euvážená a nekritická interpretace námi prezentovaných výzkumných zjištění může negativně ovlivnit teorii a praxi geografického vzdělávání.</w:t>
      </w:r>
    </w:p>
    <w:p w:rsidR="002F099C" w:rsidRDefault="005C3BBB" w:rsidP="000B0B52">
      <w:pPr>
        <w:spacing w:after="120" w:line="276" w:lineRule="auto"/>
        <w:jc w:val="both"/>
      </w:pPr>
      <w:r>
        <w:t>Jak kritický čtenář snadno pozná, n</w:t>
      </w:r>
      <w:r w:rsidR="002F099C">
        <w:t>ejvětší limitací prezentovaného výzkumu zřejmě</w:t>
      </w:r>
      <w:r w:rsidR="002F099C" w:rsidRPr="005E7AF7">
        <w:t xml:space="preserve"> byla </w:t>
      </w:r>
      <w:r w:rsidR="002F099C">
        <w:t xml:space="preserve">jeho </w:t>
      </w:r>
      <w:r w:rsidR="002F099C" w:rsidRPr="005E7AF7">
        <w:t>výhradní orientace na znalostní složku kompeten</w:t>
      </w:r>
      <w:r w:rsidR="000B0B52">
        <w:t xml:space="preserve">cí. Zde připomínáme, že výborné </w:t>
      </w:r>
      <w:r w:rsidR="002F099C" w:rsidRPr="005E7AF7">
        <w:t xml:space="preserve">geografické znalosti jsou pouze jednou ze složek prostorového (geografického) myšlení. Další neméně významné složky představují geografické dovednosti (zde čtenáře odkazujeme na recentní práci Řezníčkové et al., 2013), (multi)perspektivita, geograficky informované </w:t>
      </w:r>
      <w:r w:rsidR="00945B31">
        <w:t xml:space="preserve">postoje a </w:t>
      </w:r>
      <w:r w:rsidR="002F099C" w:rsidRPr="005E7AF7">
        <w:t>jednání aj.</w:t>
      </w:r>
    </w:p>
    <w:p w:rsidR="009C4136" w:rsidRPr="00432853" w:rsidRDefault="009C4136" w:rsidP="007B7712">
      <w:pPr>
        <w:autoSpaceDE w:val="0"/>
        <w:autoSpaceDN w:val="0"/>
        <w:adjustRightInd w:val="0"/>
        <w:spacing w:after="120" w:line="276" w:lineRule="auto"/>
        <w:jc w:val="both"/>
      </w:pPr>
      <w:r w:rsidRPr="00EB43E7">
        <w:rPr>
          <w:rFonts w:eastAsia="Calibri"/>
          <w:lang w:eastAsia="en-US"/>
        </w:rPr>
        <w:t xml:space="preserve">Jsme si vědomi, že výzkum prezentovaný v této práci se soustředil především na příležitosti k utváření a rozvíjení kompetence k řešení problémů, které poskytují učebnice a učitelé ve školní výuce. Souhlasíme s Marešem (1988, s. 383), že otevřeným problémem většiny českých i zahraničních výzkumů je skutečnost, že se učitelovy otázky zkoumají jen z hlediska učitelova záměru, nezabývají se skutečným efektem u žáků. </w:t>
      </w:r>
      <w:r>
        <w:rPr>
          <w:rFonts w:eastAsia="Calibri"/>
          <w:lang w:eastAsia="en-US"/>
        </w:rPr>
        <w:t xml:space="preserve">Obdobně </w:t>
      </w:r>
      <w:r w:rsidRPr="00EB43E7">
        <w:rPr>
          <w:rFonts w:eastAsia="Calibri"/>
          <w:lang w:eastAsia="en-US"/>
        </w:rPr>
        <w:t xml:space="preserve">Makovská (2010) s odkazem na další autory upozorňuje, že </w:t>
      </w:r>
      <w:r w:rsidRPr="00EB43E7">
        <w:t xml:space="preserve">otázky jsou důležité, ale je třeba se však věnovat se se stejnou pozorností také žákovským odpovědím na tyto otázky a tomu, </w:t>
      </w:r>
      <w:r>
        <w:t>jak</w:t>
      </w:r>
      <w:r w:rsidRPr="00EB43E7">
        <w:t xml:space="preserve"> žáci s položenými otázkami </w:t>
      </w:r>
      <w:r>
        <w:t>pracují</w:t>
      </w:r>
      <w:r w:rsidRPr="00EB43E7">
        <w:t xml:space="preserve">. </w:t>
      </w:r>
      <w:r w:rsidR="00432853">
        <w:t>Ukazuje se, že n</w:t>
      </w:r>
      <w:r w:rsidRPr="00EB43E7">
        <w:rPr>
          <w:rFonts w:eastAsia="Calibri"/>
          <w:lang w:eastAsia="en-US"/>
        </w:rPr>
        <w:t>ejběžněji uplatňované otázky, kterými jsou po žácích požadovány pouze nižší kognitivní operace, mnohdy vedou až k automatizaci a ztrácejí schopnost stimulovat žákovské myšlení (</w:t>
      </w:r>
      <w:r w:rsidRPr="00EB43E7">
        <w:t xml:space="preserve">Mercer, 2006 in Makovská, 2010, s. 51). </w:t>
      </w:r>
      <w:r>
        <w:rPr>
          <w:rFonts w:eastAsia="Calibri"/>
          <w:lang w:eastAsia="en-US"/>
        </w:rPr>
        <w:t>Některé v</w:t>
      </w:r>
      <w:r w:rsidRPr="00EB43E7">
        <w:rPr>
          <w:rFonts w:eastAsia="Calibri"/>
          <w:lang w:eastAsia="en-US"/>
        </w:rPr>
        <w:t>ýzkumy naznačují, že lidé mohou při řešení problémů používat určité druhy duševních zkratek. Tyto zkratky se nazývají heuristiky – neformální, intuitivní a spekulativní strategie, které někdy vedou a někdy nevedou k efektivnímu řešení problému (</w:t>
      </w:r>
      <w:r w:rsidR="00071CA0">
        <w:rPr>
          <w:rFonts w:eastAsia="Calibri"/>
          <w:lang w:eastAsia="en-US"/>
        </w:rPr>
        <w:t xml:space="preserve">podrobněji viz </w:t>
      </w:r>
      <w:r w:rsidRPr="00EB43E7">
        <w:rPr>
          <w:rFonts w:eastAsia="Calibri"/>
          <w:lang w:eastAsia="en-US"/>
        </w:rPr>
        <w:t xml:space="preserve">Holoyak, 1990, s. 271). V případě školní výuky existuje riziko narušení procesu řešení problému zejména tím, že problémové úlohy často sklouzávají do podoby tzv. pedagogického pseudodialogu, který proměňuje výukovou komunikaci mezi učitelem a žáky v hru „hádej, co má učitel na mysli“ (Mareš, 1988). Jedná se o didaktogenní mechanismus, v rámci kterého se žáci snaží dojít k jedné konkrétní odpovědi – té, kterou má na mysli učitel, i u otázek bez pevně dané odpovědi. Na cestě ke „správné“ odpovědi se přitom opírají o nejrůznější vodítka, která s řešeným problémem nemusí vždy souviset (podrobněji viz Makovská, 2010). </w:t>
      </w:r>
      <w:r w:rsidR="00BF28A8">
        <w:rPr>
          <w:rFonts w:eastAsia="Calibri"/>
          <w:lang w:eastAsia="en-US"/>
        </w:rPr>
        <w:t>U</w:t>
      </w:r>
      <w:r w:rsidR="00B36A4D">
        <w:rPr>
          <w:rFonts w:eastAsia="Calibri"/>
          <w:lang w:eastAsia="en-US"/>
        </w:rPr>
        <w:t xml:space="preserve">čitel </w:t>
      </w:r>
      <w:r w:rsidR="00BF28A8">
        <w:rPr>
          <w:rFonts w:eastAsia="Calibri"/>
          <w:lang w:eastAsia="en-US"/>
        </w:rPr>
        <w:t xml:space="preserve">tak </w:t>
      </w:r>
      <w:r w:rsidR="00B36A4D">
        <w:rPr>
          <w:rFonts w:eastAsia="Calibri"/>
          <w:lang w:eastAsia="en-US"/>
        </w:rPr>
        <w:t xml:space="preserve">může vůči sobě samému i vůči žákům nebo nezkušeným vnějším pozorovatelům navozovat </w:t>
      </w:r>
      <w:r w:rsidR="00BF28A8">
        <w:rPr>
          <w:rFonts w:eastAsia="Calibri"/>
          <w:lang w:eastAsia="en-US"/>
        </w:rPr>
        <w:t xml:space="preserve">mylnou </w:t>
      </w:r>
      <w:r w:rsidR="00B36A4D">
        <w:rPr>
          <w:rFonts w:eastAsia="Calibri"/>
          <w:lang w:eastAsia="en-US"/>
        </w:rPr>
        <w:t>představu, že se žáci učí</w:t>
      </w:r>
      <w:r w:rsidR="00E12A47">
        <w:rPr>
          <w:rFonts w:eastAsia="Calibri"/>
          <w:lang w:eastAsia="en-US"/>
        </w:rPr>
        <w:t xml:space="preserve"> (srov. Šeďová, Švaříček &amp; Šalamo</w:t>
      </w:r>
      <w:r w:rsidR="007E2B2B">
        <w:rPr>
          <w:rFonts w:eastAsia="Calibri"/>
          <w:lang w:eastAsia="en-US"/>
        </w:rPr>
        <w:t>u</w:t>
      </w:r>
      <w:r w:rsidR="00E12A47">
        <w:rPr>
          <w:rFonts w:eastAsia="Calibri"/>
          <w:lang w:eastAsia="en-US"/>
        </w:rPr>
        <w:t xml:space="preserve">nová, 2012, s. </w:t>
      </w:r>
      <w:r w:rsidR="003F47E2">
        <w:rPr>
          <w:rFonts w:eastAsia="Calibri"/>
          <w:lang w:eastAsia="en-US"/>
        </w:rPr>
        <w:t>2</w:t>
      </w:r>
      <w:r w:rsidR="00E12A47">
        <w:rPr>
          <w:rFonts w:eastAsia="Calibri"/>
          <w:lang w:eastAsia="en-US"/>
        </w:rPr>
        <w:t>62).</w:t>
      </w:r>
      <w:r w:rsidR="00B36A4D">
        <w:rPr>
          <w:rFonts w:eastAsia="Calibri"/>
          <w:lang w:eastAsia="en-US"/>
        </w:rPr>
        <w:t xml:space="preserve"> </w:t>
      </w:r>
    </w:p>
    <w:p w:rsidR="00F413BC" w:rsidRPr="005E7AF7" w:rsidRDefault="00A27065" w:rsidP="00F413BC">
      <w:pPr>
        <w:spacing w:after="120" w:line="276" w:lineRule="auto"/>
        <w:jc w:val="both"/>
      </w:pPr>
      <w:r w:rsidRPr="00D31D9E">
        <w:t xml:space="preserve">I přes uvedená omezení prezentovaný výzkum upozornil na příkladu geografických vzdělávacích obsahů na některé závažné skutečnosti, které mohou mít patrně obecnější platnost (a to i napříč jednotlivými vyučovacími předměty). </w:t>
      </w:r>
      <w:r>
        <w:t>Jednotlivé obecnější předpoklady</w:t>
      </w:r>
      <w:r w:rsidRPr="00D31D9E">
        <w:t xml:space="preserve"> by však byl</w:t>
      </w:r>
      <w:r>
        <w:t>o třeba ověřit dalšími výzkumy.</w:t>
      </w:r>
      <w:r w:rsidRPr="00C32D68">
        <w:t xml:space="preserve"> </w:t>
      </w:r>
      <w:r>
        <w:t xml:space="preserve">Zejména analýza výukových situací na základě videostudie představuje mnoho výzev pro další výzkumníky. V prezentovaném výzkumu jsme se zaměřovali pouze na výukové situace, které jsme považovali z hlediska námi stanovených výzkumných otázek za relevantní. </w:t>
      </w:r>
      <w:r w:rsidR="00F413BC">
        <w:t>A</w:t>
      </w:r>
      <w:r w:rsidR="00F413BC" w:rsidRPr="005E7AF7">
        <w:t xml:space="preserve">plikace námi navrhovaného </w:t>
      </w:r>
      <w:r w:rsidR="00F413BC">
        <w:t xml:space="preserve">teoretického </w:t>
      </w:r>
      <w:r w:rsidR="00F413BC" w:rsidRPr="005E7AF7">
        <w:t>modelu a výzkumného postupu ukázaly, že model</w:t>
      </w:r>
      <w:r w:rsidR="00F413BC">
        <w:t xml:space="preserve"> i výzkumný postup</w:t>
      </w:r>
      <w:r w:rsidR="00F413BC" w:rsidRPr="005E7AF7">
        <w:t xml:space="preserve"> je možné využít ke zkoumání potenciálu učebních úloh podporovat utváření a rozvíjení kompetence k řešení problémů. </w:t>
      </w:r>
      <w:r>
        <w:t>Jsme si vědomi, že na zkoumaných video</w:t>
      </w:r>
      <w:r w:rsidR="003468E4">
        <w:t>záznamech</w:t>
      </w:r>
      <w:r>
        <w:t xml:space="preserve"> je zachyceno mnoho dalších výukových situací, které do našeho výzkumu nebyly zahrnuty, přestože mohou také výrazně přispívat k utváření geografických znalostí</w:t>
      </w:r>
      <w:r w:rsidR="00AD4B0C">
        <w:t>, dovedností a postojů</w:t>
      </w:r>
      <w:r>
        <w:t xml:space="preserve"> i rozvíjení geografického</w:t>
      </w:r>
      <w:r w:rsidR="00AD4B0C">
        <w:t>/prostorového</w:t>
      </w:r>
      <w:r>
        <w:t xml:space="preserve"> myšlení. Tyto situace máme v úmyslu tyto situace v budoucnu analyzovat formou samostatných případových studií. </w:t>
      </w:r>
      <w:r w:rsidR="00F413BC" w:rsidRPr="005E7AF7">
        <w:t>Stran možnost</w:t>
      </w:r>
      <w:r w:rsidR="00F413BC">
        <w:t>í</w:t>
      </w:r>
      <w:r w:rsidR="00F413BC" w:rsidRPr="005E7AF7">
        <w:t xml:space="preserve"> širšího využití </w:t>
      </w:r>
      <w:r w:rsidR="00F413BC">
        <w:t xml:space="preserve">a adaptace teoretického </w:t>
      </w:r>
      <w:r w:rsidR="00F413BC" w:rsidRPr="005E7AF7">
        <w:t xml:space="preserve">modelu například pro zkoumání </w:t>
      </w:r>
      <w:r w:rsidR="00F413BC">
        <w:t xml:space="preserve">širšího spektra </w:t>
      </w:r>
      <w:r w:rsidR="00F413BC" w:rsidRPr="005E7AF7">
        <w:t xml:space="preserve">výukových situací </w:t>
      </w:r>
      <w:r w:rsidR="00F413BC">
        <w:t xml:space="preserve">(nejen těch, jejichž jádro tvoří problémové učební úlohy) </w:t>
      </w:r>
      <w:r w:rsidR="00F413BC" w:rsidRPr="005E7AF7">
        <w:t>jsme prozatím zdrženliví, neboť kontext reálné výuky je příliš široký na to, aby ho bylo možné zmapovat jednoduchým výzkumným nástrojem. Na druhou stranu je třeba přiznat, že jednodušší teoretické modely umožňují efektivně porozumět gestaltově chápaný</w:t>
      </w:r>
      <w:r w:rsidR="00F413BC">
        <w:t>m</w:t>
      </w:r>
      <w:r w:rsidR="00F413BC" w:rsidRPr="005E7AF7">
        <w:t xml:space="preserve"> výukovým situacím. Složitější modely v zájmu hledání širších souvislostí a vztahů, které reálnou výuku nepochybně ovlivňují, často ztrácejí právě zřetel k samotné výuce. Obdobně také atomizační hledisko vede k rozdrobování skutečnosti bez zřetele k teoretickému zastřešení, bez hledání širších souvislostí vztahů.</w:t>
      </w:r>
    </w:p>
    <w:p w:rsidR="00A27065" w:rsidRPr="00D42D2E" w:rsidRDefault="00A27065" w:rsidP="00E56D06">
      <w:pPr>
        <w:spacing w:after="120" w:line="276" w:lineRule="auto"/>
        <w:jc w:val="both"/>
        <w:rPr>
          <w:highlight w:val="cyan"/>
        </w:rPr>
      </w:pPr>
    </w:p>
    <w:p w:rsidR="00A27065" w:rsidRDefault="00A27065" w:rsidP="00E56D06">
      <w:pPr>
        <w:pStyle w:val="Nadpis2"/>
        <w:spacing w:line="276" w:lineRule="auto"/>
        <w:jc w:val="both"/>
      </w:pPr>
      <w:bookmarkStart w:id="119" w:name="_Toc399775447"/>
      <w:r>
        <w:t>Srovnání s jinými výzkumy</w:t>
      </w:r>
      <w:bookmarkEnd w:id="119"/>
    </w:p>
    <w:p w:rsidR="00E56D06" w:rsidRDefault="00A27065" w:rsidP="00E56D06">
      <w:pPr>
        <w:spacing w:line="276" w:lineRule="auto"/>
        <w:jc w:val="both"/>
      </w:pPr>
      <w:r>
        <w:t xml:space="preserve">Pokud porovnáme výsledky našeho výzkumu s výsledky </w:t>
      </w:r>
      <w:r w:rsidR="00AB3EB1">
        <w:t>obdobně</w:t>
      </w:r>
      <w:r>
        <w:t xml:space="preserve"> koncipovaných studií, je možné konstatovat, že naše výzkumná zjištění v mnoha ohledech korespondují s nálezy</w:t>
      </w:r>
      <w:r w:rsidRPr="00D42D2E">
        <w:t xml:space="preserve"> </w:t>
      </w:r>
      <w:r>
        <w:t xml:space="preserve">domácích i </w:t>
      </w:r>
      <w:r w:rsidRPr="00D42D2E">
        <w:t>zahraničních výzkumů</w:t>
      </w:r>
      <w:r>
        <w:t xml:space="preserve">. </w:t>
      </w:r>
    </w:p>
    <w:p w:rsidR="00E56D06" w:rsidRDefault="00A27065" w:rsidP="00E56D06">
      <w:pPr>
        <w:spacing w:line="276" w:lineRule="auto"/>
        <w:jc w:val="both"/>
      </w:pPr>
      <w:r>
        <w:t>Pokud se zaměříme na kvalitu učebních úloh v učebnicích, Kross (1995, s. 177–178) shrnuje přehled výzkumů učebnic zeměpisu realizovaných v Německu v 70. a 80. letech 20. stol. konstatováním, že učební úlohy spadající do vyšších úrovní kognitivní náročnosti se v učebnicích zeměpisu vyskytují velmi výjimečně. Obdobné konstatování patrně platí také v případě námi zkoumaných učebnic. Martinhaová (2011) dospěla v případě portugalských učebnic zeměpisu pro nižší sekundární vzdělávání k obdobným závěrům. Učební úlohy v portugalských učebnicích zmiňovaná autorka hodnotí jako málo kognitivně náročné. Učební úlohy, které bylo možné přiřadit k nejvyšším úrovním příležitostí k utváření rozvíjení k</w:t>
      </w:r>
      <w:r w:rsidR="00B118EC">
        <w:t>o</w:t>
      </w:r>
      <w:r>
        <w:t>mp</w:t>
      </w:r>
      <w:r w:rsidR="00B118EC">
        <w:t>e</w:t>
      </w:r>
      <w:r>
        <w:t>tence k řešení problémů</w:t>
      </w:r>
      <w:r w:rsidR="00B118EC">
        <w:t>,</w:t>
      </w:r>
      <w:r>
        <w:t xml:space="preserve"> měly </w:t>
      </w:r>
      <w:r w:rsidR="00B118EC">
        <w:t>mezi</w:t>
      </w:r>
      <w:r>
        <w:t xml:space="preserve"> učebními úlohami pouze 1–8% podíl (podrobněji viz Martinha, 2011, s. 28). K obdobným výsledkům dospěly na příkladu učebnic zeměpisu používaných v USA také Joová a Bednarzová (2009). </w:t>
      </w:r>
      <w:r w:rsidR="00E56D06">
        <w:t xml:space="preserve">Oproti očekávání se ale nepotvrdila vzájemná odlišnost zkoumaných učebnic, na kterou dlouhodobě poukazují jiné výzkumy (srov. např. Knecht, 2008; Janoušková, 2009 aj.). Je tomu tak </w:t>
      </w:r>
      <w:r w:rsidR="00B118EC">
        <w:t>nejspíše</w:t>
      </w:r>
      <w:r w:rsidR="00E56D06">
        <w:t xml:space="preserve"> proto, že podíl učebních úloh bezprostředně podporujících utváření a rozvíjení kompetence k řešení problémů je ve všech učebnicích relativně nízký.</w:t>
      </w:r>
    </w:p>
    <w:p w:rsidR="00A27065" w:rsidRDefault="00A27065" w:rsidP="00B51907">
      <w:pPr>
        <w:autoSpaceDE w:val="0"/>
        <w:autoSpaceDN w:val="0"/>
        <w:adjustRightInd w:val="0"/>
        <w:spacing w:after="120" w:line="276" w:lineRule="auto"/>
        <w:jc w:val="both"/>
        <w:rPr>
          <w:rFonts w:eastAsia="Calibri"/>
          <w:lang w:eastAsia="en-US"/>
        </w:rPr>
      </w:pPr>
      <w:r>
        <w:t xml:space="preserve">Pokud se zaměříme na výzkumy výuky, </w:t>
      </w:r>
      <w:r w:rsidR="00234B29">
        <w:t xml:space="preserve">na některé z námi prezentovaných výzkumných zjištění již dříve upozornili </w:t>
      </w:r>
      <w:r w:rsidRPr="00171189">
        <w:t>Chvál a Kasík</w:t>
      </w:r>
      <w:r>
        <w:t>ová (2011)</w:t>
      </w:r>
      <w:r w:rsidR="00234B29">
        <w:t>, kteří</w:t>
      </w:r>
      <w:r>
        <w:t xml:space="preserve"> na druhém stupni ZŠ a</w:t>
      </w:r>
      <w:r w:rsidRPr="00171189">
        <w:t xml:space="preserve"> na víceletých gymnáziích </w:t>
      </w:r>
      <w:r>
        <w:t xml:space="preserve">v Česku </w:t>
      </w:r>
      <w:r w:rsidRPr="00171189">
        <w:t>zkoumali p</w:t>
      </w:r>
      <w:r w:rsidRPr="00171189">
        <w:rPr>
          <w:rFonts w:ascii="TimesNewRomanPSMT" w:eastAsia="TimesNewRomanPSMT" w:cs="TimesNewRomanPSMT" w:hint="eastAsia"/>
        </w:rPr>
        <w:t>ř</w:t>
      </w:r>
      <w:r w:rsidRPr="00171189">
        <w:t>íležitosti k rozvíjení kompetence k u</w:t>
      </w:r>
      <w:r w:rsidRPr="00171189">
        <w:rPr>
          <w:rFonts w:ascii="TimesNewRomanPSMT" w:eastAsia="TimesNewRomanPSMT" w:cs="TimesNewRomanPSMT" w:hint="eastAsia"/>
        </w:rPr>
        <w:t>č</w:t>
      </w:r>
      <w:r w:rsidRPr="00171189">
        <w:t xml:space="preserve">ení. </w:t>
      </w:r>
      <w:r>
        <w:t>Poukázali především</w:t>
      </w:r>
      <w:r w:rsidRPr="00171189">
        <w:t xml:space="preserve"> na nízkou </w:t>
      </w:r>
      <w:r w:rsidRPr="00171189">
        <w:rPr>
          <w:rFonts w:ascii="TimesNewRomanPSMT" w:eastAsia="TimesNewRomanPSMT" w:cs="TimesNewRomanPSMT" w:hint="eastAsia"/>
        </w:rPr>
        <w:t>č</w:t>
      </w:r>
      <w:r w:rsidRPr="00171189">
        <w:t xml:space="preserve">etnost </w:t>
      </w:r>
      <w:r>
        <w:t>výukových</w:t>
      </w:r>
      <w:r w:rsidRPr="00171189">
        <w:t xml:space="preserve"> situací, u kterých se předpokládá, že sm</w:t>
      </w:r>
      <w:r w:rsidRPr="00171189">
        <w:rPr>
          <w:rFonts w:ascii="TimesNewRomanPSMT" w:eastAsia="TimesNewRomanPSMT" w:cs="TimesNewRomanPSMT" w:hint="eastAsia"/>
        </w:rPr>
        <w:t>ěř</w:t>
      </w:r>
      <w:r w:rsidRPr="00171189">
        <w:t>ují k rozvoji kompetence k u</w:t>
      </w:r>
      <w:r w:rsidRPr="00171189">
        <w:rPr>
          <w:rFonts w:ascii="TimesNewRomanPSMT" w:eastAsia="TimesNewRomanPSMT" w:cs="TimesNewRomanPSMT" w:hint="eastAsia"/>
        </w:rPr>
        <w:t>č</w:t>
      </w:r>
      <w:r w:rsidRPr="00171189">
        <w:t>ení (nap</w:t>
      </w:r>
      <w:r w:rsidRPr="00171189">
        <w:rPr>
          <w:rFonts w:ascii="TimesNewRomanPSMT" w:eastAsia="TimesNewRomanPSMT" w:cs="TimesNewRomanPSMT" w:hint="eastAsia"/>
        </w:rPr>
        <w:t>ř</w:t>
      </w:r>
      <w:r w:rsidRPr="00171189">
        <w:t xml:space="preserve">. </w:t>
      </w:r>
      <w:r w:rsidRPr="00171189">
        <w:rPr>
          <w:i/>
          <w:iCs/>
        </w:rPr>
        <w:t xml:space="preserve">reflexe kognitivních </w:t>
      </w:r>
      <w:r w:rsidRPr="00171189">
        <w:rPr>
          <w:rFonts w:ascii="TimesNewRomanPS-ItalicMT" w:eastAsia="TimesNewRomanPS-ItalicMT" w:cs="TimesNewRomanPS-ItalicMT" w:hint="eastAsia"/>
          <w:i/>
          <w:iCs/>
        </w:rPr>
        <w:t>č</w:t>
      </w:r>
      <w:r w:rsidRPr="00171189">
        <w:rPr>
          <w:i/>
          <w:iCs/>
        </w:rPr>
        <w:t>innosti; reflexe procesu, metod a forem</w:t>
      </w:r>
      <w:r w:rsidRPr="00171189">
        <w:t xml:space="preserve"> </w:t>
      </w:r>
      <w:r w:rsidRPr="00171189">
        <w:rPr>
          <w:i/>
          <w:iCs/>
        </w:rPr>
        <w:t>výuky nebo blok v</w:t>
      </w:r>
      <w:r w:rsidRPr="00171189">
        <w:rPr>
          <w:rFonts w:ascii="TimesNewRomanPS-ItalicMT" w:eastAsia="TimesNewRomanPS-ItalicMT" w:cs="TimesNewRomanPS-ItalicMT" w:hint="eastAsia"/>
          <w:i/>
          <w:iCs/>
        </w:rPr>
        <w:t>ě</w:t>
      </w:r>
      <w:r w:rsidRPr="00171189">
        <w:rPr>
          <w:i/>
          <w:iCs/>
        </w:rPr>
        <w:t>novaný p</w:t>
      </w:r>
      <w:r w:rsidRPr="00171189">
        <w:rPr>
          <w:rFonts w:ascii="TimesNewRomanPS-ItalicMT" w:eastAsia="TimesNewRomanPS-ItalicMT" w:cs="TimesNewRomanPS-ItalicMT" w:hint="eastAsia"/>
          <w:i/>
          <w:iCs/>
        </w:rPr>
        <w:t>ř</w:t>
      </w:r>
      <w:r w:rsidRPr="00171189">
        <w:rPr>
          <w:i/>
          <w:iCs/>
        </w:rPr>
        <w:t>ímé práci s rozvojem kompetence k u</w:t>
      </w:r>
      <w:r w:rsidRPr="00171189">
        <w:rPr>
          <w:rFonts w:ascii="TimesNewRomanPS-ItalicMT" w:eastAsia="TimesNewRomanPS-ItalicMT" w:cs="TimesNewRomanPS-ItalicMT" w:hint="eastAsia"/>
          <w:i/>
          <w:iCs/>
        </w:rPr>
        <w:t>č</w:t>
      </w:r>
      <w:r w:rsidRPr="00171189">
        <w:rPr>
          <w:i/>
          <w:iCs/>
        </w:rPr>
        <w:t>ení</w:t>
      </w:r>
      <w:r w:rsidRPr="00171189">
        <w:t>). (2011, s. 159).</w:t>
      </w:r>
      <w:r>
        <w:t xml:space="preserve"> K obdobným závěrům dospěly také robustnější mezinárodní srovnávací výzkumy. </w:t>
      </w:r>
      <w:r w:rsidRPr="00D96DAA">
        <w:t xml:space="preserve">Měřením kompetence k řešení problémů se zabývalo OECD (2004) v mezinárodním šetření PISA v roce 2003. Výzkum proběhl v 41 zemích na vzorku patnáctiletých žáků. Výzkum odhalil, že čeští žáci mají rozsáhlé teoretické znalosti, nemají však dostatek příležitostí naučit se je použít v praxi. Příčina může být mj. i v charakteru učebních úloh, se kterými jsou žáci konfrontováni ve výuce. </w:t>
      </w:r>
      <w:r w:rsidRPr="00584A99">
        <w:rPr>
          <w:lang w:eastAsia="en-US"/>
        </w:rPr>
        <w:t xml:space="preserve">Výzkum prezentovaný v této práci potvrzuje na příkladu výuky zeměpisu některá specifika školní výuky realizované v Česku, která byla zachycena také v dalších výzkumech. Roth </w:t>
      </w:r>
      <w:r w:rsidR="00B118EC">
        <w:rPr>
          <w:lang w:eastAsia="en-US"/>
        </w:rPr>
        <w:t xml:space="preserve">a kol. </w:t>
      </w:r>
      <w:r w:rsidRPr="00584A99">
        <w:rPr>
          <w:lang w:eastAsia="en-US"/>
        </w:rPr>
        <w:t>(2006, s. 5) na základě komparativní videostudie přírodovědných předmětů TIMSS realizované v pěti zemích (Austrálie, Česká republika, Japonsko, Nizozemí, USA) zjistil</w:t>
      </w:r>
      <w:r w:rsidR="00B118EC">
        <w:rPr>
          <w:lang w:eastAsia="en-US"/>
        </w:rPr>
        <w:t>i</w:t>
      </w:r>
      <w:r w:rsidRPr="00584A99">
        <w:rPr>
          <w:lang w:eastAsia="en-US"/>
        </w:rPr>
        <w:t>, že Česká republika ostatní země výrazně převyšovala v zastoupení fáze opakování učiva (19 %) a hodnocení žákova učení (zkoušení), kterému bylo věnováno 9 % času. Dále byly shledány odlišnosti v tom, v jakých organizačních formách se výuka odehrává. V České republice výrazně dominovala práce s celou třídou (71 %) v lavicích (</w:t>
      </w:r>
      <w:r w:rsidRPr="00584A99">
        <w:rPr>
          <w:i/>
          <w:iCs/>
          <w:lang w:eastAsia="en-US"/>
        </w:rPr>
        <w:t>whole-classs at work activities</w:t>
      </w:r>
      <w:r w:rsidRPr="00584A99">
        <w:rPr>
          <w:lang w:eastAsia="en-US"/>
        </w:rPr>
        <w:t xml:space="preserve">). Nejméně byl zastoupen žákovský experiment (4 %). Alespoň jednu praktickou aktivitu obsahovalo pouze 23 % českých hodin, pouze v 6 % měli žáci za úkol něco objevovat, jinak plnili postup nebo potvrzovali poznatek. 81 % výukového času pracovali žáci samostatně, skupinová práce byla neobvyklá (6 %). České vyučovací hodiny se vyznačovaly i tím, že se </w:t>
      </w:r>
      <w:r>
        <w:rPr>
          <w:lang w:eastAsia="en-US"/>
        </w:rPr>
        <w:t>žáci málo ptali (Straková, 2010a</w:t>
      </w:r>
      <w:r w:rsidRPr="00584A99">
        <w:rPr>
          <w:lang w:eastAsia="en-US"/>
        </w:rPr>
        <w:t>, s. 280–281). Na základě citovaného výzkumu je možné konstatovat, že relativně málo času mohli čeští žáci věnovat individuální práci. Učivo bylo náročné, hutné, teoretické, spíše organizované kolem faktů a definic, menší důraz byl kladen na vytváření konceptuálních vazeb. Na druhou stranu se v českých hodinách často objevovala sumarizace učiva, která přispívá k jeho vyšší soudržnosti.</w:t>
      </w:r>
      <w:r w:rsidRPr="00584A99">
        <w:rPr>
          <w:rFonts w:eastAsia="Calibri"/>
          <w:lang w:eastAsia="en-US"/>
        </w:rPr>
        <w:t xml:space="preserve"> </w:t>
      </w:r>
      <w:r w:rsidRPr="00584A99">
        <w:rPr>
          <w:lang w:eastAsia="en-US"/>
        </w:rPr>
        <w:t>Poznatkovou nahuštěnost a náročnost české výuky i učebnic vyhodnotila již analýza kurikula, která se uskutečnila v rámci výzkumu TIMSS 1995 (Schmidt et al., 2002; Valverde et al., 2002). Podle Strakové (2010, s. 283) česká výuka pravděpodobně nesplňuje řadu atributů výuky, která je mezinárodní komunitou považována za podmínku kvalitní přípravy pro život v současné společnosti.</w:t>
      </w:r>
      <w:r>
        <w:rPr>
          <w:rStyle w:val="Znakapoznpodarou"/>
          <w:lang w:eastAsia="en-US"/>
        </w:rPr>
        <w:footnoteReference w:id="101"/>
      </w:r>
      <w:r>
        <w:rPr>
          <w:lang w:eastAsia="en-US"/>
        </w:rPr>
        <w:t xml:space="preserve"> </w:t>
      </w:r>
      <w:r w:rsidRPr="00584A99">
        <w:rPr>
          <w:rFonts w:eastAsia="Calibri"/>
          <w:lang w:eastAsia="en-US"/>
        </w:rPr>
        <w:t>Ačkoliv se jedná o poměrně kontroverzní konstatování, spatřuje Straková (2010</w:t>
      </w:r>
      <w:r>
        <w:rPr>
          <w:rFonts w:eastAsia="Calibri"/>
          <w:lang w:eastAsia="en-US"/>
        </w:rPr>
        <w:t>a</w:t>
      </w:r>
      <w:r w:rsidRPr="00584A99">
        <w:rPr>
          <w:rFonts w:eastAsia="Calibri"/>
          <w:lang w:eastAsia="en-US"/>
        </w:rPr>
        <w:t>, s. 280) jádro problému především ve vymezování cílů vyučovacích hodin. Čeští učitelé definovali cíl hodiny nebo výuky v daném časovém úseku nejčastěji pomocí znalosti nějaké oblasti, kdežto jejich zahraniční kolegové častěji sledovali porozumění. Těžiště výuky v českých hodinách spočívalo především v nižších úrovních taxonomie vzdělávacích cílů: důraz byl kladen na znalost a zvládání rutinních operací. Cílené rozvíjení obecných myšlenkových dovedností bylo ve výuce upozaděno. Velký důraz byl kladen na opakování a procvičování učiva a učitelé se snažili žákům ukazovat souvislosti mezi učivem a životem mimo školu.</w:t>
      </w:r>
      <w:r>
        <w:rPr>
          <w:rFonts w:eastAsia="Calibri"/>
          <w:lang w:eastAsia="en-US"/>
        </w:rPr>
        <w:t xml:space="preserve"> </w:t>
      </w:r>
    </w:p>
    <w:p w:rsidR="009E622C" w:rsidRDefault="009E622C" w:rsidP="00E56D06">
      <w:pPr>
        <w:autoSpaceDE w:val="0"/>
        <w:autoSpaceDN w:val="0"/>
        <w:adjustRightInd w:val="0"/>
        <w:spacing w:after="120" w:line="276" w:lineRule="auto"/>
        <w:jc w:val="both"/>
        <w:rPr>
          <w:rFonts w:eastAsia="Calibri"/>
          <w:lang w:eastAsia="en-US"/>
        </w:rPr>
      </w:pPr>
    </w:p>
    <w:p w:rsidR="009E622C" w:rsidRPr="009E622C" w:rsidRDefault="009E622C" w:rsidP="009E622C">
      <w:pPr>
        <w:pStyle w:val="Nadpis2"/>
      </w:pPr>
      <w:bookmarkStart w:id="120" w:name="_Toc399775448"/>
      <w:r>
        <w:t>Širší interpretace výsledků</w:t>
      </w:r>
      <w:bookmarkEnd w:id="120"/>
      <w:r>
        <w:t xml:space="preserve"> </w:t>
      </w:r>
    </w:p>
    <w:p w:rsidR="001F3D06" w:rsidRPr="00D42D2E" w:rsidRDefault="001F3D06" w:rsidP="001F3D06">
      <w:pPr>
        <w:spacing w:after="120" w:line="276" w:lineRule="auto"/>
        <w:jc w:val="both"/>
      </w:pPr>
      <w:r w:rsidRPr="00D42D2E">
        <w:t>Ve školní výuce je nemožné ostře definovat hranici mezi pro</w:t>
      </w:r>
      <w:r w:rsidR="00B565AC">
        <w:t xml:space="preserve">blémem a rutinní učební úlohou, neboť </w:t>
      </w:r>
      <w:r w:rsidR="00B565AC" w:rsidRPr="00D42D2E">
        <w:t xml:space="preserve">žáci </w:t>
      </w:r>
      <w:r w:rsidR="00B565AC">
        <w:t xml:space="preserve">mají </w:t>
      </w:r>
      <w:r w:rsidR="00B565AC" w:rsidRPr="00D42D2E">
        <w:t xml:space="preserve">rozdílné znalosti i předchozí zkušenosti, které proces řešení problémů ovlivňují. </w:t>
      </w:r>
      <w:r w:rsidRPr="00D42D2E">
        <w:t xml:space="preserve">Zároveň je pochopitelné, že v běžné výuce dominují uzavřené otázky, jejichž řešení vyžaduje použití předem známých postupů. Tato skutečnost patrně může </w:t>
      </w:r>
      <w:r>
        <w:t>být</w:t>
      </w:r>
      <w:r w:rsidRPr="00D42D2E">
        <w:t xml:space="preserve"> terčem kritiky, neboť se ukazuje, že školní výuka nezrcadlí současný charakter geografie jako vědy. Je ovšem otázkou, zda by tomu tak skutečně mělo být. Je možné, že vzdělávání na základní škole by skutečně mělo poskytnout základní pojmy a strukturu oboru, kterou mají již odborníci osvojenou, a proto mohou vyhledávat a řešit problémy v praxi.</w:t>
      </w:r>
    </w:p>
    <w:p w:rsidR="00B97F07" w:rsidRDefault="00BD574B" w:rsidP="00B51907">
      <w:pPr>
        <w:autoSpaceDE w:val="0"/>
        <w:autoSpaceDN w:val="0"/>
        <w:adjustRightInd w:val="0"/>
        <w:spacing w:after="120" w:line="276" w:lineRule="auto"/>
        <w:jc w:val="both"/>
      </w:pPr>
      <w:r w:rsidRPr="00C646E3">
        <w:t>V této práci operujeme s chápáním geografie jako vědecké disciplíny, která má v Česku za sebou vývoj odlišný od vývoje v anglofonních zemích. Kromě toho situace v současné geografii je poměrně nepřehledná, neboť není patrně možné jasně stanovit definici geografie jako vědy a stejně tak je obtížné definovat, co je geografie, a čím se geografové zabývají (srov. Bonnet, 2008).</w:t>
      </w:r>
      <w:r w:rsidRPr="00C646E3">
        <w:rPr>
          <w:rStyle w:val="Znakapoznpodarou"/>
        </w:rPr>
        <w:footnoteReference w:id="102"/>
      </w:r>
      <w:r>
        <w:t xml:space="preserve"> </w:t>
      </w:r>
      <w:r w:rsidRPr="00C646E3">
        <w:t>Morgan (2013, s. 281) j</w:t>
      </w:r>
      <w:r w:rsidR="00712096">
        <w:t xml:space="preserve">e skeptický a doporučuje neztrácet čas a energii </w:t>
      </w:r>
      <w:r w:rsidR="00125721">
        <w:t>hledání</w:t>
      </w:r>
      <w:r w:rsidR="00712096">
        <w:t>m</w:t>
      </w:r>
      <w:r w:rsidRPr="00C646E3">
        <w:t xml:space="preserve"> jedin</w:t>
      </w:r>
      <w:r w:rsidR="00125721">
        <w:t>é</w:t>
      </w:r>
      <w:r w:rsidRPr="00C646E3">
        <w:t xml:space="preserve"> platn</w:t>
      </w:r>
      <w:r w:rsidR="00125721">
        <w:t>é</w:t>
      </w:r>
      <w:r w:rsidRPr="00C646E3">
        <w:t xml:space="preserve"> definic</w:t>
      </w:r>
      <w:r w:rsidR="00125721">
        <w:t xml:space="preserve">e </w:t>
      </w:r>
      <w:r w:rsidR="00712096">
        <w:t>geografie následným odvozováním klíčových poznatků, konceptů a souvisejících dovedností</w:t>
      </w:r>
      <w:r w:rsidRPr="00C646E3">
        <w:t xml:space="preserve">. </w:t>
      </w:r>
      <w:r w:rsidR="00F078D0" w:rsidRPr="00C646E3">
        <w:t xml:space="preserve">Geografické vzdělávání nicméně </w:t>
      </w:r>
      <w:r w:rsidR="00F078D0">
        <w:t xml:space="preserve">od samého počátku </w:t>
      </w:r>
      <w:r w:rsidR="00F078D0" w:rsidRPr="00C646E3">
        <w:t xml:space="preserve">doprovázejí četné diskuse </w:t>
      </w:r>
      <w:r w:rsidR="00F078D0">
        <w:t>o jeho pojetí, cílech a obsazích.</w:t>
      </w:r>
      <w:r w:rsidR="00F078D0">
        <w:rPr>
          <w:rStyle w:val="Znakapoznpodarou"/>
        </w:rPr>
        <w:footnoteReference w:id="103"/>
      </w:r>
      <w:r w:rsidR="00F078D0">
        <w:t xml:space="preserve"> Vyčerpávající přehled aktuálně diskutovaných témat podávají Lambert &amp; Jones (</w:t>
      </w:r>
      <w:r w:rsidRPr="00C646E3">
        <w:t>2013)</w:t>
      </w:r>
      <w:r w:rsidR="00F078D0">
        <w:t>. Ukazuje se, že nejvíce živé diskuse se aktuálně týkají</w:t>
      </w:r>
      <w:r w:rsidRPr="00C646E3">
        <w:t xml:space="preserve"> cílů </w:t>
      </w:r>
      <w:r w:rsidR="00F078D0">
        <w:t xml:space="preserve">geografického </w:t>
      </w:r>
      <w:r w:rsidRPr="00C646E3">
        <w:t>vzdělávání a klíčových konceptů, kolem kterých by mělo být geografické vzdělávání vystavěno (</w:t>
      </w:r>
      <w:r w:rsidR="00F078D0">
        <w:t xml:space="preserve">srov. </w:t>
      </w:r>
      <w:r w:rsidR="00B97F07" w:rsidRPr="00C646E3">
        <w:t>Taylor</w:t>
      </w:r>
      <w:r w:rsidR="00B97F07">
        <w:t>,</w:t>
      </w:r>
      <w:r w:rsidR="00B97F07" w:rsidRPr="00C646E3">
        <w:t xml:space="preserve"> 2008</w:t>
      </w:r>
      <w:r w:rsidR="00B97F07">
        <w:t>;</w:t>
      </w:r>
      <w:r w:rsidR="00B97F07" w:rsidRPr="00C646E3">
        <w:t xml:space="preserve"> </w:t>
      </w:r>
      <w:r w:rsidR="00B97F07">
        <w:rPr>
          <w:rFonts w:eastAsia="CenturySchL-Roma"/>
        </w:rPr>
        <w:t xml:space="preserve">Bennets, 2008; </w:t>
      </w:r>
      <w:r w:rsidRPr="00C646E3">
        <w:t>Brooks, 2013</w:t>
      </w:r>
      <w:r>
        <w:t>;</w:t>
      </w:r>
      <w:r w:rsidRPr="00C646E3">
        <w:t xml:space="preserve"> </w:t>
      </w:r>
      <w:r w:rsidR="00B97F07" w:rsidRPr="00680CAC">
        <w:rPr>
          <w:rFonts w:eastAsia="CenturySchL-Roma"/>
        </w:rPr>
        <w:t>Uhlenwinkel</w:t>
      </w:r>
      <w:r w:rsidR="00B97F07">
        <w:rPr>
          <w:rFonts w:eastAsia="CenturySchL-Roma"/>
        </w:rPr>
        <w:t>,</w:t>
      </w:r>
      <w:r w:rsidR="00B97F07" w:rsidRPr="00680CAC">
        <w:rPr>
          <w:rFonts w:eastAsia="CenturySchL-Roma"/>
        </w:rPr>
        <w:t xml:space="preserve"> 2013</w:t>
      </w:r>
      <w:r w:rsidR="00B97F07">
        <w:rPr>
          <w:rFonts w:eastAsia="CenturySchL-Roma"/>
        </w:rPr>
        <w:t xml:space="preserve"> </w:t>
      </w:r>
      <w:r w:rsidRPr="00C646E3">
        <w:t>aj.).</w:t>
      </w:r>
      <w:r w:rsidR="00B97F07">
        <w:rPr>
          <w:rStyle w:val="Znakapoznpodarou"/>
          <w:rFonts w:eastAsia="CenturySchL-Roma"/>
        </w:rPr>
        <w:footnoteReference w:id="104"/>
      </w:r>
    </w:p>
    <w:p w:rsidR="00BD574B" w:rsidRPr="00C646E3" w:rsidRDefault="00BD574B" w:rsidP="00B51907">
      <w:pPr>
        <w:autoSpaceDE w:val="0"/>
        <w:autoSpaceDN w:val="0"/>
        <w:adjustRightInd w:val="0"/>
        <w:spacing w:after="120" w:line="276" w:lineRule="auto"/>
        <w:jc w:val="both"/>
        <w:rPr>
          <w:rFonts w:eastAsia="Calibri"/>
          <w:lang w:eastAsia="en-US"/>
        </w:rPr>
      </w:pPr>
      <w:r w:rsidRPr="00C646E3">
        <w:t xml:space="preserve">To potvrzuje, že didaktika geografie je typickým představitelem vědy, jejíž teoretický fundament je poměrně </w:t>
      </w:r>
      <w:r w:rsidR="00CC6106">
        <w:t>nestálý</w:t>
      </w:r>
      <w:r w:rsidRPr="00C646E3">
        <w:t xml:space="preserve">, neboť je podepřen měkkými teoriemi. </w:t>
      </w:r>
      <w:r w:rsidRPr="00C646E3">
        <w:rPr>
          <w:rFonts w:eastAsia="Calibri"/>
          <w:lang w:eastAsia="en-US"/>
        </w:rPr>
        <w:t xml:space="preserve">Měkké teorie jsou postaveny na tzv. „otevřených koncepcích“, tj. koncepcích vyznačujících se nejednoznačností, vyplývající z protikladných odkazů. </w:t>
      </w:r>
      <w:r>
        <w:rPr>
          <w:rFonts w:eastAsia="Calibri"/>
          <w:lang w:eastAsia="en-US"/>
        </w:rPr>
        <w:t xml:space="preserve">Jinými slovy, </w:t>
      </w:r>
      <w:r>
        <w:t xml:space="preserve">naše dílčí výzkumnické pokusy a omyly nás postupně vedou k cenným a ověřeným teoriím. </w:t>
      </w:r>
      <w:r w:rsidRPr="00C646E3">
        <w:rPr>
          <w:rFonts w:eastAsia="Calibri"/>
          <w:lang w:eastAsia="en-US"/>
        </w:rPr>
        <w:t xml:space="preserve">Na problém </w:t>
      </w:r>
      <w:r w:rsidR="00CC6106">
        <w:rPr>
          <w:rFonts w:eastAsia="Calibri"/>
          <w:lang w:eastAsia="en-US"/>
        </w:rPr>
        <w:t xml:space="preserve">nedostatku empiricky podložených poznatků o realitě geografického vzdělávání v Česku </w:t>
      </w:r>
      <w:r w:rsidRPr="00C646E3">
        <w:rPr>
          <w:rFonts w:eastAsia="Calibri"/>
          <w:lang w:eastAsia="en-US"/>
        </w:rPr>
        <w:t>jsme několikrát upozornili v předchozích kapitol</w:t>
      </w:r>
      <w:r w:rsidR="00B118EC">
        <w:rPr>
          <w:rFonts w:eastAsia="Calibri"/>
          <w:lang w:eastAsia="en-US"/>
        </w:rPr>
        <w:t>ách. I přihlédnutím k této sku</w:t>
      </w:r>
      <w:r w:rsidRPr="00C646E3">
        <w:rPr>
          <w:rFonts w:eastAsia="Calibri"/>
          <w:lang w:eastAsia="en-US"/>
        </w:rPr>
        <w:t xml:space="preserve">tečnosti je možné konstatovat, že výzkum prezentovaný v této práci přispěl k hlubšímu porozumění vybraných </w:t>
      </w:r>
      <w:r w:rsidR="00A5414B">
        <w:rPr>
          <w:rFonts w:eastAsia="Calibri"/>
          <w:lang w:eastAsia="en-US"/>
        </w:rPr>
        <w:t>aspektů geografického</w:t>
      </w:r>
      <w:r w:rsidRPr="00C646E3">
        <w:rPr>
          <w:rFonts w:eastAsia="Calibri"/>
          <w:lang w:eastAsia="en-US"/>
        </w:rPr>
        <w:t xml:space="preserve"> vzdělávání a popsal jejich souvztažnost s širším kontextem. </w:t>
      </w:r>
      <w:r w:rsidRPr="00C646E3">
        <w:t>Teorie didaktiky geografie se tvoří po kouscích z pozorovatelných fenoménů, a s ohledem na výs</w:t>
      </w:r>
      <w:r w:rsidR="00C262F9">
        <w:t>l</w:t>
      </w:r>
      <w:r w:rsidRPr="00C646E3">
        <w:t xml:space="preserve">edky pozorování může být následně teorie rozšířena nebo modifikována (srov. </w:t>
      </w:r>
      <w:r w:rsidRPr="00C646E3">
        <w:rPr>
          <w:rFonts w:eastAsia="Calibri"/>
          <w:lang w:eastAsia="en-US"/>
        </w:rPr>
        <w:t xml:space="preserve">Iser, 2009, s. 17). </w:t>
      </w:r>
    </w:p>
    <w:p w:rsidR="00ED0901" w:rsidRPr="00ED0901" w:rsidRDefault="00ED0901" w:rsidP="00ED0901">
      <w:pPr>
        <w:spacing w:after="120" w:line="276" w:lineRule="auto"/>
        <w:jc w:val="both"/>
        <w:rPr>
          <w:rFonts w:cs="Calibri"/>
          <w:bCs/>
        </w:rPr>
      </w:pPr>
      <w:r w:rsidRPr="00ED0901">
        <w:rPr>
          <w:rFonts w:cs="Calibri"/>
          <w:bCs/>
        </w:rPr>
        <w:t xml:space="preserve">Výsledky výzkumu ukazují, že pokud jsou vzdělávací obsahy jistým způsobem upraveny/zpracovány/prezentovány, je teoreticky možné kompetenci k řešení problémů utvářet a rozvíjet při zachování většiny ostatních podmínek. </w:t>
      </w:r>
      <w:r w:rsidR="009E622C">
        <w:rPr>
          <w:rFonts w:eastAsia="Calibri"/>
          <w:lang w:eastAsia="en-US"/>
        </w:rPr>
        <w:t>Z</w:t>
      </w:r>
      <w:r>
        <w:rPr>
          <w:rFonts w:eastAsia="Calibri"/>
          <w:lang w:eastAsia="en-US"/>
        </w:rPr>
        <w:t xml:space="preserve"> toho </w:t>
      </w:r>
      <w:r w:rsidR="00A27065" w:rsidRPr="00D422CC">
        <w:rPr>
          <w:rFonts w:eastAsia="Calibri"/>
          <w:lang w:eastAsia="en-US"/>
        </w:rPr>
        <w:t xml:space="preserve">vyplývá </w:t>
      </w:r>
      <w:r w:rsidR="00A5414B">
        <w:rPr>
          <w:rFonts w:eastAsia="Calibri"/>
          <w:lang w:eastAsia="en-US"/>
        </w:rPr>
        <w:t>především</w:t>
      </w:r>
      <w:r w:rsidR="00A27065" w:rsidRPr="00D422CC">
        <w:rPr>
          <w:rFonts w:eastAsia="Calibri"/>
          <w:lang w:eastAsia="en-US"/>
        </w:rPr>
        <w:t xml:space="preserve"> apel na promýšlení (a </w:t>
      </w:r>
      <w:r w:rsidR="0045664A" w:rsidRPr="00D422CC">
        <w:rPr>
          <w:rFonts w:eastAsia="Calibri"/>
          <w:lang w:eastAsia="en-US"/>
        </w:rPr>
        <w:t>případnou revizi</w:t>
      </w:r>
      <w:r w:rsidR="00A27065" w:rsidRPr="00D422CC">
        <w:rPr>
          <w:rFonts w:eastAsia="Calibri"/>
          <w:lang w:eastAsia="en-US"/>
        </w:rPr>
        <w:t xml:space="preserve">) cílů </w:t>
      </w:r>
      <w:r w:rsidR="00C262F9">
        <w:rPr>
          <w:rFonts w:eastAsia="Calibri"/>
          <w:lang w:eastAsia="en-US"/>
        </w:rPr>
        <w:t>a obsahů výuky zeměpisu</w:t>
      </w:r>
      <w:r w:rsidR="00A27065" w:rsidRPr="00D422CC">
        <w:rPr>
          <w:rFonts w:eastAsia="Calibri"/>
          <w:lang w:eastAsia="en-US"/>
        </w:rPr>
        <w:t xml:space="preserve"> směřovaný k</w:t>
      </w:r>
      <w:r w:rsidR="0045664A">
        <w:rPr>
          <w:rFonts w:eastAsia="Calibri"/>
          <w:lang w:eastAsia="en-US"/>
        </w:rPr>
        <w:t xml:space="preserve"> tvůrcům kurikula a </w:t>
      </w:r>
      <w:r w:rsidR="00A27065" w:rsidRPr="00D422CC">
        <w:rPr>
          <w:rFonts w:eastAsia="Calibri"/>
          <w:lang w:eastAsia="en-US"/>
        </w:rPr>
        <w:t>učitelům</w:t>
      </w:r>
      <w:r w:rsidR="00A5414B">
        <w:rPr>
          <w:rFonts w:eastAsia="Calibri"/>
          <w:lang w:eastAsia="en-US"/>
        </w:rPr>
        <w:t xml:space="preserve">. </w:t>
      </w:r>
      <w:r w:rsidR="00A27065" w:rsidRPr="00D422CC">
        <w:t>Ačkoliv například většina učebních úloh ve zkoumaných učebnicích přímo nesměřuje k utváření a rozvíjení kompetence k řešení problémů, je pravděpodobné, že tyto učební úlohy mohou být využity k navození výukových situací, které mohou</w:t>
      </w:r>
      <w:r w:rsidR="00A27065" w:rsidRPr="00D422CC">
        <w:rPr>
          <w:sz w:val="22"/>
        </w:rPr>
        <w:t xml:space="preserve"> </w:t>
      </w:r>
      <w:r w:rsidR="00A27065" w:rsidRPr="00D422CC">
        <w:t>utváření a rozvíjení kompetence k řešení problémů</w:t>
      </w:r>
      <w:r w:rsidR="00A27065" w:rsidRPr="00D422CC">
        <w:rPr>
          <w:rFonts w:cs="Calibri"/>
        </w:rPr>
        <w:t xml:space="preserve"> podporovat nepřímo. Učitel může tyto učební úlohy například prostřednictvím jednodušší didaktické in</w:t>
      </w:r>
      <w:r w:rsidR="00B118EC">
        <w:rPr>
          <w:rFonts w:cs="Calibri"/>
        </w:rPr>
        <w:t>t</w:t>
      </w:r>
      <w:r w:rsidR="00A27065" w:rsidRPr="00D422CC">
        <w:rPr>
          <w:rFonts w:cs="Calibri"/>
        </w:rPr>
        <w:t>ervence upravovat s ohledem na</w:t>
      </w:r>
      <w:r w:rsidR="00A27065" w:rsidRPr="00D422CC">
        <w:rPr>
          <w:rFonts w:eastAsia="Calibri"/>
          <w:lang w:eastAsia="en-US"/>
        </w:rPr>
        <w:t xml:space="preserve"> požadavek utváření a </w:t>
      </w:r>
      <w:r w:rsidR="00B118EC" w:rsidRPr="00D422CC">
        <w:rPr>
          <w:rFonts w:eastAsia="Calibri"/>
          <w:lang w:eastAsia="en-US"/>
        </w:rPr>
        <w:t>rozvíjení</w:t>
      </w:r>
      <w:r w:rsidR="00A27065" w:rsidRPr="00D422CC">
        <w:rPr>
          <w:rFonts w:eastAsia="Calibri"/>
          <w:lang w:eastAsia="en-US"/>
        </w:rPr>
        <w:t xml:space="preserve"> kompetence k řešení problémů. </w:t>
      </w:r>
      <w:r w:rsidR="00A27065" w:rsidRPr="00D422CC">
        <w:rPr>
          <w:rFonts w:cs="Calibri"/>
        </w:rPr>
        <w:t>Takovéto vyústění ale může být ze strany učitele čistě intuitivní nebo náhodné.</w:t>
      </w:r>
      <w:r w:rsidR="00BE2CAC">
        <w:rPr>
          <w:rFonts w:cs="Calibri"/>
        </w:rPr>
        <w:t xml:space="preserve"> </w:t>
      </w:r>
    </w:p>
    <w:p w:rsidR="00445787" w:rsidRPr="00D42D2E" w:rsidRDefault="00A27065" w:rsidP="00B416F6">
      <w:pPr>
        <w:spacing w:after="120" w:line="276" w:lineRule="auto"/>
        <w:jc w:val="both"/>
      </w:pPr>
      <w:r w:rsidRPr="00D422CC">
        <w:rPr>
          <w:rFonts w:cs="Calibri"/>
        </w:rPr>
        <w:t xml:space="preserve">Tomu se nelze divit, neboť </w:t>
      </w:r>
      <w:r w:rsidRPr="00D422CC">
        <w:t>ani tvůrcům rámcových vzdělávacích programů se ne vždy podařilo docílit ideálního stavu, kdy by učivo vedlo k dosahování očekávaných výstupů a ty aby pak vedly k utváření a rozvoji klíčových kompetencí (</w:t>
      </w:r>
      <w:r w:rsidR="00B118EC">
        <w:t xml:space="preserve">srov. </w:t>
      </w:r>
      <w:r w:rsidRPr="00D422CC">
        <w:t>Janík</w:t>
      </w:r>
      <w:r w:rsidR="007A45E9">
        <w:t xml:space="preserve">, </w:t>
      </w:r>
      <w:r w:rsidRPr="00D422CC">
        <w:t>Maňák</w:t>
      </w:r>
      <w:r w:rsidR="007A45E9">
        <w:t>, &amp;</w:t>
      </w:r>
      <w:r w:rsidRPr="00D422CC">
        <w:t xml:space="preserve"> Knecht 2009, s. 76, Simonová</w:t>
      </w:r>
      <w:r w:rsidR="007A45E9">
        <w:t xml:space="preserve"> &amp;</w:t>
      </w:r>
      <w:r w:rsidRPr="00D422CC">
        <w:t xml:space="preserve"> Straková 2005, s. 19–</w:t>
      </w:r>
      <w:r>
        <w:t xml:space="preserve">38). </w:t>
      </w:r>
      <w:r>
        <w:rPr>
          <w:rFonts w:cs="Calibri"/>
        </w:rPr>
        <w:t>N</w:t>
      </w:r>
      <w:r w:rsidRPr="00D422CC">
        <w:rPr>
          <w:rFonts w:cs="Calibri"/>
        </w:rPr>
        <w:t>a úrovni jednotlivých vyučovacích předmětů nebyla v rámcových vzdělávacích programech zdůvodněna vzdělávací koncepce, která by např. definovala oborově specifické kompetence a stanovovala, jak jednotlivé oborové kompetence přispívají k utváření a rozvoji nadoborových (klíčových) kompetencí.</w:t>
      </w:r>
      <w:r w:rsidRPr="00D422CC">
        <w:t xml:space="preserve"> </w:t>
      </w:r>
    </w:p>
    <w:p w:rsidR="00AA3B50" w:rsidRDefault="00A27065" w:rsidP="008F6837">
      <w:pPr>
        <w:spacing w:after="120" w:line="276" w:lineRule="auto"/>
        <w:jc w:val="both"/>
      </w:pPr>
      <w:r w:rsidRPr="00D422CC">
        <w:t>Kritika rámcových vzdělávacích programů z oborově didaktických pozic otevírá další závažný problém. Předpokládá se, že vzdělávací programy budou logicky strukturovány a vypracovány na základě teoretických i empirických poznatků příslušné oborové didaktiky. Mimo jiné také proto se objevují hlasy volající po pojmové kultivaci vzdělávacích programů (</w:t>
      </w:r>
      <w:r w:rsidR="00B118EC">
        <w:t xml:space="preserve">srov. např. </w:t>
      </w:r>
      <w:r w:rsidRPr="00D422CC">
        <w:t>Dvořák, 2007</w:t>
      </w:r>
      <w:r w:rsidR="007A45E9">
        <w:t xml:space="preserve">; </w:t>
      </w:r>
      <w:r w:rsidRPr="00D422CC">
        <w:t>Stará</w:t>
      </w:r>
      <w:r w:rsidR="007A45E9">
        <w:t>,</w:t>
      </w:r>
      <w:r w:rsidRPr="00D422CC">
        <w:t xml:space="preserve"> 2011, s. 303). </w:t>
      </w:r>
      <w:r w:rsidR="00367006" w:rsidRPr="00367006">
        <w:t xml:space="preserve">Většina </w:t>
      </w:r>
      <w:r w:rsidR="00367006">
        <w:t>didakt</w:t>
      </w:r>
      <w:r w:rsidR="005F3FBA">
        <w:t xml:space="preserve">iků geografie v Česku by patrně souhlasila s názorem, že </w:t>
      </w:r>
      <w:r w:rsidR="00367006" w:rsidRPr="00367006">
        <w:t>systematický přístup (k tematickému studiu) doplněný regionálním studiem, tradičně pevně zakořeněný v české koncepci geografického vzdělávání</w:t>
      </w:r>
      <w:r w:rsidR="005F3FBA">
        <w:t xml:space="preserve"> (rámcové vzdělávací programy nevyjímaje)</w:t>
      </w:r>
      <w:r w:rsidR="00367006" w:rsidRPr="00367006">
        <w:t xml:space="preserve">, je dnes ve vyspělých zemích již překonaný, neboť zde převládá problémově orientované tematické studium geografie založené na regionálním základě (podrobněji viz Kühnlová, 1997, s. 165–167). Obdobná konstatování nemají ambici a potenciál kritizovaný stav změnit. Totéž je možné konstatovat o více či méně zdařilých příkladech dobré praxe. Často se při jejich tvorbě </w:t>
      </w:r>
      <w:r w:rsidR="005F3FBA">
        <w:t>využívají zahraniční inspirace</w:t>
      </w:r>
      <w:r w:rsidR="00367006" w:rsidRPr="00367006">
        <w:t xml:space="preserve"> (</w:t>
      </w:r>
      <w:r w:rsidR="005F3FBA" w:rsidRPr="005F3FBA">
        <w:t>Matoušek, 1996</w:t>
      </w:r>
      <w:r w:rsidR="005F3FBA">
        <w:t>;</w:t>
      </w:r>
      <w:r w:rsidR="005F3FBA" w:rsidRPr="005F3FBA">
        <w:t xml:space="preserve"> </w:t>
      </w:r>
      <w:r w:rsidR="005F3FBA" w:rsidRPr="00367006">
        <w:t>Hynek, 2002 aj.</w:t>
      </w:r>
      <w:r w:rsidR="00367006" w:rsidRPr="00367006">
        <w:t xml:space="preserve">), případně </w:t>
      </w:r>
      <w:r w:rsidR="005F3FBA">
        <w:t xml:space="preserve">reflexe </w:t>
      </w:r>
      <w:r w:rsidR="00367006" w:rsidRPr="00367006">
        <w:t>vlastních zkušenost</w:t>
      </w:r>
      <w:r w:rsidR="005F3FBA">
        <w:t>í</w:t>
      </w:r>
      <w:r w:rsidR="00367006" w:rsidRPr="00367006">
        <w:t xml:space="preserve"> (</w:t>
      </w:r>
      <w:r w:rsidR="005F3FBA">
        <w:t xml:space="preserve">např. </w:t>
      </w:r>
      <w:r w:rsidR="005F3FBA" w:rsidRPr="00367006">
        <w:t>Hofmann, 1999</w:t>
      </w:r>
      <w:r w:rsidR="005F3FBA">
        <w:t>;</w:t>
      </w:r>
      <w:r w:rsidR="008F6837">
        <w:t xml:space="preserve"> </w:t>
      </w:r>
      <w:r w:rsidR="005F3FBA">
        <w:t>S</w:t>
      </w:r>
      <w:r w:rsidR="00367006" w:rsidRPr="00367006">
        <w:t xml:space="preserve">vozil, Trávníček, &amp; Trojan, 2010; </w:t>
      </w:r>
      <w:r w:rsidR="005F3FBA">
        <w:t>Hynek &amp; Svozil, 2011</w:t>
      </w:r>
      <w:r w:rsidR="00367006" w:rsidRPr="00367006">
        <w:t>). Tyto chvályhodné reformní iniciativy</w:t>
      </w:r>
      <w:r w:rsidR="006F47B0">
        <w:t>, pokud směřují do praxe,</w:t>
      </w:r>
      <w:r w:rsidR="00367006" w:rsidRPr="00367006">
        <w:t xml:space="preserve"> bývají spíše záležitostí výjimečných škol napojených na angažované a ideově zapálené jednotlivce. </w:t>
      </w:r>
      <w:r w:rsidR="006F47B0">
        <w:t xml:space="preserve">Zejména </w:t>
      </w:r>
      <w:r w:rsidR="002E3E54">
        <w:t>poslední ze zmíněných</w:t>
      </w:r>
      <w:r w:rsidR="006F47B0">
        <w:t xml:space="preserve"> publikací dokládá, že v</w:t>
      </w:r>
      <w:r w:rsidR="006F47B0" w:rsidRPr="005E7AF7">
        <w:t xml:space="preserve"> ideálním případě by </w:t>
      </w:r>
      <w:r w:rsidR="006F47B0">
        <w:t>příležitosti</w:t>
      </w:r>
      <w:r w:rsidR="006F47B0" w:rsidRPr="005E7AF7">
        <w:t xml:space="preserve"> k utváření a rozvíjení kompetence k řešení problémů v zeměpisu měly vycházet z didakticky transformovaných autentických geografických problémů a měly by analogicky ke geografii postupovat po linii </w:t>
      </w:r>
      <w:r w:rsidR="006F47B0">
        <w:t xml:space="preserve">a) </w:t>
      </w:r>
      <w:r w:rsidR="006F47B0" w:rsidRPr="005E7AF7">
        <w:t>kladení geograficky relevantních otázek</w:t>
      </w:r>
      <w:r w:rsidR="006F47B0">
        <w:t xml:space="preserve">, b) </w:t>
      </w:r>
      <w:r w:rsidR="006F47B0" w:rsidRPr="005E7AF7">
        <w:t xml:space="preserve">generování geograficky relevantních hypotéz a </w:t>
      </w:r>
      <w:r w:rsidR="006F47B0">
        <w:t xml:space="preserve">jejich ověřování, c) </w:t>
      </w:r>
      <w:r w:rsidR="006F47B0" w:rsidRPr="005E7AF7">
        <w:t xml:space="preserve">formulování geograficky relevantních teorií. </w:t>
      </w:r>
      <w:r w:rsidR="006F47B0">
        <w:t>Nutno podotknout, že výběr autentických geografických problémů by měl vždy probíhat se zvláštním zřetelem k oborovým i nadoborovým cílům vzdělávání.</w:t>
      </w:r>
      <w:r w:rsidR="00AA3B50">
        <w:t xml:space="preserve"> </w:t>
      </w:r>
      <w:r w:rsidR="00367006" w:rsidRPr="00367006">
        <w:t xml:space="preserve">Plošné zavádění alternativních koncepcí </w:t>
      </w:r>
      <w:r w:rsidR="006F47B0">
        <w:t xml:space="preserve">(např. výše zmiňovaných, ale i jakýchkoli jiných) </w:t>
      </w:r>
      <w:r w:rsidR="00367006" w:rsidRPr="00367006">
        <w:t xml:space="preserve">může být značně problematické, neboť podmínky na běžných základních školách bývají poměrně vzdáleny podmínkám potřebným k zajištění dlouhodobé udržitelnosti a širší </w:t>
      </w:r>
      <w:r w:rsidR="005F3FBA">
        <w:t xml:space="preserve">využitelnosti těchto koncepcí. </w:t>
      </w:r>
    </w:p>
    <w:p w:rsidR="008F6837" w:rsidRPr="008F6837" w:rsidRDefault="00367006" w:rsidP="008F6837">
      <w:pPr>
        <w:spacing w:after="120" w:line="276" w:lineRule="auto"/>
        <w:jc w:val="both"/>
      </w:pPr>
      <w:r w:rsidRPr="00367006">
        <w:t xml:space="preserve">Změna paradigmatických přístupů ve </w:t>
      </w:r>
      <w:r w:rsidRPr="005F3FBA">
        <w:t xml:space="preserve">vzdělávání je nesnadný úkol. </w:t>
      </w:r>
      <w:r w:rsidR="008F6837" w:rsidRPr="008F6837">
        <w:t xml:space="preserve">Nelze očekávat, že kurikulární dokumenty v Česku budou, co se týče kvality, srovnatelné s kurikulárními koncepcemi zavedenými ve vyspělých zemích. To potvrzuje Kühnlová </w:t>
      </w:r>
      <w:r w:rsidR="008F6837">
        <w:t>(1997</w:t>
      </w:r>
      <w:r w:rsidR="008F6837" w:rsidRPr="008F6837">
        <w:t>, s. 167), která uvádí, že v minulých letech se u nás neosvědčily ani tvůrčí kolektivy učitelů, ani speciální komise jmenované ministerstvem školství či Českou geografickou společností, ani individuální nebo kolektivní práce Výzkumného ústavu pedagogického.</w:t>
      </w:r>
      <w:r w:rsidR="008F6837" w:rsidRPr="008F6837">
        <w:rPr>
          <w:vertAlign w:val="superscript"/>
        </w:rPr>
        <w:footnoteReference w:id="105"/>
      </w:r>
      <w:r w:rsidR="008F6837" w:rsidRPr="008F6837">
        <w:t xml:space="preserve"> Dle našeho názoru kvalitu geografického vzdělávání nezvýšilo ani delegování tvorby školního kurikula na učitele. Uvedené myšlenky budiž brány jako pokus o interpretaci prezentovaných výzkumných zjištění, nikoliv jako fatalisticky motivovaná výzva k tomu, aby oborové didaktiky opustily tvorbu kurikula jako tradiční doménu své činnosti. </w:t>
      </w:r>
    </w:p>
    <w:p w:rsidR="00A27065" w:rsidRDefault="008F6837" w:rsidP="00A27065">
      <w:pPr>
        <w:spacing w:after="120" w:line="276" w:lineRule="auto"/>
        <w:jc w:val="both"/>
      </w:pPr>
      <w:r w:rsidRPr="008F6837">
        <w:t>Tvorba kurikula by měla vycházet především z výzkumně podložené znalosti toho, co se na školách skutečně odehrává. Námi realizovaný výzkum může být vnímán</w:t>
      </w:r>
      <w:r>
        <w:t xml:space="preserve"> </w:t>
      </w:r>
      <w:r w:rsidRPr="008F6837">
        <w:t>jako první krok ke zhodnocení současného stavu. Výzkumem podložená znalost</w:t>
      </w:r>
      <w:r>
        <w:t xml:space="preserve"> </w:t>
      </w:r>
      <w:r w:rsidRPr="008F6837">
        <w:t xml:space="preserve">současného stavu (byť do značné míry redukovaná velikostí </w:t>
      </w:r>
      <w:r>
        <w:t xml:space="preserve">a skladbou </w:t>
      </w:r>
      <w:r w:rsidRPr="008F6837">
        <w:t>výzkumného vzorku</w:t>
      </w:r>
      <w:r>
        <w:t xml:space="preserve"> i použitou výzkumnou metodikou</w:t>
      </w:r>
      <w:r w:rsidRPr="008F6837">
        <w:t>) následně umožňuje navrhovat některé podněty ke</w:t>
      </w:r>
      <w:r>
        <w:t xml:space="preserve"> </w:t>
      </w:r>
      <w:r w:rsidRPr="008F6837">
        <w:t xml:space="preserve">zlepšování </w:t>
      </w:r>
      <w:r>
        <w:t xml:space="preserve">teorie a praxe </w:t>
      </w:r>
      <w:r w:rsidRPr="008F6837">
        <w:t>geografického vzdělávání.</w:t>
      </w:r>
      <w:r w:rsidR="00447DF8">
        <w:t xml:space="preserve"> Zde</w:t>
      </w:r>
      <w:r w:rsidR="00A27065" w:rsidRPr="00D422CC">
        <w:t xml:space="preserve"> ale může </w:t>
      </w:r>
      <w:r w:rsidR="00A27065" w:rsidRPr="00CB6F14">
        <w:t xml:space="preserve">také </w:t>
      </w:r>
      <w:r w:rsidR="004A6E82">
        <w:t>hrát důležitou roli skutečnost</w:t>
      </w:r>
      <w:r w:rsidR="00A27065" w:rsidRPr="00D422CC">
        <w:t xml:space="preserve">, že oborové didaktiky </w:t>
      </w:r>
      <w:r w:rsidR="00447DF8">
        <w:t xml:space="preserve">v Česku </w:t>
      </w:r>
      <w:r w:rsidR="00A27065" w:rsidRPr="00D422CC">
        <w:t xml:space="preserve">z nejrůznějších důvodů většinou </w:t>
      </w:r>
      <w:r w:rsidR="00447DF8">
        <w:t xml:space="preserve">nejsou s to poskytovat </w:t>
      </w:r>
      <w:r w:rsidR="00A27065" w:rsidRPr="00D422CC">
        <w:t>teoreticky a empiricky podložené poznatky, na jejichž základě by bylo možné vystavět logicky strukturovaný didaktický systém učiva, který by zároveň vycházel z postulátů aktuálně zaváděných kurikulárních reforem.</w:t>
      </w:r>
      <w:r w:rsidR="00A27065" w:rsidRPr="00D422CC">
        <w:rPr>
          <w:rStyle w:val="Znakapoznpodarou"/>
        </w:rPr>
        <w:footnoteReference w:id="106"/>
      </w:r>
      <w:r w:rsidR="00A27065" w:rsidRPr="00D422CC">
        <w:t xml:space="preserve"> Deficity oborových didaktik se odhalí zejména na základě analýz učebnic, kde je již třeba vzdělávací obsahy rámcově stanovené ve státních kurikulárních dokumentech didakticky zprostředkovat ve formě konkrétních příležitostí k učení reprezentovaných nejčastěji v podobě učebních úloh. Jak jsme již uvedli výše, přítomnost „dokonalých“ učebních úloh v učebnici nezaručuje, že se jimi budou učitelé ve výuce zabývat. </w:t>
      </w:r>
    </w:p>
    <w:p w:rsidR="00780CBA" w:rsidRDefault="00FE72C5" w:rsidP="00A93CFE">
      <w:pPr>
        <w:spacing w:after="120" w:line="276" w:lineRule="auto"/>
        <w:jc w:val="both"/>
      </w:pPr>
      <w:r>
        <w:t>Námi realizovaný výzkumu</w:t>
      </w:r>
      <w:r w:rsidR="00E32D3C">
        <w:t xml:space="preserve"> odhalil </w:t>
      </w:r>
      <w:r w:rsidR="00FB31DF">
        <w:t>(</w:t>
      </w:r>
      <w:r w:rsidR="00E32D3C">
        <w:t xml:space="preserve">resp. potvrdil </w:t>
      </w:r>
      <w:r>
        <w:t xml:space="preserve">tušený </w:t>
      </w:r>
      <w:r w:rsidR="00E32D3C">
        <w:t>předpoklad</w:t>
      </w:r>
      <w:r w:rsidR="00FB31DF">
        <w:t>)</w:t>
      </w:r>
      <w:r w:rsidR="00E32D3C">
        <w:t>,</w:t>
      </w:r>
      <w:r w:rsidR="00FB31DF">
        <w:t xml:space="preserve"> </w:t>
      </w:r>
      <w:r w:rsidR="00E32D3C">
        <w:t xml:space="preserve">že </w:t>
      </w:r>
      <w:r w:rsidR="00A93CFE" w:rsidRPr="005B09A7">
        <w:t xml:space="preserve">zkoumané vyučovací hodiny ve větší míře </w:t>
      </w:r>
      <w:r w:rsidR="003D6501">
        <w:t>ne</w:t>
      </w:r>
      <w:r w:rsidR="00151C35">
        <w:t>p</w:t>
      </w:r>
      <w:r w:rsidR="003D6501">
        <w:t xml:space="preserve">oskytují žákům příležitosti </w:t>
      </w:r>
      <w:r w:rsidR="00A93CFE" w:rsidRPr="005B09A7">
        <w:t xml:space="preserve">konfrontovat se s problémovými situacemi. </w:t>
      </w:r>
      <w:r w:rsidR="00A93CFE">
        <w:t>P</w:t>
      </w:r>
      <w:r w:rsidR="00A93CFE" w:rsidRPr="005B09A7">
        <w:t xml:space="preserve">okud se </w:t>
      </w:r>
      <w:r w:rsidR="00A93CFE">
        <w:t>problémové</w:t>
      </w:r>
      <w:r w:rsidR="00A93CFE" w:rsidRPr="005B09A7">
        <w:t xml:space="preserve"> situace vyskyt</w:t>
      </w:r>
      <w:r w:rsidR="00E32D3C">
        <w:t>ují</w:t>
      </w:r>
      <w:r w:rsidR="00A93CFE" w:rsidRPr="005B09A7">
        <w:t xml:space="preserve">, žáci </w:t>
      </w:r>
      <w:r w:rsidR="00E32D3C" w:rsidRPr="005B09A7">
        <w:t xml:space="preserve">zpravidla </w:t>
      </w:r>
      <w:r w:rsidR="00A93CFE" w:rsidRPr="005B09A7">
        <w:t xml:space="preserve">nemají dostatek času k tomu, aby </w:t>
      </w:r>
      <w:r w:rsidR="00EF7C4A">
        <w:t>nalézali řešení</w:t>
      </w:r>
      <w:r w:rsidR="00A93CFE" w:rsidRPr="005B09A7">
        <w:t xml:space="preserve">, </w:t>
      </w:r>
      <w:r w:rsidRPr="005B09A7">
        <w:t>objasňov</w:t>
      </w:r>
      <w:r>
        <w:t>ali</w:t>
      </w:r>
      <w:r w:rsidRPr="005B09A7">
        <w:t>, dotváře</w:t>
      </w:r>
      <w:r>
        <w:t>li</w:t>
      </w:r>
      <w:r w:rsidRPr="005B09A7">
        <w:t>, zkouše</w:t>
      </w:r>
      <w:r>
        <w:t>li</w:t>
      </w:r>
      <w:r w:rsidRPr="005B09A7">
        <w:t>, revidov</w:t>
      </w:r>
      <w:r>
        <w:t>ali</w:t>
      </w:r>
      <w:r w:rsidRPr="005B09A7">
        <w:t>, a opakovaně diskutov</w:t>
      </w:r>
      <w:r>
        <w:t>ali</w:t>
      </w:r>
      <w:r w:rsidRPr="005B09A7">
        <w:t xml:space="preserve"> </w:t>
      </w:r>
      <w:r w:rsidR="00A93CFE" w:rsidRPr="005B09A7">
        <w:t xml:space="preserve">svá rozhodnutí a nahrazovali své chybné teorie teoriemi správnými. </w:t>
      </w:r>
      <w:r w:rsidR="00151C35">
        <w:t>Přitom l</w:t>
      </w:r>
      <w:r w:rsidR="00A93CFE" w:rsidRPr="005B09A7">
        <w:t xml:space="preserve">ze tušit, že někteří žáci </w:t>
      </w:r>
      <w:r w:rsidR="00A93CFE">
        <w:t xml:space="preserve">(sami či ve spolupráci se spolužáky) </w:t>
      </w:r>
      <w:r w:rsidR="00A93CFE" w:rsidRPr="005B09A7">
        <w:t xml:space="preserve">by byli schopni generovat užitečné myšlenky nebo dokonce navrhnout </w:t>
      </w:r>
      <w:r w:rsidR="00EF7C4A">
        <w:t xml:space="preserve">zajímavé </w:t>
      </w:r>
      <w:r w:rsidR="00A93CFE" w:rsidRPr="005B09A7">
        <w:t xml:space="preserve">postupy či </w:t>
      </w:r>
      <w:r w:rsidR="00EF7C4A">
        <w:t xml:space="preserve">originální </w:t>
      </w:r>
      <w:r w:rsidR="00A93CFE" w:rsidRPr="005B09A7">
        <w:t>strategie řešení</w:t>
      </w:r>
      <w:r w:rsidR="00A93CFE">
        <w:t xml:space="preserve"> geografických problémů. </w:t>
      </w:r>
      <w:r w:rsidR="00780CBA">
        <w:t>Vytváření</w:t>
      </w:r>
      <w:r w:rsidR="00780CBA" w:rsidRPr="006938C2">
        <w:t xml:space="preserve"> učební</w:t>
      </w:r>
      <w:r w:rsidR="00780CBA">
        <w:t>ch</w:t>
      </w:r>
      <w:r w:rsidR="00780CBA" w:rsidRPr="006938C2">
        <w:t xml:space="preserve"> situac</w:t>
      </w:r>
      <w:r w:rsidR="00780CBA">
        <w:t>í</w:t>
      </w:r>
      <w:r w:rsidR="00780CBA" w:rsidRPr="006938C2">
        <w:t xml:space="preserve"> s potenciálem pro rozvoj kompetenc</w:t>
      </w:r>
      <w:r w:rsidR="00780CBA">
        <w:t xml:space="preserve">e k řešení problémů (ale i jiných kompetencí) </w:t>
      </w:r>
      <w:r w:rsidR="00780CBA" w:rsidRPr="006938C2">
        <w:t>vyžaduje, aby učitelé</w:t>
      </w:r>
      <w:r w:rsidR="00780CBA">
        <w:t xml:space="preserve"> (přinejmenším do doby, než bude zavedeno celostátní testování deklarativních znalostí žáků)</w:t>
      </w:r>
      <w:r w:rsidR="00780CBA" w:rsidRPr="006938C2">
        <w:t xml:space="preserve"> přehodnotili způsoby strukturace</w:t>
      </w:r>
      <w:r w:rsidR="00780CBA">
        <w:t xml:space="preserve"> </w:t>
      </w:r>
      <w:r w:rsidR="00780CBA" w:rsidRPr="006938C2">
        <w:t>výukového času.</w:t>
      </w:r>
      <w:r w:rsidR="00780CBA">
        <w:rPr>
          <w:rStyle w:val="Znakapoznpodarou"/>
        </w:rPr>
        <w:footnoteReference w:id="107"/>
      </w:r>
      <w:r w:rsidR="00780CBA">
        <w:t xml:space="preserve"> </w:t>
      </w:r>
      <w:r w:rsidR="00A93CFE" w:rsidRPr="005B09A7">
        <w:t>Čím více učitel odhaluje, tím přesněji žákovi říká, co má žák udělat, a riskuje, že přijde o možnost, že se žáci něco naučí. Jinými slovy, jestliže učitel žákům prozradí, co chce, nemůže to už získat (k problému podrobněji viz Brousseau, 2012, zejména s. 62 a 78). Tento poznatek pochopitelně není ani originální, ani nový. Jedná se o klasický a dlouhodobý problém vzdělávání (nejen) v Česku, který zdařile po</w:t>
      </w:r>
      <w:r w:rsidR="00C866AF">
        <w:t>jmenoval Kulič (1992, s. 80): „</w:t>
      </w:r>
      <w:r w:rsidR="00A93CFE" w:rsidRPr="005B09A7">
        <w:t xml:space="preserve">[…] trvalé a striktní vnější řízení může působit na učící se subjekt negativně, svou monotónností a pocitem nesamostatnosti tlumí aktivitu subjektu.“ </w:t>
      </w:r>
    </w:p>
    <w:p w:rsidR="00A93CFE" w:rsidRDefault="00A93CFE" w:rsidP="00A93CFE">
      <w:pPr>
        <w:spacing w:after="120" w:line="276" w:lineRule="auto"/>
        <w:jc w:val="both"/>
      </w:pPr>
      <w:r w:rsidRPr="005B09A7">
        <w:t xml:space="preserve">Zprostředkující </w:t>
      </w:r>
      <w:r w:rsidR="00E037A1">
        <w:t xml:space="preserve">i třídně-manažerská </w:t>
      </w:r>
      <w:r w:rsidRPr="005B09A7">
        <w:t>role učitele v takto koncipované výuce nadále zůstává</w:t>
      </w:r>
      <w:r w:rsidR="00E037A1">
        <w:t>. I</w:t>
      </w:r>
      <w:r w:rsidRPr="005B09A7">
        <w:t xml:space="preserve"> v případě, že učitel bude ve výuce navozovat náročné výukové situace, vždy bude stěžejní jeho úloha v rámci výukového dialogu, </w:t>
      </w:r>
      <w:r w:rsidR="00E037A1">
        <w:t xml:space="preserve">mimo jiné </w:t>
      </w:r>
      <w:r w:rsidRPr="005B09A7">
        <w:t xml:space="preserve">z důvodu potřeby ukáznit žáky (srov. </w:t>
      </w:r>
      <w:r w:rsidR="00A74542">
        <w:t>Šeďová, Švaříček</w:t>
      </w:r>
      <w:r w:rsidRPr="005B09A7">
        <w:t>,</w:t>
      </w:r>
      <w:r w:rsidR="00A74542">
        <w:t xml:space="preserve"> &amp; Šalamounová,</w:t>
      </w:r>
      <w:r w:rsidRPr="005B09A7">
        <w:t xml:space="preserve"> 2012, s. 260). Pokud hovoříme o nedostatku času, který je z pohledu žáků nezbytný k řešení problémových učebních úloh, je třeba obratem dodat, že učitel současně musí dohlížet nad dodržováním kázně v hodině. Didaktické postupy založené na samostatném nebo skupinovém řešení problémů mohou být z pohledu učitelů vnímány jako </w:t>
      </w:r>
      <w:r>
        <w:t>neosvědčené</w:t>
      </w:r>
      <w:r w:rsidRPr="005B09A7">
        <w:t xml:space="preserve"> a možná i nebezpečné, neboť při narušení stabilizovaného vzorce výuky učitelé nemohou využívat dlouhodobě osvědčené postupy a rutinizovaná pravidla umožňující regulovat chování žáků. Odklon od navyklého, opakovaného a důvěrně známého chování </w:t>
      </w:r>
      <w:r>
        <w:t xml:space="preserve">tak může u učitelů zvýšit </w:t>
      </w:r>
      <w:r w:rsidRPr="005B09A7">
        <w:t>pocit nejistoty.</w:t>
      </w:r>
      <w:r>
        <w:t xml:space="preserve"> </w:t>
      </w:r>
      <w:r w:rsidRPr="006961DF">
        <w:t>Někteří autoři upozorňují, že vyučování představuje natolik kulturně specifickou aktivitu, že je téměř nemožné ho výrazněji měnit (srov. Roth &amp; Garnier, 2006, s. 16). Každodenní žádoucí i nežádoucí vyučovací rutiny a praktiky mohou být v rámci určité kultury natolik všeobecně sdílené, že se mohou stát pro jejich aktéry zcela samozřejm</w:t>
      </w:r>
      <w:r>
        <w:t xml:space="preserve">ými a v podstatě neviditelnými, neboť jakmile jsou zavedeny, už nejsou zpochybňovány </w:t>
      </w:r>
      <w:r w:rsidRPr="006961DF">
        <w:t xml:space="preserve">(podrobněji viz Hiebert et al., 2003, s. 3). </w:t>
      </w:r>
      <w:r>
        <w:t xml:space="preserve">Implementace problémově orientovaných přístupů do výuky zeměpisu se patrně neobejde bez rozbití stabilizovaných představ o cílech a obsazích výuky zeměpisu. Jak již naznačují jiní autoři, škola jako stabilní a léty prověřená instituce není příliš vhodným prostředím pro jakékoliv vstřícné a dobře míněné kroky k nejistotě </w:t>
      </w:r>
      <w:r w:rsidRPr="005B09A7">
        <w:t xml:space="preserve">(srov. </w:t>
      </w:r>
      <w:r w:rsidR="00A74542" w:rsidRPr="005B09A7">
        <w:t>Šeďová</w:t>
      </w:r>
      <w:r w:rsidR="00A74542">
        <w:t>,</w:t>
      </w:r>
      <w:r w:rsidR="00A74542" w:rsidRPr="005B09A7">
        <w:t xml:space="preserve"> </w:t>
      </w:r>
      <w:r w:rsidR="00A74542">
        <w:t>Švaříček,</w:t>
      </w:r>
      <w:r w:rsidRPr="005B09A7">
        <w:t xml:space="preserve"> &amp; Šalamounová, 2012, s. 260).</w:t>
      </w:r>
    </w:p>
    <w:p w:rsidR="00B75642" w:rsidRDefault="00B75642" w:rsidP="00A27065">
      <w:pPr>
        <w:spacing w:after="120" w:line="276" w:lineRule="auto"/>
        <w:jc w:val="both"/>
      </w:pPr>
    </w:p>
    <w:p w:rsidR="00B75642" w:rsidRPr="00AA16E9" w:rsidRDefault="00447DF8" w:rsidP="00B75642">
      <w:pPr>
        <w:pStyle w:val="Nadpis2"/>
        <w:spacing w:after="120"/>
        <w:ind w:left="578" w:hanging="578"/>
      </w:pPr>
      <w:bookmarkStart w:id="121" w:name="_Toc399775449"/>
      <w:r>
        <w:t>Oborové znalosti a k</w:t>
      </w:r>
      <w:r w:rsidR="00B75642" w:rsidRPr="00AA16E9">
        <w:t>ognitivní aktivizace žáků: cesta správným směrem?</w:t>
      </w:r>
      <w:bookmarkEnd w:id="121"/>
    </w:p>
    <w:p w:rsidR="00447DF8" w:rsidRPr="00A56663" w:rsidRDefault="00447DF8" w:rsidP="00447DF8">
      <w:pPr>
        <w:spacing w:after="120" w:line="276" w:lineRule="auto"/>
        <w:jc w:val="both"/>
      </w:pPr>
      <w:r>
        <w:t>Jaký vývoj geografického vzdělávání je možné očekávat v blízké budoucnosti? V Anglii, již je možné společně s USA považovat za inkubátor moderních trendů v geografickém vzdělávání, je aktuálně možné pozorovat znovuobjevený důraz na oborové znalosti</w:t>
      </w:r>
      <w:r>
        <w:rPr>
          <w:rStyle w:val="Znakapoznpodarou"/>
        </w:rPr>
        <w:footnoteReference w:id="108"/>
      </w:r>
      <w:r>
        <w:t xml:space="preserve">. Jedná se o reakci na rozvolnění vzdělávacích obsahů (tzv. znalostní relativismus), jehož extrémní podobu aktuálně zažíváme také v Česku v období doznívající kurikulární reformy založené na implementaci rámcových vzdělávacích programů. Spolu s důrazem na oborové znalosti se nicméně (znovu)objevuje nebezpečí spočívající v sešněrování objemnými seznamy učiva, které má být probráno (znalostní absolutismus). Na oslabování badatelsky orientovaných přístupů a dalších stěžejních a tradičních cílů geografického vzdělávání v aktuálně revidovaném britském kurikulu upozorňuje Hopkin (2003, s. 64). Reakcí na uvedený vývoj jsou nyní v teorii kurikula kompromisní přístupy, jež rehabilitují odborné znalosti a obhajují jasně vytýčené hranice mezi vyučovacími předměty, ale současně varují před redukcí školního vzdělávání na zprostředkování faktografických či konceptuálních znalostí (znalostní realismus). To se projevuje ve zvýšeném zájmu o oborovou didaktiku, neboť je to právě oborová didaktika, jež má dlouhodobé zkušenosti s výběrem vzdělávacích cílů a obsahů a jejich zprostředkováním. Takto „realisticky“ postavená oborová didaktika vychází ze zájmu o strukturu znalostí na úrovni cílů a klíčových konceptů a jejich rozpracování do podoby závazného oborového kurikula. Pouze jednotlivé vědní obory stojící v pozadí totiž mohou představovat uznávanou kurikulární autoritu a zaručit, že jimi legitimizované poznatky projdou náročným procesem výběru a zdůvodňování jejich relevance v historicko-sociálních souvislostech a budou následně patřičně institucionalizovány. Firth (2013) s odkazem na Younga v této souvislosti připomíná, že právě oborové znalosti mohou vytvářet platformu pro generalizaci, relevantní aplikaci a kritickou </w:t>
      </w:r>
      <w:r w:rsidRPr="001F7F63">
        <w:t>reflexi znalostí v mimoškolním kontextu.</w:t>
      </w:r>
      <w:r w:rsidRPr="001F7F63">
        <w:rPr>
          <w:rStyle w:val="Znakapoznpodarou"/>
        </w:rPr>
        <w:footnoteReference w:id="109"/>
      </w:r>
      <w:r w:rsidRPr="001F7F63">
        <w:t xml:space="preserve"> Funke (2003) odkazuje na četné studie dokazující, že podmínkou aplikace znalostí je v prvé řadě skutečnost, že jimi jedinec disponuje. V opačném případě totiž není co aplikovat.</w:t>
      </w:r>
      <w:r w:rsidR="00BE2CAC">
        <w:t xml:space="preserve"> </w:t>
      </w:r>
      <w:r w:rsidRPr="001F7F63">
        <w:t xml:space="preserve">Zároveň ale není </w:t>
      </w:r>
      <w:r>
        <w:t xml:space="preserve">ve jménu utváření nezbytných znalostí </w:t>
      </w:r>
      <w:r w:rsidRPr="001F7F63">
        <w:t>možné výuku zeměpisu degradovat na učení se faktů a pojmů. Řešení spatřujeme</w:t>
      </w:r>
      <w:r>
        <w:t xml:space="preserve"> ve vybudování didaktického systému učiva založené na </w:t>
      </w:r>
      <w:r w:rsidRPr="00ED0901">
        <w:rPr>
          <w:rFonts w:cs="Calibri"/>
        </w:rPr>
        <w:t xml:space="preserve">jasné struktuře učiva vystavěné kolem </w:t>
      </w:r>
      <w:r>
        <w:rPr>
          <w:rFonts w:cs="Calibri"/>
        </w:rPr>
        <w:t xml:space="preserve">pečlivě </w:t>
      </w:r>
      <w:r w:rsidRPr="00ED0901">
        <w:rPr>
          <w:rFonts w:cs="Calibri"/>
        </w:rPr>
        <w:t xml:space="preserve">vybraných klíčových konceptů a hlavních </w:t>
      </w:r>
      <w:r>
        <w:rPr>
          <w:rFonts w:cs="Calibri"/>
        </w:rPr>
        <w:t xml:space="preserve">geografických teorií. Jedná se o jednu z možných cest, jak </w:t>
      </w:r>
      <w:r w:rsidRPr="00ED0901">
        <w:rPr>
          <w:rFonts w:cs="Calibri"/>
        </w:rPr>
        <w:t>utvářet a rozvíjet geografické myšlení a geografické způsoby poznávání</w:t>
      </w:r>
      <w:r>
        <w:rPr>
          <w:rFonts w:cs="Calibri"/>
        </w:rPr>
        <w:t xml:space="preserve"> (srov.</w:t>
      </w:r>
      <w:r w:rsidRPr="00A56663">
        <w:t xml:space="preserve"> </w:t>
      </w:r>
      <w:r w:rsidRPr="00ED0901">
        <w:rPr>
          <w:rFonts w:cs="Calibri"/>
        </w:rPr>
        <w:t xml:space="preserve">Lambert </w:t>
      </w:r>
      <w:r>
        <w:rPr>
          <w:rFonts w:cs="Calibri"/>
        </w:rPr>
        <w:t xml:space="preserve">&amp; Morgan, 2010). </w:t>
      </w:r>
      <w:r>
        <w:t>Následně je třeba zabývat se otázkou, jak tyto pečlivě vybrané a zdůvodněné geografické poznatky didakticky zprostředkovávat s ohledem na stanovené cíle vzdělávání.</w:t>
      </w:r>
      <w:r w:rsidRPr="00A56663">
        <w:t xml:space="preserve"> Takto postavený didaktický systém učiva bude mít přirozenou tendenci stavět do popředí nějaký komplexní oborově specifický problém transformovaný do jednoduchých či složitých učebních úloh.</w:t>
      </w:r>
    </w:p>
    <w:p w:rsidR="00B75642" w:rsidRPr="00AA16E9" w:rsidRDefault="00B75642" w:rsidP="00B75642">
      <w:pPr>
        <w:spacing w:after="120" w:line="276" w:lineRule="auto"/>
        <w:jc w:val="both"/>
      </w:pPr>
      <w:r>
        <w:rPr>
          <w:bCs/>
        </w:rPr>
        <w:t xml:space="preserve">Znovuobjevený důraz na oborové znalosti s sebou přináší také požadavek na zvyšování kognitivní náročnosti výuky a kognitivní aktivizaci žáků. Na potřebu </w:t>
      </w:r>
      <w:r w:rsidR="00447DF8">
        <w:rPr>
          <w:bCs/>
        </w:rPr>
        <w:t>zvyšování kognitivní náročnosti</w:t>
      </w:r>
      <w:r>
        <w:rPr>
          <w:bCs/>
        </w:rPr>
        <w:t xml:space="preserve"> školní geografie poukázal </w:t>
      </w:r>
      <w:r w:rsidRPr="00AA16E9">
        <w:rPr>
          <w:bCs/>
        </w:rPr>
        <w:t>Leat (2002, s. 111)</w:t>
      </w:r>
      <w:r w:rsidR="009C4136">
        <w:rPr>
          <w:bCs/>
        </w:rPr>
        <w:t>,</w:t>
      </w:r>
      <w:r w:rsidRPr="00AA16E9">
        <w:rPr>
          <w:bCs/>
        </w:rPr>
        <w:t xml:space="preserve"> </w:t>
      </w:r>
      <w:r>
        <w:rPr>
          <w:bCs/>
        </w:rPr>
        <w:t>když upozornil</w:t>
      </w:r>
      <w:r w:rsidRPr="00AA16E9">
        <w:rPr>
          <w:bCs/>
        </w:rPr>
        <w:t>, že geografické učivo, se kterým se žáci setkávají v učebnicích i ve výuce je nenáročné a že ve školních třídách vládne tichá dohoda, která spočívá v tom, že učitelé nebudou vyžadovat po žácích řešení obtížnějších učebních úloh (pouze budou něčím zaměstnáni) a žáci za to nebudou učitelům dělat problémy.</w:t>
      </w:r>
      <w:r w:rsidR="00636B15">
        <w:rPr>
          <w:rStyle w:val="Znakapoznpodarou"/>
          <w:bCs/>
        </w:rPr>
        <w:footnoteReference w:id="110"/>
      </w:r>
      <w:r w:rsidRPr="00AA16E9">
        <w:t xml:space="preserve"> </w:t>
      </w:r>
      <w:r>
        <w:t>Leat spolu s dalšími autory navrhl v</w:t>
      </w:r>
      <w:r w:rsidRPr="00AA16E9">
        <w:t> rámci projektu „</w:t>
      </w:r>
      <w:r w:rsidRPr="0015711E">
        <w:rPr>
          <w:i/>
        </w:rPr>
        <w:t>Thinking Through Geography</w:t>
      </w:r>
      <w:r w:rsidRPr="00AA16E9">
        <w:t>“ konkrétní výukové strategie, vedoucí ke zv</w:t>
      </w:r>
      <w:r>
        <w:t xml:space="preserve">ýšení náročnosti výuky zeměpisu (srov. </w:t>
      </w:r>
      <w:r w:rsidRPr="00AA16E9">
        <w:t>Van der Schee, Leat</w:t>
      </w:r>
      <w:r>
        <w:t>,</w:t>
      </w:r>
      <w:r w:rsidRPr="00AA16E9">
        <w:t xml:space="preserve"> </w:t>
      </w:r>
      <w:r>
        <w:t xml:space="preserve">&amp; Vankan, </w:t>
      </w:r>
      <w:r w:rsidRPr="00AA16E9">
        <w:t>2006, s. 124–125)</w:t>
      </w:r>
      <w:r>
        <w:t>.</w:t>
      </w:r>
      <w:r w:rsidRPr="00AA16E9">
        <w:rPr>
          <w:vertAlign w:val="superscript"/>
        </w:rPr>
        <w:footnoteReference w:id="111"/>
      </w:r>
      <w:r>
        <w:t xml:space="preserve"> </w:t>
      </w:r>
      <w:r w:rsidR="00447DF8">
        <w:t>V</w:t>
      </w:r>
      <w:r w:rsidRPr="00AA16E9">
        <w:t xml:space="preserve">ýuka zeměpisu </w:t>
      </w:r>
      <w:r w:rsidR="00447DF8">
        <w:t xml:space="preserve">měla </w:t>
      </w:r>
      <w:r w:rsidRPr="00AA16E9">
        <w:t>obsahova</w:t>
      </w:r>
      <w:r w:rsidR="00447DF8">
        <w:t>t</w:t>
      </w:r>
      <w:r w:rsidRPr="00AA16E9">
        <w:t xml:space="preserve"> více </w:t>
      </w:r>
      <w:r w:rsidR="004E2E10">
        <w:t>učebních úloh</w:t>
      </w:r>
      <w:r w:rsidRPr="00AA16E9">
        <w:t xml:space="preserve"> vyšší kognitivní náročnost</w:t>
      </w:r>
      <w:r w:rsidR="004E2E10">
        <w:t xml:space="preserve">i, které zároveň měly </w:t>
      </w:r>
      <w:r w:rsidRPr="00AA16E9">
        <w:t>žáky více motivov</w:t>
      </w:r>
      <w:r w:rsidR="004E2E10">
        <w:t>at</w:t>
      </w:r>
      <w:r w:rsidRPr="00AA16E9">
        <w:t xml:space="preserve"> </w:t>
      </w:r>
      <w:r w:rsidR="004E2E10">
        <w:t>svou</w:t>
      </w:r>
      <w:r w:rsidRPr="00AA16E9">
        <w:t xml:space="preserve"> situovanost</w:t>
      </w:r>
      <w:r w:rsidR="004E2E10">
        <w:t>í</w:t>
      </w:r>
      <w:r w:rsidRPr="00AA16E9">
        <w:t xml:space="preserve"> </w:t>
      </w:r>
      <w:r>
        <w:t>do každodenního kontex</w:t>
      </w:r>
      <w:r w:rsidRPr="00AA16E9">
        <w:t xml:space="preserve">tu. </w:t>
      </w:r>
      <w:r w:rsidR="004E2E10">
        <w:t>Kognitivně náročná výuka</w:t>
      </w:r>
      <w:r w:rsidRPr="00AA16E9">
        <w:t xml:space="preserve"> zeměpisu se vyznačuje tím, že pojmy se činí explicitními,</w:t>
      </w:r>
      <w:r>
        <w:t xml:space="preserve"> </w:t>
      </w:r>
      <w:r w:rsidRPr="00AA16E9">
        <w:t xml:space="preserve">specifikují se a diskutují se spoje a vztahy mezi geografickými fakty, pojmy, </w:t>
      </w:r>
      <w:r>
        <w:t>postupy</w:t>
      </w:r>
      <w:r w:rsidRPr="00AA16E9">
        <w:t xml:space="preserve">, idejemi a reprezentacemi. Žáci jsou podněcováni, aby objevovali zakládající postupy (angl. </w:t>
      </w:r>
      <w:r>
        <w:t>u</w:t>
      </w:r>
      <w:r w:rsidRPr="00AA16E9">
        <w:t>nderlying procedures) a porozuměli jim, aby porovnávali různé strategie řešení a aby řešili nerutinní problémy (srov. Janík, Lokajíčková, &amp; Janko, 2012, s. 40).</w:t>
      </w:r>
      <w:r>
        <w:t xml:space="preserve"> Některé ze zmiňovaných principů</w:t>
      </w:r>
      <w:r w:rsidRPr="00AA16E9">
        <w:t xml:space="preserve"> se například v Anglii nebo Nizozemí podařilo implementovat do kurikula vzdělávání učitelů. </w:t>
      </w:r>
      <w:r>
        <w:t xml:space="preserve">Projekt </w:t>
      </w:r>
      <w:r w:rsidRPr="00AA16E9">
        <w:t>„</w:t>
      </w:r>
      <w:r w:rsidRPr="004E2E10">
        <w:rPr>
          <w:i/>
        </w:rPr>
        <w:t>Thinking Through Geography</w:t>
      </w:r>
      <w:r w:rsidR="004E2E10">
        <w:t xml:space="preserve">“, přestože zpočátku vypadal velmi slibně, </w:t>
      </w:r>
      <w:r>
        <w:t>ale nakonec z dlouhodobého hlediska nenaplnil očekávání s ním spojovaná</w:t>
      </w:r>
      <w:r w:rsidR="004E2E10">
        <w:t>.</w:t>
      </w:r>
      <w:r>
        <w:t xml:space="preserve"> </w:t>
      </w:r>
      <w:r w:rsidR="009C4136">
        <w:t xml:space="preserve">Hooghuis </w:t>
      </w:r>
      <w:r w:rsidR="003F78BC">
        <w:t>a kol.</w:t>
      </w:r>
      <w:r w:rsidR="00B118EC">
        <w:t xml:space="preserve"> </w:t>
      </w:r>
      <w:r w:rsidR="009C4136">
        <w:t xml:space="preserve">(2014) v evaluační </w:t>
      </w:r>
      <w:r w:rsidRPr="00AA16E9">
        <w:t xml:space="preserve">studii realizované s desetiletým odstupem od implementace </w:t>
      </w:r>
      <w:r>
        <w:t>projektu</w:t>
      </w:r>
      <w:r w:rsidRPr="00AA16E9">
        <w:t xml:space="preserve"> upozorňují, že učitelé (n = 307 nizozemských učitelů nižších sekundárních škol) navzdory svému počátečnímu nadšení plně nevyužili potenciál projektu a jejich reálné výukové postupy zůstávají za očekáváním. Učitelé k doporučením projektu přistupují selektivně. Vybírají a používají, co považují za vhodné s ohledem na své zkušenosti a přesvědčení o výuce zeměpisu. </w:t>
      </w:r>
    </w:p>
    <w:p w:rsidR="00B75642" w:rsidRDefault="00B75642" w:rsidP="00B75642">
      <w:pPr>
        <w:spacing w:after="120" w:line="276" w:lineRule="auto"/>
        <w:jc w:val="both"/>
      </w:pPr>
      <w:r>
        <w:t>Řešení problému nízké kognitivní náročnosti školní výuky zaměstnává již několik generací výzkumníků</w:t>
      </w:r>
      <w:r w:rsidR="004E2E10">
        <w:t xml:space="preserve"> </w:t>
      </w:r>
      <w:r w:rsidR="00202E53">
        <w:t>mapujících</w:t>
      </w:r>
      <w:r w:rsidR="004E2E10">
        <w:t xml:space="preserve"> v</w:t>
      </w:r>
      <w:r w:rsidR="00202E53">
        <w:t> </w:t>
      </w:r>
      <w:r w:rsidR="004E2E10">
        <w:t>různ</w:t>
      </w:r>
      <w:r w:rsidR="00202E53">
        <w:t>é</w:t>
      </w:r>
      <w:r w:rsidR="004E2E10">
        <w:t xml:space="preserve"> obor</w:t>
      </w:r>
      <w:r w:rsidR="00202E53">
        <w:t>y</w:t>
      </w:r>
      <w:r w:rsidR="004E2E10">
        <w:t xml:space="preserve"> školního vzdělávání</w:t>
      </w:r>
      <w:r w:rsidR="008B010E">
        <w:t xml:space="preserve"> (srov. např. Švec 1979/1980).</w:t>
      </w:r>
      <w:r>
        <w:t xml:space="preserve"> </w:t>
      </w:r>
      <w:r w:rsidRPr="00AA16E9">
        <w:t>Lipowsk</w:t>
      </w:r>
      <w:r>
        <w:t>y</w:t>
      </w:r>
      <w:r w:rsidRPr="00AA16E9">
        <w:t xml:space="preserve"> (2007, s. 28) </w:t>
      </w:r>
      <w:r>
        <w:t>v této souvislosti hovoří o potřebě</w:t>
      </w:r>
      <w:r w:rsidRPr="00AA16E9">
        <w:t xml:space="preserve"> kognitivní aktivizace </w:t>
      </w:r>
      <w:r>
        <w:t xml:space="preserve">žáků. Jedná se o </w:t>
      </w:r>
    </w:p>
    <w:p w:rsidR="00B75642" w:rsidRDefault="00B75642" w:rsidP="00B75642">
      <w:pPr>
        <w:spacing w:after="120" w:line="276" w:lineRule="auto"/>
        <w:ind w:left="426"/>
        <w:jc w:val="both"/>
        <w:rPr>
          <w:sz w:val="20"/>
        </w:rPr>
      </w:pPr>
      <w:r w:rsidRPr="00C85F16">
        <w:rPr>
          <w:sz w:val="20"/>
        </w:rPr>
        <w:t xml:space="preserve">„[…] podněcování žáků k hlubšímu oborovému uvažování o </w:t>
      </w:r>
      <w:r w:rsidR="00177A53" w:rsidRPr="00C85F16">
        <w:rPr>
          <w:sz w:val="20"/>
        </w:rPr>
        <w:t>obsahu […] Výuka</w:t>
      </w:r>
      <w:r w:rsidRPr="00C85F16">
        <w:rPr>
          <w:sz w:val="20"/>
        </w:rPr>
        <w:t xml:space="preserve"> je kognitivně aktivizující, jestliže mezi žáky dochází k náročné oborové interakci, jestliže jsou řešeny náročné úlohy, jestliže se vzájemně konfrontují různé názory a koncepty žáků, jestliže se zdůvodňují způsoby a výsledky řešení úloh, jestliže se žáci ve výuce aktivně konfrontují s obsahovými otázkami.“ </w:t>
      </w:r>
    </w:p>
    <w:p w:rsidR="00B75642" w:rsidRPr="00AA16E9" w:rsidRDefault="00B75642" w:rsidP="00B75642">
      <w:pPr>
        <w:spacing w:after="120" w:line="276" w:lineRule="auto"/>
        <w:jc w:val="both"/>
        <w:rPr>
          <w:bCs/>
        </w:rPr>
      </w:pPr>
      <w:r>
        <w:t xml:space="preserve">Stejný autor na jiném místě upřesňuje, že </w:t>
      </w:r>
      <w:r w:rsidRPr="00AA16E9">
        <w:rPr>
          <w:bCs/>
        </w:rPr>
        <w:t>intenzita kognitivní aktivizace se zvyšuje, pokud učitel např. zaměřuje pozornost žáků ke spojům mezi různými koncepty a idejemi, pokud žáci reflektují své učení a učitel propojuje nové učivo s předchozími znalostmi. Naopak intenzita</w:t>
      </w:r>
      <w:r>
        <w:rPr>
          <w:bCs/>
        </w:rPr>
        <w:t xml:space="preserve"> </w:t>
      </w:r>
      <w:r w:rsidRPr="00AA16E9">
        <w:rPr>
          <w:bCs/>
        </w:rPr>
        <w:t>kognitivní aktivizace se snižuje, když je po žácích požadováno, aby řešili problémy a úlohy stan</w:t>
      </w:r>
      <w:r w:rsidR="004E2E10">
        <w:rPr>
          <w:bCs/>
        </w:rPr>
        <w:t>dardním postupem, který byl před</w:t>
      </w:r>
      <w:r w:rsidRPr="00AA16E9">
        <w:rPr>
          <w:bCs/>
        </w:rPr>
        <w:t>tím demonstrován učitelem, když mnohé z otázek jsou na nízké kognitivní úrovni a pokud učitel očekává, že žáci budou pouze aplikovat známé procedury</w:t>
      </w:r>
      <w:r>
        <w:rPr>
          <w:bCs/>
        </w:rPr>
        <w:t xml:space="preserve"> (podrobněji viz Lipowsky, 2009, s. 530). </w:t>
      </w:r>
    </w:p>
    <w:p w:rsidR="00B75642" w:rsidRPr="00AA16E9" w:rsidRDefault="00B75642" w:rsidP="00B75642">
      <w:pPr>
        <w:autoSpaceDE w:val="0"/>
        <w:autoSpaceDN w:val="0"/>
        <w:adjustRightInd w:val="0"/>
        <w:spacing w:after="120" w:line="276" w:lineRule="auto"/>
        <w:jc w:val="both"/>
      </w:pPr>
      <w:r w:rsidRPr="00AA16E9">
        <w:t xml:space="preserve">Šeďová, Švaříček a Šalamounová (2012) se na základě tříletého výzkumu pokusili </w:t>
      </w:r>
      <w:r>
        <w:t xml:space="preserve">definovat </w:t>
      </w:r>
      <w:r w:rsidRPr="00AA16E9">
        <w:t>základní pr</w:t>
      </w:r>
      <w:r>
        <w:t>i</w:t>
      </w:r>
      <w:r w:rsidRPr="00AA16E9">
        <w:t xml:space="preserve">ncipy výuky, v níž jsou žáci vedeni k přemýšlení nad kognitivně náročnými otázkami učitele. Jádro takové výuky </w:t>
      </w:r>
      <w:r>
        <w:t xml:space="preserve">dle jejich názoru </w:t>
      </w:r>
      <w:r w:rsidRPr="00AA16E9">
        <w:t xml:space="preserve">tvoří učitelské otázky, které jsou považovány za klíčový prvek v procesu učení žáků. O kognitivně náročnou výuku se dle zmiňovaných autorů jedná tehdy, když učitel ve výuce převážně využívá otázek vyšší kognitivní náročnosti (tj. otázky zaměřené na aplikaci, analýzu, syntézu a hodnocení dle Bloomovy taxonomie) s cílem podpořit jejich učení. Jak dále stejní autoři upozorňují, kladení otázek vyšší kognitivní náročnosti však automaticky nevede k zapojení vyšších kognitivních procesů u žáků. Důsledkem velkého množství otázek vyšší kognitivní náročnosti může být jen aktivizace žáků. Žádoucí náročná kognitivní práce žáků založená na pečlivé argumentaci a zdůvodňování vyžaduje mnohem více než didakticky správné počáteční nastavení. Aby měla kognitivně náročná výuka smysl, musí jí předcházet vysvětlení nových konceptů a pojmů a nastavení podmínek ve třídě (jako např. efektivní využití času apod.) by mělo </w:t>
      </w:r>
      <w:r w:rsidR="008D53E7">
        <w:t xml:space="preserve">podněcovat </w:t>
      </w:r>
      <w:r w:rsidRPr="00AA16E9">
        <w:t>učení žáků.</w:t>
      </w:r>
    </w:p>
    <w:p w:rsidR="00B75642" w:rsidRDefault="00B75642" w:rsidP="00B75642">
      <w:pPr>
        <w:spacing w:after="120" w:line="276" w:lineRule="auto"/>
        <w:jc w:val="both"/>
      </w:pPr>
      <w:r w:rsidRPr="00AA16E9">
        <w:t xml:space="preserve">Obdobné charakteristiky </w:t>
      </w:r>
      <w:r>
        <w:t xml:space="preserve">výuky </w:t>
      </w:r>
      <w:r w:rsidRPr="00AA16E9">
        <w:t xml:space="preserve">zmiňují Píšová a kol. (2011, s. 67–70), když pojednávají o indikátorech expertnosti a efektivnosti v učitelské profesi. </w:t>
      </w:r>
      <w:r w:rsidR="00BD239D">
        <w:t>Citovaní a</w:t>
      </w:r>
      <w:r w:rsidRPr="00AA16E9">
        <w:t xml:space="preserve">utoři dále s odvoláním na Hattieho vlivnou práci </w:t>
      </w:r>
      <w:r w:rsidRPr="00AA16E9">
        <w:rPr>
          <w:i/>
        </w:rPr>
        <w:t>Visible Learning</w:t>
      </w:r>
      <w:r w:rsidRPr="00AA16E9">
        <w:t xml:space="preserve"> (2009) a další práce </w:t>
      </w:r>
      <w:r>
        <w:t xml:space="preserve">stejného autora </w:t>
      </w:r>
      <w:r w:rsidRPr="00AA16E9">
        <w:t xml:space="preserve">uvádějí: </w:t>
      </w:r>
    </w:p>
    <w:p w:rsidR="00B75642" w:rsidRDefault="00B75642" w:rsidP="00B75642">
      <w:pPr>
        <w:spacing w:after="120" w:line="276" w:lineRule="auto"/>
        <w:ind w:left="426"/>
        <w:jc w:val="both"/>
      </w:pPr>
      <w:r w:rsidRPr="0031102F">
        <w:rPr>
          <w:sz w:val="20"/>
        </w:rPr>
        <w:t>„[… e]xperti zapojují své žáky do procesu učení a rozvíjejí jejich autoregulaci, vnímání osobní zdatnosti a sebeúctu, dokážou žákům nabídnout dostatečně náročný úkol a cíl, mají pozitivní vliv na dosažené vzdělávací výsledky a povzbuzují u žáků jak povrchové, tak i hloubkové učení.“ (s. 69)</w:t>
      </w:r>
      <w:r w:rsidRPr="00AA16E9">
        <w:t xml:space="preserve"> </w:t>
      </w:r>
    </w:p>
    <w:p w:rsidR="001E6A41" w:rsidRPr="005E7AF7" w:rsidRDefault="00B75642" w:rsidP="001E6A41">
      <w:pPr>
        <w:autoSpaceDE w:val="0"/>
        <w:autoSpaceDN w:val="0"/>
        <w:adjustRightInd w:val="0"/>
        <w:spacing w:after="120" w:line="276" w:lineRule="auto"/>
        <w:jc w:val="both"/>
      </w:pPr>
      <w:r w:rsidRPr="00AA16E9">
        <w:t>Z uvedeného vyplývá, že prostřednictvím profesního růstu učitelů smě</w:t>
      </w:r>
      <w:r w:rsidR="008D53E7">
        <w:t>řujícímu k rozvíjení</w:t>
      </w:r>
      <w:r w:rsidRPr="00AA16E9">
        <w:t xml:space="preserve"> k jejich expertnosti je možné nepřímo působit na atributy školního vyučování a učení žáků. </w:t>
      </w:r>
      <w:r w:rsidR="001E6A41" w:rsidRPr="005E7AF7">
        <w:t xml:space="preserve">Záleží </w:t>
      </w:r>
      <w:r w:rsidR="00BD239D">
        <w:t xml:space="preserve">mimo jiné také </w:t>
      </w:r>
      <w:r w:rsidR="001E6A41" w:rsidRPr="005E7AF7">
        <w:t xml:space="preserve">na regulativní schopnosti učitele, zda se žák prostřednictvím </w:t>
      </w:r>
      <w:r w:rsidR="001E6A41">
        <w:t xml:space="preserve">problémových </w:t>
      </w:r>
      <w:r w:rsidR="001E6A41" w:rsidRPr="005E7AF7">
        <w:t xml:space="preserve">učebních úloh naučí samostatně myslet, přesně formulovat svoje myšlenky, používat odbornou terminologii, utvářet si vlastní názory, a bude pociťovat zodpovědnost za správnost </w:t>
      </w:r>
      <w:r w:rsidR="001E6A41">
        <w:t xml:space="preserve">navrhovaných </w:t>
      </w:r>
      <w:r w:rsidR="001E6A41" w:rsidRPr="005E7AF7">
        <w:t>řešení</w:t>
      </w:r>
      <w:r w:rsidR="008D53E7">
        <w:t xml:space="preserve"> a </w:t>
      </w:r>
      <w:r w:rsidR="002575DD">
        <w:t>své</w:t>
      </w:r>
      <w:r w:rsidR="008D53E7">
        <w:t xml:space="preserve"> jednání</w:t>
      </w:r>
      <w:r w:rsidR="001E6A41" w:rsidRPr="005E7AF7">
        <w:t xml:space="preserve">. </w:t>
      </w:r>
    </w:p>
    <w:p w:rsidR="00B75642" w:rsidRPr="00D422CC" w:rsidRDefault="00B75642" w:rsidP="00A27065">
      <w:pPr>
        <w:spacing w:after="120" w:line="276" w:lineRule="auto"/>
        <w:jc w:val="both"/>
      </w:pPr>
    </w:p>
    <w:p w:rsidR="00A27065" w:rsidRDefault="00015F73" w:rsidP="00015F73">
      <w:pPr>
        <w:pStyle w:val="Nadpis2"/>
      </w:pPr>
      <w:bookmarkStart w:id="122" w:name="_Toc399775450"/>
      <w:r>
        <w:t>Shrnutí</w:t>
      </w:r>
      <w:bookmarkEnd w:id="122"/>
    </w:p>
    <w:p w:rsidR="00CD565B" w:rsidRDefault="00BD239D" w:rsidP="006938C2">
      <w:pPr>
        <w:spacing w:after="120" w:line="276" w:lineRule="auto"/>
        <w:jc w:val="both"/>
      </w:pPr>
      <w:r w:rsidRPr="006961DF">
        <w:t xml:space="preserve">Výsledky námi realizovaného výzkumu napovídají, že výuka zeměpisu v Česku je typická svou dominantní orientací na </w:t>
      </w:r>
      <w:r w:rsidR="00FE20F7" w:rsidRPr="006961DF">
        <w:t xml:space="preserve">utváření deklarativních znalostí. </w:t>
      </w:r>
      <w:r w:rsidR="00080AC7">
        <w:t>Navazující d</w:t>
      </w:r>
      <w:r w:rsidR="00087D88" w:rsidRPr="006961DF">
        <w:t xml:space="preserve">iskuse o obsahové a cílové podobě zeměpisu by ale neměla být pouze o zavrhování memorování a popisně, resp. encyklopedicky pojaté výuky a upřednostňování např. problémově orientovaných výukových přístupů. </w:t>
      </w:r>
      <w:r w:rsidR="0099700C" w:rsidRPr="006961DF">
        <w:t>Pokud připustíme, že výuka zeměpisu by měla směřovat především k rozvíjení geografického/prostorového myšlení, je nutné stanovit, jakou proporci by v učebnicích a ve výuce měly mít učební úlohy</w:t>
      </w:r>
      <w:r w:rsidR="0099700C">
        <w:t xml:space="preserve"> směřující k osvojování </w:t>
      </w:r>
      <w:r w:rsidR="0099700C" w:rsidRPr="006961DF">
        <w:t>deklarativních, procedurálních a kontext</w:t>
      </w:r>
      <w:r w:rsidR="0099700C">
        <w:t>uálních znalostí.</w:t>
      </w:r>
      <w:r w:rsidR="0099700C" w:rsidRPr="006961DF">
        <w:t xml:space="preserve"> </w:t>
      </w:r>
      <w:r w:rsidR="002A43EE" w:rsidRPr="006961DF">
        <w:t>Přibližný poměr mezi jednotlivými kategoriemi znalostí ve zkoumaných</w:t>
      </w:r>
      <w:r w:rsidR="00B14CBB">
        <w:t xml:space="preserve"> učebnicích je 76 : 20 : </w:t>
      </w:r>
      <w:r w:rsidR="002A43EE" w:rsidRPr="006961DF">
        <w:t>4. Obdobně je tomu také v</w:t>
      </w:r>
      <w:r w:rsidR="00080AC7">
        <w:t xml:space="preserve"> námi</w:t>
      </w:r>
      <w:r w:rsidR="002A43EE" w:rsidRPr="006961DF">
        <w:t xml:space="preserve"> zkoumané výuce.</w:t>
      </w:r>
      <w:r w:rsidR="00BE2CAC">
        <w:t xml:space="preserve"> </w:t>
      </w:r>
      <w:r w:rsidR="002A43EE" w:rsidRPr="006961DF">
        <w:t xml:space="preserve">Mullis </w:t>
      </w:r>
      <w:r w:rsidR="00BE2CAC">
        <w:t xml:space="preserve">a kol. </w:t>
      </w:r>
      <w:r w:rsidR="00D44E1A">
        <w:t xml:space="preserve">(2009, s. 81) udávají, že </w:t>
      </w:r>
      <w:r w:rsidR="00B14CBB">
        <w:t>v mezinárodním srovnávacím šetření</w:t>
      </w:r>
      <w:r w:rsidR="002A43EE" w:rsidRPr="006961DF">
        <w:t xml:space="preserve"> TIMSS </w:t>
      </w:r>
      <w:r w:rsidR="00B14CBB">
        <w:t xml:space="preserve">je </w:t>
      </w:r>
      <w:r w:rsidR="002A43EE" w:rsidRPr="006961DF">
        <w:t xml:space="preserve">poměr </w:t>
      </w:r>
      <w:r w:rsidR="00767855" w:rsidRPr="006961DF">
        <w:t xml:space="preserve">mezi testovanými </w:t>
      </w:r>
      <w:r w:rsidR="002A43EE" w:rsidRPr="006961DF">
        <w:t>deklarativní</w:t>
      </w:r>
      <w:r w:rsidR="00767855" w:rsidRPr="006961DF">
        <w:t>mi</w:t>
      </w:r>
      <w:r w:rsidR="002A43EE" w:rsidRPr="006961DF">
        <w:t>, procedurální</w:t>
      </w:r>
      <w:r w:rsidR="00767855" w:rsidRPr="006961DF">
        <w:t>mi a kontextuálními</w:t>
      </w:r>
      <w:r w:rsidR="002A43EE" w:rsidRPr="006961DF">
        <w:t xml:space="preserve"> znalost</w:t>
      </w:r>
      <w:r w:rsidR="00767855" w:rsidRPr="006961DF">
        <w:t>mi</w:t>
      </w:r>
      <w:r w:rsidR="00B14CBB">
        <w:t xml:space="preserve"> 35 : 35 : </w:t>
      </w:r>
      <w:r w:rsidR="002A43EE" w:rsidRPr="006961DF">
        <w:t>30</w:t>
      </w:r>
      <w:r w:rsidR="002C29DA" w:rsidRPr="006961DF">
        <w:t xml:space="preserve">. </w:t>
      </w:r>
      <w:r w:rsidR="00D04D57" w:rsidRPr="006961DF">
        <w:t xml:space="preserve">Abychom se v případě </w:t>
      </w:r>
      <w:r w:rsidR="00B14CBB">
        <w:t>učebních úloh rozvíjejících jednotlivé typy</w:t>
      </w:r>
      <w:r w:rsidR="00D04D57" w:rsidRPr="006961DF">
        <w:t xml:space="preserve"> znalostí přiblížili </w:t>
      </w:r>
      <w:r w:rsidR="00080AC7">
        <w:t xml:space="preserve">takto </w:t>
      </w:r>
      <w:r w:rsidR="00D04D57" w:rsidRPr="006961DF">
        <w:t xml:space="preserve">vyrovnanému poměru, bude nutné uvažovat </w:t>
      </w:r>
      <w:r w:rsidR="00767855" w:rsidRPr="006961DF">
        <w:rPr>
          <w:rFonts w:cs="Calibri"/>
          <w:bCs/>
        </w:rPr>
        <w:t>o přenastavení výukových cílů</w:t>
      </w:r>
      <w:r w:rsidR="00C168FC">
        <w:rPr>
          <w:rFonts w:cs="Calibri"/>
          <w:bCs/>
        </w:rPr>
        <w:t xml:space="preserve"> a o</w:t>
      </w:r>
      <w:r w:rsidR="00767855" w:rsidRPr="006961DF">
        <w:rPr>
          <w:rFonts w:cs="Calibri"/>
          <w:bCs/>
        </w:rPr>
        <w:t xml:space="preserve"> </w:t>
      </w:r>
      <w:r w:rsidR="00C14960" w:rsidRPr="006961DF">
        <w:rPr>
          <w:rFonts w:cs="Calibri"/>
          <w:bCs/>
        </w:rPr>
        <w:t xml:space="preserve">vytvoření podmínek k </w:t>
      </w:r>
      <w:r w:rsidR="00FC5CEC">
        <w:rPr>
          <w:rFonts w:cs="Calibri"/>
          <w:bCs/>
        </w:rPr>
        <w:t>jejich dosahování ve školní výuce</w:t>
      </w:r>
      <w:r w:rsidR="00767855" w:rsidRPr="006961DF">
        <w:rPr>
          <w:rFonts w:cs="Calibri"/>
          <w:bCs/>
        </w:rPr>
        <w:t xml:space="preserve">. Jedná se </w:t>
      </w:r>
      <w:r w:rsidR="00B14CBB">
        <w:rPr>
          <w:rFonts w:cs="Calibri"/>
          <w:bCs/>
        </w:rPr>
        <w:t xml:space="preserve">dle našeho názoru </w:t>
      </w:r>
      <w:r w:rsidR="00767855" w:rsidRPr="006961DF">
        <w:rPr>
          <w:rFonts w:cs="Calibri"/>
          <w:bCs/>
        </w:rPr>
        <w:t>primá</w:t>
      </w:r>
      <w:r w:rsidR="000324A3">
        <w:rPr>
          <w:rFonts w:cs="Calibri"/>
          <w:bCs/>
        </w:rPr>
        <w:t>rně o problém metodický, nikoli</w:t>
      </w:r>
      <w:r w:rsidR="00767855" w:rsidRPr="006961DF">
        <w:rPr>
          <w:rFonts w:cs="Calibri"/>
          <w:bCs/>
        </w:rPr>
        <w:t xml:space="preserve"> kurikulární (ten je taktéž závažný, ale až sekundárně).</w:t>
      </w:r>
      <w:r w:rsidR="00C14960" w:rsidRPr="006961DF">
        <w:t xml:space="preserve"> </w:t>
      </w:r>
      <w:r w:rsidR="00CD565B" w:rsidRPr="006961DF">
        <w:rPr>
          <w:bCs/>
        </w:rPr>
        <w:t xml:space="preserve">Je ovšem otázkou, zda zavedení problémově orientovaného učení a vyučování ve všech </w:t>
      </w:r>
      <w:r w:rsidR="00B14CBB">
        <w:rPr>
          <w:bCs/>
        </w:rPr>
        <w:t>svých formách a podobách</w:t>
      </w:r>
      <w:r w:rsidR="00CD565B" w:rsidRPr="006961DF">
        <w:rPr>
          <w:bCs/>
        </w:rPr>
        <w:t xml:space="preserve"> (např. prostřednictvím didaktických her, </w:t>
      </w:r>
      <w:r w:rsidR="00B6206B">
        <w:rPr>
          <w:bCs/>
        </w:rPr>
        <w:t xml:space="preserve">hraní rolí, řešení </w:t>
      </w:r>
      <w:r w:rsidR="00CD565B" w:rsidRPr="006961DF">
        <w:rPr>
          <w:bCs/>
        </w:rPr>
        <w:t xml:space="preserve">dilemat, debat atd.) </w:t>
      </w:r>
      <w:r w:rsidR="00B14CBB" w:rsidRPr="006961DF">
        <w:rPr>
          <w:bCs/>
        </w:rPr>
        <w:t xml:space="preserve">skutečně </w:t>
      </w:r>
      <w:r w:rsidR="00CD565B" w:rsidRPr="006961DF">
        <w:rPr>
          <w:bCs/>
        </w:rPr>
        <w:t>přinese kýženou změnu.</w:t>
      </w:r>
      <w:r w:rsidR="00CD565B" w:rsidRPr="006961DF">
        <w:t xml:space="preserve"> </w:t>
      </w:r>
      <w:r w:rsidR="00DB3460">
        <w:t xml:space="preserve">Jedná se totiž o </w:t>
      </w:r>
      <w:r w:rsidR="00DB3460" w:rsidRPr="006961DF">
        <w:rPr>
          <w:bCs/>
        </w:rPr>
        <w:t>metod</w:t>
      </w:r>
      <w:r w:rsidR="00DB3460">
        <w:rPr>
          <w:bCs/>
        </w:rPr>
        <w:t>y</w:t>
      </w:r>
      <w:r w:rsidR="00DB3460" w:rsidRPr="006961DF">
        <w:rPr>
          <w:bCs/>
        </w:rPr>
        <w:t xml:space="preserve"> </w:t>
      </w:r>
      <w:r w:rsidR="00761E77">
        <w:rPr>
          <w:bCs/>
        </w:rPr>
        <w:t xml:space="preserve">a </w:t>
      </w:r>
      <w:r w:rsidR="00DB3460" w:rsidRPr="006961DF">
        <w:rPr>
          <w:bCs/>
        </w:rPr>
        <w:t>for</w:t>
      </w:r>
      <w:r w:rsidR="00DB3460">
        <w:rPr>
          <w:bCs/>
        </w:rPr>
        <w:t>my</w:t>
      </w:r>
      <w:r w:rsidR="00DB3460" w:rsidRPr="006961DF">
        <w:rPr>
          <w:bCs/>
        </w:rPr>
        <w:t xml:space="preserve"> výuky s</w:t>
      </w:r>
      <w:r w:rsidR="00DB3460">
        <w:rPr>
          <w:bCs/>
        </w:rPr>
        <w:t> </w:t>
      </w:r>
      <w:r w:rsidR="00DB3460" w:rsidRPr="006961DF">
        <w:rPr>
          <w:bCs/>
        </w:rPr>
        <w:t>nejistým</w:t>
      </w:r>
      <w:r w:rsidR="00DB3460">
        <w:rPr>
          <w:bCs/>
        </w:rPr>
        <w:t>/nulovým</w:t>
      </w:r>
      <w:r w:rsidR="00DB3460" w:rsidRPr="006961DF">
        <w:rPr>
          <w:bCs/>
        </w:rPr>
        <w:t xml:space="preserve"> </w:t>
      </w:r>
      <w:r w:rsidR="00DB3460">
        <w:rPr>
          <w:bCs/>
        </w:rPr>
        <w:t xml:space="preserve">okamžitým a snadno měřitelným </w:t>
      </w:r>
      <w:r w:rsidR="00DB3460" w:rsidRPr="006961DF">
        <w:rPr>
          <w:bCs/>
        </w:rPr>
        <w:t>efektem</w:t>
      </w:r>
      <w:r w:rsidR="00761E77">
        <w:rPr>
          <w:bCs/>
        </w:rPr>
        <w:t>.</w:t>
      </w:r>
      <w:r w:rsidR="00DB3460">
        <w:t xml:space="preserve"> </w:t>
      </w:r>
      <w:r w:rsidR="00B6206B">
        <w:t xml:space="preserve">Pokud se na </w:t>
      </w:r>
      <w:r w:rsidR="0042354E">
        <w:t xml:space="preserve">fenomén </w:t>
      </w:r>
      <w:r w:rsidR="0042354E" w:rsidRPr="006961DF">
        <w:t>dominantní orientac</w:t>
      </w:r>
      <w:r w:rsidR="0042354E">
        <w:t>e české školy</w:t>
      </w:r>
      <w:r w:rsidR="0042354E" w:rsidRPr="006961DF">
        <w:t xml:space="preserve"> na utváření deklarativních znalostí</w:t>
      </w:r>
      <w:r w:rsidR="0042354E" w:rsidRPr="006961DF">
        <w:rPr>
          <w:bCs/>
        </w:rPr>
        <w:t xml:space="preserve"> </w:t>
      </w:r>
      <w:r w:rsidR="0042354E">
        <w:rPr>
          <w:bCs/>
        </w:rPr>
        <w:t>podíváme z pohledu učitel</w:t>
      </w:r>
      <w:r w:rsidR="00761E77">
        <w:rPr>
          <w:bCs/>
        </w:rPr>
        <w:t>ů</w:t>
      </w:r>
      <w:r w:rsidR="0042354E">
        <w:rPr>
          <w:bCs/>
        </w:rPr>
        <w:t>, je nutné připustit, že p</w:t>
      </w:r>
      <w:r w:rsidR="006961DF" w:rsidRPr="006961DF">
        <w:rPr>
          <w:bCs/>
        </w:rPr>
        <w:t>roblémové vyučování a učení s sebou přináší</w:t>
      </w:r>
      <w:r w:rsidR="00CD565B" w:rsidRPr="006961DF">
        <w:rPr>
          <w:bCs/>
        </w:rPr>
        <w:t xml:space="preserve"> </w:t>
      </w:r>
      <w:r w:rsidR="0042354E">
        <w:rPr>
          <w:bCs/>
        </w:rPr>
        <w:t xml:space="preserve">požadavek na užívání </w:t>
      </w:r>
      <w:r w:rsidR="00CD565B" w:rsidRPr="006961DF">
        <w:rPr>
          <w:bCs/>
        </w:rPr>
        <w:t>časově náročn</w:t>
      </w:r>
      <w:r w:rsidR="0042354E">
        <w:rPr>
          <w:bCs/>
        </w:rPr>
        <w:t>ých</w:t>
      </w:r>
      <w:r w:rsidR="006961DF" w:rsidRPr="006961DF">
        <w:rPr>
          <w:bCs/>
        </w:rPr>
        <w:t xml:space="preserve">. </w:t>
      </w:r>
      <w:r w:rsidR="001A6A1F">
        <w:rPr>
          <w:bCs/>
        </w:rPr>
        <w:t>Mimoto p</w:t>
      </w:r>
      <w:r w:rsidR="00872A77" w:rsidRPr="006961DF">
        <w:rPr>
          <w:bCs/>
        </w:rPr>
        <w:t xml:space="preserve">roblémově orientovaná </w:t>
      </w:r>
      <w:r w:rsidR="00CD565B" w:rsidRPr="006961DF">
        <w:rPr>
          <w:bCs/>
        </w:rPr>
        <w:t>v</w:t>
      </w:r>
      <w:r w:rsidR="00CD565B" w:rsidRPr="006961DF">
        <w:t xml:space="preserve">ýuka může snadno sklouznout </w:t>
      </w:r>
      <w:r w:rsidR="00872A77" w:rsidRPr="006961DF">
        <w:t xml:space="preserve">v lepším případě </w:t>
      </w:r>
      <w:r w:rsidR="00CD565B" w:rsidRPr="006961DF">
        <w:t>do podoby mechanického aplikování rutinních postupů na řešení určitých typů problémů</w:t>
      </w:r>
      <w:r w:rsidR="00872A77" w:rsidRPr="006961DF">
        <w:t xml:space="preserve">, v horším případě k metodě pokusu a omylu. </w:t>
      </w:r>
      <w:r w:rsidR="005B1535">
        <w:t>Možná právě proto</w:t>
      </w:r>
      <w:r w:rsidR="006938C2">
        <w:t xml:space="preserve"> mnoho výukových situací s významným potenciálem rozvíjet kompetenci k řešení problémů </w:t>
      </w:r>
      <w:r w:rsidR="00C96A6B">
        <w:t xml:space="preserve">učitelé </w:t>
      </w:r>
      <w:r w:rsidR="006938C2" w:rsidRPr="006938C2">
        <w:t>ukončuj</w:t>
      </w:r>
      <w:r w:rsidR="00C96A6B">
        <w:t>í</w:t>
      </w:r>
      <w:r w:rsidR="006938C2" w:rsidRPr="006938C2">
        <w:t xml:space="preserve"> s</w:t>
      </w:r>
      <w:r w:rsidR="00C96A6B">
        <w:t xml:space="preserve">lovy „tím se nebudeme zdržovat“, případně </w:t>
      </w:r>
      <w:r w:rsidR="00B22125">
        <w:t>volí cestu tzv. odcizeného poznávání</w:t>
      </w:r>
      <w:r w:rsidR="00420761">
        <w:t xml:space="preserve"> spočívající v tom, že </w:t>
      </w:r>
      <w:r w:rsidR="005B1535">
        <w:t xml:space="preserve">učitelé </w:t>
      </w:r>
      <w:r w:rsidR="00420761">
        <w:t xml:space="preserve">žákům sdělí řešení zdařile zadané učební úlohy sami. </w:t>
      </w:r>
    </w:p>
    <w:p w:rsidR="008725C7" w:rsidRDefault="008725C7" w:rsidP="006938C2">
      <w:pPr>
        <w:spacing w:after="120" w:line="276" w:lineRule="auto"/>
        <w:jc w:val="both"/>
      </w:pPr>
    </w:p>
    <w:p w:rsidR="005C172A" w:rsidRDefault="005C172A">
      <w:pPr>
        <w:rPr>
          <w:b/>
          <w:bCs/>
          <w:kern w:val="32"/>
          <w:sz w:val="32"/>
          <w:szCs w:val="32"/>
        </w:rPr>
      </w:pPr>
      <w:bookmarkStart w:id="123" w:name="_Toc399775451"/>
      <w:r>
        <w:br w:type="page"/>
      </w:r>
    </w:p>
    <w:p w:rsidR="00C5512D" w:rsidRDefault="00AF359A" w:rsidP="00CE5AF1">
      <w:pPr>
        <w:pStyle w:val="Nadpis1"/>
        <w:numPr>
          <w:ilvl w:val="0"/>
          <w:numId w:val="0"/>
        </w:numPr>
        <w:spacing w:after="120"/>
        <w:ind w:left="357" w:hanging="357"/>
      </w:pPr>
      <w:r w:rsidRPr="002C58AD">
        <w:t>Závěr</w:t>
      </w:r>
      <w:bookmarkEnd w:id="123"/>
      <w:r w:rsidRPr="002C58AD">
        <w:t xml:space="preserve"> </w:t>
      </w:r>
    </w:p>
    <w:p w:rsidR="00FE31AD" w:rsidRPr="005E7AF7" w:rsidRDefault="00FE31AD" w:rsidP="00CE5AF1">
      <w:pPr>
        <w:spacing w:after="120" w:line="276" w:lineRule="auto"/>
        <w:jc w:val="both"/>
      </w:pPr>
      <w:r w:rsidRPr="005E7AF7">
        <w:t>Problémo</w:t>
      </w:r>
      <w:r w:rsidR="001C6494" w:rsidRPr="005E7AF7">
        <w:t xml:space="preserve">vé vyučování a učení reprezentuje </w:t>
      </w:r>
      <w:r w:rsidR="00901D88">
        <w:t xml:space="preserve">multidisciplinárně nazíraný fenomén, </w:t>
      </w:r>
      <w:r w:rsidR="000E1F54" w:rsidRPr="005E7AF7">
        <w:t xml:space="preserve">jehož obsahový záběr jsme stručně přiblížili v teoretické části práce. </w:t>
      </w:r>
      <w:r w:rsidR="00901D88">
        <w:t>Množství</w:t>
      </w:r>
      <w:r w:rsidR="000E1F54" w:rsidRPr="005E7AF7">
        <w:t xml:space="preserve"> </w:t>
      </w:r>
      <w:r w:rsidR="00901D88">
        <w:t>souvisejících</w:t>
      </w:r>
      <w:r w:rsidR="000E1F54" w:rsidRPr="005E7AF7">
        <w:t xml:space="preserve"> </w:t>
      </w:r>
      <w:r w:rsidR="00901D88">
        <w:t>výzkumných témat spolu s hloubkou jejich</w:t>
      </w:r>
      <w:r w:rsidR="000E1F54" w:rsidRPr="005E7AF7">
        <w:t xml:space="preserve"> teoretické i metodologické rozpr</w:t>
      </w:r>
      <w:r w:rsidR="00901D88">
        <w:t>acovanosti jsou důvodem, proč</w:t>
      </w:r>
      <w:r w:rsidR="000E1F54" w:rsidRPr="005E7AF7">
        <w:t xml:space="preserve"> problémová výuka </w:t>
      </w:r>
      <w:r w:rsidR="00901D88">
        <w:t>je</w:t>
      </w:r>
      <w:r w:rsidR="000E1F54" w:rsidRPr="005E7AF7">
        <w:t xml:space="preserve"> </w:t>
      </w:r>
      <w:r w:rsidR="00901D88">
        <w:t xml:space="preserve">tradičním předmětem zájmu </w:t>
      </w:r>
      <w:r w:rsidR="000E1F54" w:rsidRPr="005E7AF7">
        <w:t xml:space="preserve">oborových didaktik. </w:t>
      </w:r>
      <w:r w:rsidR="00901D88">
        <w:t>V této práci jsme o problémovém vyučování</w:t>
      </w:r>
      <w:r w:rsidR="00C85168">
        <w:t xml:space="preserve"> </w:t>
      </w:r>
      <w:r w:rsidR="00901D88">
        <w:t xml:space="preserve">a učení pojednali z perspektivy didaktiky geografie. </w:t>
      </w:r>
      <w:r w:rsidR="000E1F54" w:rsidRPr="005E7AF7">
        <w:t xml:space="preserve">Problémová výuka zeměpisu </w:t>
      </w:r>
      <w:r w:rsidRPr="005E7AF7">
        <w:t xml:space="preserve">vytváří předpoklady pro to, aby si žáci osvojili metody řešení </w:t>
      </w:r>
      <w:r w:rsidR="000E1F54" w:rsidRPr="005E7AF7">
        <w:t xml:space="preserve">geografických </w:t>
      </w:r>
      <w:r w:rsidRPr="005E7AF7">
        <w:t xml:space="preserve">problémů a byli schopni ve školním i mimoškolním kontextu </w:t>
      </w:r>
      <w:r w:rsidR="000E1F54" w:rsidRPr="005E7AF7">
        <w:t xml:space="preserve">(geograficky) </w:t>
      </w:r>
      <w:r w:rsidRPr="005E7AF7">
        <w:t>řešit problémové situace, se kterými se dosud nesetkali.</w:t>
      </w:r>
      <w:r w:rsidR="00845E5F" w:rsidRPr="005E7AF7">
        <w:t xml:space="preserve"> Jádrem problémových situací jsou problémové učební úlohy. Při řešení problémových učebních úloh žáci znají cíl (odhalení neznámého prvku, poznatku, činnosti, jevu, procesu), ale musí k jeho dosažení překonat nějakou překážku (např. neznají cestu, způsob, jak cíle dosáhnout).</w:t>
      </w:r>
    </w:p>
    <w:p w:rsidR="007473C8" w:rsidRPr="005E7AF7" w:rsidRDefault="00C011A3" w:rsidP="00CE5AF1">
      <w:pPr>
        <w:spacing w:after="120" w:line="276" w:lineRule="auto"/>
        <w:jc w:val="both"/>
      </w:pPr>
      <w:r w:rsidRPr="005E7AF7">
        <w:t>Problémov</w:t>
      </w:r>
      <w:r w:rsidR="000E1F54" w:rsidRPr="005E7AF7">
        <w:t xml:space="preserve">ě orientovanou výuku </w:t>
      </w:r>
      <w:r w:rsidR="00970778" w:rsidRPr="005E7AF7">
        <w:t>nelze pokládat za jedin</w:t>
      </w:r>
      <w:r w:rsidR="000E1F54" w:rsidRPr="005E7AF7">
        <w:t>ý</w:t>
      </w:r>
      <w:r w:rsidRPr="005E7AF7">
        <w:t xml:space="preserve"> </w:t>
      </w:r>
      <w:r w:rsidR="00970778" w:rsidRPr="005E7AF7">
        <w:t>správn</w:t>
      </w:r>
      <w:r w:rsidR="000E1F54" w:rsidRPr="005E7AF7">
        <w:t>ý</w:t>
      </w:r>
      <w:r w:rsidR="00970778" w:rsidRPr="005E7AF7">
        <w:t xml:space="preserve"> </w:t>
      </w:r>
      <w:r w:rsidR="000E1F54" w:rsidRPr="005E7AF7">
        <w:t>přístup k</w:t>
      </w:r>
      <w:r w:rsidR="00E46100" w:rsidRPr="005E7AF7">
        <w:t xml:space="preserve"> vyučování zeměpisu</w:t>
      </w:r>
      <w:r w:rsidR="003859CF" w:rsidRPr="005E7AF7">
        <w:t xml:space="preserve"> ani </w:t>
      </w:r>
      <w:r w:rsidR="000E1F54" w:rsidRPr="005E7AF7">
        <w:t>ji</w:t>
      </w:r>
      <w:r w:rsidR="003859CF" w:rsidRPr="005E7AF7">
        <w:t xml:space="preserve"> není možné vyzdvihovat jako </w:t>
      </w:r>
      <w:r w:rsidR="00FA66A4" w:rsidRPr="005E7AF7">
        <w:t>jediný možný</w:t>
      </w:r>
      <w:r w:rsidR="003859CF" w:rsidRPr="005E7AF7">
        <w:t xml:space="preserve"> protiklad </w:t>
      </w:r>
      <w:r w:rsidR="00FA66A4" w:rsidRPr="005E7AF7">
        <w:t xml:space="preserve">(či spíše doplněk) </w:t>
      </w:r>
      <w:r w:rsidR="003859CF" w:rsidRPr="005E7AF7">
        <w:t>verbálního</w:t>
      </w:r>
      <w:r w:rsidR="00901D88">
        <w:t xml:space="preserve"> a encyklopedického</w:t>
      </w:r>
      <w:r w:rsidR="003859CF" w:rsidRPr="005E7AF7">
        <w:t xml:space="preserve"> pojetí školního vyučování. </w:t>
      </w:r>
      <w:r w:rsidR="00FA66A4" w:rsidRPr="005E7AF7">
        <w:t xml:space="preserve">Ačkoliv bývají tradiční způsoby výuky často </w:t>
      </w:r>
      <w:r w:rsidR="000E1F54" w:rsidRPr="005E7AF7">
        <w:t>kritizovány</w:t>
      </w:r>
      <w:r w:rsidR="00FA66A4" w:rsidRPr="005E7AF7">
        <w:t xml:space="preserve">, připouštíme, že právě ony mohou </w:t>
      </w:r>
      <w:r w:rsidR="00C8292A" w:rsidRPr="005E7AF7">
        <w:t xml:space="preserve">stát v pozadí </w:t>
      </w:r>
      <w:r w:rsidR="00FA66A4" w:rsidRPr="005E7AF7">
        <w:t xml:space="preserve">úspěšného </w:t>
      </w:r>
      <w:r w:rsidR="00C8292A" w:rsidRPr="005E7AF7">
        <w:t xml:space="preserve">řešení problémových situací. </w:t>
      </w:r>
      <w:r w:rsidR="000E1F54" w:rsidRPr="005E7AF7">
        <w:t>Souhlasíme</w:t>
      </w:r>
      <w:r w:rsidR="001240FA" w:rsidRPr="005E7AF7">
        <w:t xml:space="preserve">, že </w:t>
      </w:r>
      <w:r w:rsidR="003457CB" w:rsidRPr="005E7AF7">
        <w:t xml:space="preserve">nelze stavět do protikladu upevňování vědomostí procvičováním a memorizací a vyšší formy myšlení přítomné v řešení problémů, neboť se vzájemně se podmiňují </w:t>
      </w:r>
      <w:r w:rsidR="00E46100" w:rsidRPr="005E7AF7">
        <w:t>a potřebují</w:t>
      </w:r>
      <w:r w:rsidR="003457CB" w:rsidRPr="005E7AF7">
        <w:t xml:space="preserve"> (srov. Štech, 2013, s. 629). </w:t>
      </w:r>
      <w:r w:rsidR="00C85168">
        <w:t xml:space="preserve">Kritický čtenář by mohl namítnout, že se jedná o obecně známou skutečnost. </w:t>
      </w:r>
      <w:r w:rsidR="000E1F54" w:rsidRPr="005E7AF7">
        <w:t>K obdobn</w:t>
      </w:r>
      <w:r w:rsidR="00C5512D">
        <w:t>é</w:t>
      </w:r>
      <w:r w:rsidR="000E1F54" w:rsidRPr="005E7AF7">
        <w:t>mu závěru dospěl již téměř před čtyřiceti lety na příkladu vyučování geometrie Kuřina (1976, s. 192): „[…] k pochopení pojmu dochází postupně, na základě žákových zkušeností z práce s pojmem, na základě jeho interpretací a aplikací.“</w:t>
      </w:r>
      <w:r w:rsidR="00C85168">
        <w:t xml:space="preserve"> Jsme přesvědčeni, že výše zmíněné myšlenky stojí za občasné připomenutí. Zejména v období, které je charakteristické </w:t>
      </w:r>
      <w:r w:rsidR="000A0A02">
        <w:t>opouštěním</w:t>
      </w:r>
      <w:r w:rsidR="00C85168">
        <w:t xml:space="preserve"> zájmu o vzdělávací obsahy jak ve škole (srov. Viktorová, 2004) tak v teorii kurikula </w:t>
      </w:r>
      <w:r w:rsidR="003A38E5" w:rsidRPr="005E7AF7">
        <w:t>[</w:t>
      </w:r>
      <w:r w:rsidR="003A38E5">
        <w:t>sic!</w:t>
      </w:r>
      <w:r w:rsidR="003A38E5" w:rsidRPr="005E7AF7">
        <w:t>]</w:t>
      </w:r>
      <w:r w:rsidR="00C85168">
        <w:t xml:space="preserve"> (srov. Young, 2013).</w:t>
      </w:r>
    </w:p>
    <w:p w:rsidR="00C060BF" w:rsidRDefault="000E1F54" w:rsidP="00C060BF">
      <w:pPr>
        <w:spacing w:after="120" w:line="276" w:lineRule="auto"/>
        <w:jc w:val="both"/>
      </w:pPr>
      <w:r w:rsidRPr="005E7AF7">
        <w:rPr>
          <w:bCs/>
          <w:lang w:eastAsia="en-US"/>
        </w:rPr>
        <w:t xml:space="preserve">Pokud se vrátíme k Helmkeho modelu kvality výuky (srov. kap. </w:t>
      </w:r>
      <w:r w:rsidR="00B118EC">
        <w:rPr>
          <w:bCs/>
          <w:lang w:eastAsia="en-US"/>
        </w:rPr>
        <w:t>1.1</w:t>
      </w:r>
      <w:r w:rsidRPr="005E7AF7">
        <w:rPr>
          <w:bCs/>
          <w:lang w:eastAsia="en-US"/>
        </w:rPr>
        <w:t>), je zjevné, že abychom pochopili výsledky žáků, musíme se podrobněji podívat na kurikulární dokumenty i na zakoušené edukační zkušenosti žáků ve školních třídách.</w:t>
      </w:r>
      <w:r w:rsidR="00C5512D" w:rsidRPr="00C5512D">
        <w:t xml:space="preserve"> </w:t>
      </w:r>
      <w:r w:rsidR="00C5512D" w:rsidRPr="005E7AF7">
        <w:t>Výzkum prezentovaný v této práci napovídá, že v</w:t>
      </w:r>
      <w:r w:rsidR="00BF47EA">
        <w:t>e zkoumaných</w:t>
      </w:r>
      <w:r w:rsidR="00C5512D" w:rsidRPr="005E7AF7">
        <w:t xml:space="preserve"> učebnicích i výuce zeměpisu není kompetence k řešení problémů </w:t>
      </w:r>
      <w:r w:rsidR="00901D88">
        <w:t xml:space="preserve">(vymezení pojmu viz kap. </w:t>
      </w:r>
      <w:r w:rsidR="00B118EC">
        <w:t>1.4.4</w:t>
      </w:r>
      <w:r w:rsidR="00901D88">
        <w:t xml:space="preserve">) </w:t>
      </w:r>
      <w:r w:rsidR="00C5512D" w:rsidRPr="005E7AF7">
        <w:t xml:space="preserve">rozvíjena vždy dostatečně. </w:t>
      </w:r>
      <w:r w:rsidR="00C5512D">
        <w:t xml:space="preserve">Tento poznatek je v souladu se zjištěními obdobně koncipovaných zahraničních </w:t>
      </w:r>
      <w:r w:rsidR="003A7BD5" w:rsidRPr="005E7AF7">
        <w:t>výzkumů</w:t>
      </w:r>
      <w:r w:rsidR="00901D88">
        <w:t xml:space="preserve"> učebnic a výuky zeměpisu</w:t>
      </w:r>
      <w:r w:rsidR="004123E5" w:rsidRPr="005E7AF7">
        <w:t xml:space="preserve"> (srov. Martinha, 2011; Jo &amp; Bednarz, 2009</w:t>
      </w:r>
      <w:r w:rsidR="00C5512D">
        <w:t>; Ferretti, 2013</w:t>
      </w:r>
      <w:r w:rsidR="00901D88">
        <w:t xml:space="preserve"> </w:t>
      </w:r>
      <w:r w:rsidR="004123E5" w:rsidRPr="005E7AF7">
        <w:t>aj.)</w:t>
      </w:r>
      <w:r w:rsidR="003A7BD5" w:rsidRPr="005E7AF7">
        <w:t xml:space="preserve">. </w:t>
      </w:r>
      <w:r w:rsidR="004123E5" w:rsidRPr="005E7AF7">
        <w:t xml:space="preserve">Není možné nicméně konstatovat, že učebnice a výuka zeměpisu </w:t>
      </w:r>
      <w:r w:rsidR="002575DD" w:rsidRPr="005E7AF7">
        <w:t xml:space="preserve">vůbec nepřispívají </w:t>
      </w:r>
      <w:r w:rsidR="004123E5" w:rsidRPr="005E7AF7">
        <w:t xml:space="preserve">k utváření a rozvíjení kompetence k řešení problémů. Jak naznačujeme výše, každá učební úloha nějakým způsobem přispívá k utváření a rozvíjení kompetencí. Jde o to, že podíl učebních úloh, které přímo a jednoznačně </w:t>
      </w:r>
      <w:r w:rsidR="002575DD">
        <w:t>podporují</w:t>
      </w:r>
      <w:r w:rsidR="004123E5" w:rsidRPr="005E7AF7">
        <w:t xml:space="preserve"> utváření a rozvíjení kompetence k řešení problémů, je </w:t>
      </w:r>
      <w:r w:rsidR="00932E4F">
        <w:t xml:space="preserve">v učebnicích i ve výuce </w:t>
      </w:r>
      <w:r w:rsidR="004123E5" w:rsidRPr="005E7AF7">
        <w:t>relativně nízký.</w:t>
      </w:r>
      <w:r w:rsidR="00BE2CAC">
        <w:t xml:space="preserve"> </w:t>
      </w:r>
    </w:p>
    <w:p w:rsidR="00AE3588" w:rsidRPr="005E7AF7" w:rsidRDefault="0059214B" w:rsidP="00C060BF">
      <w:pPr>
        <w:spacing w:after="120" w:line="276" w:lineRule="auto"/>
        <w:jc w:val="both"/>
      </w:pPr>
      <w:r>
        <w:t>V práci jsme nepřímo zodpověděli některé z otázek, které se objevily v souvislosti s kurikulární reformou založenou na implementaci dvoustupňového kurikula. Hlavní ideou nového kurikula je přesvědčení, že příprava mladé generace na život ve stále složitějších, náročnějších a proměnlivějších podmínkách je možná zejména prostřednictvím utváření a rozvíjení (klíčových) kompetencí. Jednu z (klíčových) kompetencí představuje kompetence k řešení problémů. Ta sloužila jako východisko k obecnějším úvahám nad souvisejícími otázkami týkajícími se relevantnosti kompetencí v kontextu vzdělávání, obsahové a cílové dimenzi kurikula i průběhu reálné školní výuky. Problémově orientovaná š</w:t>
      </w:r>
      <w:r w:rsidR="00AE3588">
        <w:t xml:space="preserve">kolní </w:t>
      </w:r>
      <w:r w:rsidR="00AE3588" w:rsidRPr="005E7AF7">
        <w:t xml:space="preserve">výuka v sobě zahrnuje mnoho požadavků na učitele a nutí je řešit mnohá dilemata. </w:t>
      </w:r>
      <w:r>
        <w:t xml:space="preserve">Jelikož </w:t>
      </w:r>
      <w:r w:rsidR="00AE3588">
        <w:t>v pomyslné pyramidě náročnosti</w:t>
      </w:r>
      <w:r>
        <w:t>, komplexity i systémovosti</w:t>
      </w:r>
      <w:r w:rsidR="00AE3588">
        <w:t xml:space="preserve"> stojí problémové učební úlohy nejvýše</w:t>
      </w:r>
      <w:r>
        <w:t xml:space="preserve"> (podrobněji viz kap. </w:t>
      </w:r>
      <w:r w:rsidR="00B118EC">
        <w:t>1.9.2</w:t>
      </w:r>
      <w:r>
        <w:t>)</w:t>
      </w:r>
      <w:r w:rsidR="00AE3588">
        <w:t xml:space="preserve">, není možné očekávat, že </w:t>
      </w:r>
      <w:r w:rsidR="00C060BF">
        <w:t xml:space="preserve">problémové učební úlohy </w:t>
      </w:r>
      <w:r w:rsidR="00AE3588">
        <w:t>budou dominantním prvkem učebnic a že budou stabilní součástí všech</w:t>
      </w:r>
      <w:r w:rsidR="00932E4F">
        <w:t xml:space="preserve"> vyučovacích hodin</w:t>
      </w:r>
      <w:r w:rsidR="00AE3588">
        <w:t xml:space="preserve"> zeměpisu. </w:t>
      </w:r>
      <w:r w:rsidR="00197EF2">
        <w:t>Důraz na řešení problémů</w:t>
      </w:r>
      <w:r w:rsidR="00AE3588" w:rsidRPr="005E7AF7">
        <w:t xml:space="preserve"> otevírá možnosti k novému strukturování výuky</w:t>
      </w:r>
      <w:r w:rsidR="00AE3588">
        <w:t xml:space="preserve"> a většímu využívání didaktického potenciálu problémových situací. Takto koncipovaná výuka je jednak časově náročná sama o sobě, a jednak vyžaduje více času na přípravu. </w:t>
      </w:r>
      <w:r w:rsidR="00197EF2">
        <w:t>Tohle konstatování má obecnější platnost</w:t>
      </w:r>
      <w:r w:rsidR="002575DD">
        <w:t xml:space="preserve">, neboť je </w:t>
      </w:r>
      <w:r w:rsidR="00197EF2">
        <w:t xml:space="preserve">možné ho vztáhnout na veškerou výuku orientovanou na utváření a rozvíjení kompetencí. </w:t>
      </w:r>
      <w:r w:rsidR="00AE3588">
        <w:t>Je</w:t>
      </w:r>
      <w:r w:rsidR="00AE3588" w:rsidRPr="005E7AF7">
        <w:t xml:space="preserve"> třeba vědět, co musí žáci znát, pokud chtějí disponovat určitou kompetencí, a jak je možné jednotlivé kompetence ve školní výuce kumulativně utvářet.</w:t>
      </w:r>
      <w:r w:rsidR="00AE3588" w:rsidRPr="009565AB">
        <w:t xml:space="preserve"> </w:t>
      </w:r>
      <w:r w:rsidR="00AE3588">
        <w:t xml:space="preserve">Závody učitelů s časem (v minulosti legitimizované předimenzovaným kurikulem a v současnosti legitimizované předimenzovanou administrativou) </w:t>
      </w:r>
      <w:r w:rsidR="00197EF2">
        <w:t xml:space="preserve">se odehrávají </w:t>
      </w:r>
      <w:r w:rsidR="00AE3588" w:rsidRPr="005E7AF7">
        <w:t>patrně na úkor složitějších</w:t>
      </w:r>
      <w:r w:rsidR="00AE3588">
        <w:t xml:space="preserve"> a kognitivně náročnějších </w:t>
      </w:r>
      <w:r w:rsidR="00AE3588" w:rsidRPr="005E7AF7">
        <w:t>učebních úloh</w:t>
      </w:r>
      <w:r w:rsidR="00AE3588">
        <w:t xml:space="preserve">. </w:t>
      </w:r>
      <w:r w:rsidR="00932E4F">
        <w:t>D</w:t>
      </w:r>
      <w:r w:rsidR="00932E4F" w:rsidRPr="005E7AF7">
        <w:t>omníváme</w:t>
      </w:r>
      <w:r w:rsidR="00932E4F">
        <w:t xml:space="preserve"> se</w:t>
      </w:r>
      <w:r w:rsidR="00932E4F" w:rsidRPr="005E7AF7">
        <w:t xml:space="preserve">, že by problémové vyučování </w:t>
      </w:r>
      <w:r w:rsidR="00932E4F">
        <w:t xml:space="preserve">a učení i přes svou neoddiskutovatelnou časovou náročnost </w:t>
      </w:r>
      <w:r w:rsidR="00932E4F" w:rsidRPr="005E7AF7">
        <w:t>mělo hrát v geografickém vzdělávání dal</w:t>
      </w:r>
      <w:r w:rsidR="00932E4F">
        <w:t>eko významnější roli, než dosud</w:t>
      </w:r>
      <w:r w:rsidR="00197EF2">
        <w:t>. Ať již bude problémové vyučování a učení zastřešeno kontroverzně přijímanými kompetencemi či jiným kontejnerovým termínem, patrně nelze nic namítnout proti apelu na autory učebnic i učitele</w:t>
      </w:r>
      <w:r w:rsidR="00932E4F">
        <w:t xml:space="preserve">, aby </w:t>
      </w:r>
      <w:r w:rsidR="00AE3588">
        <w:t xml:space="preserve">žákům umožnili konfrontovat se s problémovými </w:t>
      </w:r>
      <w:r w:rsidR="00197EF2">
        <w:t xml:space="preserve">výukovými </w:t>
      </w:r>
      <w:r w:rsidR="00AE3588">
        <w:t>situacemi.</w:t>
      </w:r>
      <w:r w:rsidR="00C060BF" w:rsidRPr="00C060BF">
        <w:t xml:space="preserve"> </w:t>
      </w:r>
    </w:p>
    <w:p w:rsidR="000A4BF8" w:rsidRPr="005E7AF7" w:rsidRDefault="005C4F58" w:rsidP="00C060BF">
      <w:pPr>
        <w:spacing w:after="120" w:line="276" w:lineRule="auto"/>
        <w:jc w:val="both"/>
      </w:pPr>
      <w:r>
        <w:t>J</w:t>
      </w:r>
      <w:r w:rsidR="004123E5" w:rsidRPr="005E7AF7">
        <w:t xml:space="preserve">e na </w:t>
      </w:r>
      <w:r w:rsidR="00932E4F">
        <w:t>zcela na místě</w:t>
      </w:r>
      <w:r w:rsidR="004123E5" w:rsidRPr="005E7AF7">
        <w:t xml:space="preserve"> ptát se, č</w:t>
      </w:r>
      <w:r w:rsidR="001B5161" w:rsidRPr="005E7AF7">
        <w:t xml:space="preserve">ím </w:t>
      </w:r>
      <w:r>
        <w:t xml:space="preserve">novým </w:t>
      </w:r>
      <w:r w:rsidR="004123E5" w:rsidRPr="005E7AF7">
        <w:t xml:space="preserve">tato publikace přispívá </w:t>
      </w:r>
      <w:r w:rsidR="001B5161" w:rsidRPr="005E7AF7">
        <w:t>k</w:t>
      </w:r>
      <w:r w:rsidR="004123E5" w:rsidRPr="005E7AF7">
        <w:t xml:space="preserve"> teorii </w:t>
      </w:r>
      <w:r>
        <w:t xml:space="preserve">a praxi </w:t>
      </w:r>
      <w:r w:rsidR="004123E5" w:rsidRPr="005E7AF7">
        <w:t xml:space="preserve">(geografického) vzdělávání. </w:t>
      </w:r>
      <w:r>
        <w:t xml:space="preserve">Klíčovým </w:t>
      </w:r>
      <w:r w:rsidRPr="005E7AF7">
        <w:t xml:space="preserve">přínosem práce bylo rozpracování teoretického </w:t>
      </w:r>
      <w:r w:rsidR="00A94282">
        <w:t>modelu</w:t>
      </w:r>
      <w:r w:rsidRPr="005E7AF7">
        <w:t xml:space="preserve"> </w:t>
      </w:r>
      <w:r w:rsidR="00A94282">
        <w:t xml:space="preserve">příležitostí k utváření a rozvíjení kompetence k řešení problémů a jeho využití </w:t>
      </w:r>
      <w:r>
        <w:t>pro</w:t>
      </w:r>
      <w:r w:rsidR="000A4BF8">
        <w:t xml:space="preserve"> </w:t>
      </w:r>
      <w:r>
        <w:t xml:space="preserve">analýzu učebnic a výuky </w:t>
      </w:r>
      <w:r w:rsidR="000A4BF8">
        <w:t>zeměpisu.</w:t>
      </w:r>
      <w:r w:rsidRPr="005E7AF7">
        <w:t xml:space="preserve"> </w:t>
      </w:r>
      <w:r w:rsidR="00B86AD4">
        <w:t>T</w:t>
      </w:r>
      <w:r w:rsidR="00B86AD4" w:rsidRPr="005E7AF7">
        <w:t>eoretick</w:t>
      </w:r>
      <w:r w:rsidR="00B86AD4">
        <w:t>ý</w:t>
      </w:r>
      <w:r w:rsidR="00B86AD4" w:rsidRPr="005E7AF7">
        <w:t xml:space="preserve"> rám</w:t>
      </w:r>
      <w:r w:rsidR="00B86AD4">
        <w:t>ec</w:t>
      </w:r>
      <w:r w:rsidR="00B86AD4" w:rsidRPr="005E7AF7">
        <w:t xml:space="preserve"> je možné </w:t>
      </w:r>
      <w:r w:rsidR="00B86AD4">
        <w:t xml:space="preserve">dále rozpracovat směrem </w:t>
      </w:r>
      <w:r w:rsidR="00B86AD4" w:rsidRPr="005E7AF7">
        <w:t>k</w:t>
      </w:r>
      <w:r w:rsidR="00B86AD4">
        <w:t xml:space="preserve"> jeho </w:t>
      </w:r>
      <w:r w:rsidR="00B86AD4" w:rsidRPr="005E7AF7">
        <w:t>aplik</w:t>
      </w:r>
      <w:r w:rsidR="00B86AD4">
        <w:t xml:space="preserve">aci </w:t>
      </w:r>
      <w:r w:rsidR="00B86AD4" w:rsidRPr="005E7AF7">
        <w:t>ve výuce nebo k tvorbě problémově orientovaných kurikul</w:t>
      </w:r>
      <w:r w:rsidR="00B86AD4">
        <w:t xml:space="preserve">. </w:t>
      </w:r>
      <w:r w:rsidR="00DC7BD0" w:rsidRPr="00095FBB">
        <w:t>Věříme, že je možné uvažovat o flexibilní adaptaci navrhovaného modelu také na jiné oblasti školního vzdělávání. Dimenze komplexity a náročnosti umožňují navrhovaný model chápat jako dílčí součást složitějších nadpředmětových kompetenčních modelů, neboť se v nich operuje jednak s klasickými cílovými kategoriemi školního vzdělávání rozlišující</w:t>
      </w:r>
      <w:r w:rsidR="00E037A1">
        <w:t>mi</w:t>
      </w:r>
      <w:r w:rsidR="00DC7BD0" w:rsidRPr="00095FBB">
        <w:t xml:space="preserve"> </w:t>
      </w:r>
      <w:r w:rsidR="00DC7BD0">
        <w:t>různé úrovně</w:t>
      </w:r>
      <w:r w:rsidR="00DC7BD0" w:rsidRPr="00095FBB">
        <w:t xml:space="preserve"> kognitivní náročnosti učebních úloh a jednak s </w:t>
      </w:r>
      <w:r w:rsidR="00DC7BD0">
        <w:t>komplexitou</w:t>
      </w:r>
      <w:r w:rsidR="00DC7BD0" w:rsidRPr="00095FBB">
        <w:t xml:space="preserve">, jež bývá taktéž považována </w:t>
      </w:r>
      <w:r w:rsidR="00DC7BD0">
        <w:t xml:space="preserve">důležitý prostředek kognitivní aktivizace žáků. </w:t>
      </w:r>
      <w:r w:rsidRPr="005E7AF7">
        <w:rPr>
          <w:rFonts w:eastAsia="Calibri"/>
          <w:lang w:eastAsia="en-US"/>
        </w:rPr>
        <w:t>Kniha v kontextu českého geografického vzdělávání poskytuje odpovědi na otázky, které doposud nebyly do</w:t>
      </w:r>
      <w:r>
        <w:rPr>
          <w:rFonts w:eastAsia="Calibri"/>
          <w:lang w:eastAsia="en-US"/>
        </w:rPr>
        <w:t>statečně empiricky zodpovězeny</w:t>
      </w:r>
      <w:r w:rsidR="00A94282">
        <w:rPr>
          <w:rFonts w:eastAsia="Calibri"/>
          <w:lang w:eastAsia="en-US"/>
        </w:rPr>
        <w:t xml:space="preserve">. Kniha </w:t>
      </w:r>
      <w:r w:rsidR="009C7CE3">
        <w:rPr>
          <w:rFonts w:eastAsia="Calibri"/>
          <w:lang w:eastAsia="en-US"/>
        </w:rPr>
        <w:t xml:space="preserve">jednak </w:t>
      </w:r>
      <w:r w:rsidR="00A94282">
        <w:rPr>
          <w:rFonts w:eastAsia="Calibri"/>
          <w:lang w:eastAsia="en-US"/>
        </w:rPr>
        <w:t>poukázala</w:t>
      </w:r>
      <w:r w:rsidR="000A4BF8">
        <w:rPr>
          <w:rFonts w:eastAsia="Calibri"/>
          <w:lang w:eastAsia="en-US"/>
        </w:rPr>
        <w:t xml:space="preserve"> na některé deficity aktuálně používaných učebnic zeměpisu a </w:t>
      </w:r>
      <w:r w:rsidR="009C7CE3">
        <w:rPr>
          <w:rFonts w:eastAsia="Calibri"/>
          <w:lang w:eastAsia="en-US"/>
        </w:rPr>
        <w:t xml:space="preserve">jednak </w:t>
      </w:r>
      <w:r w:rsidR="000A4BF8">
        <w:rPr>
          <w:rFonts w:eastAsia="Calibri"/>
          <w:lang w:eastAsia="en-US"/>
        </w:rPr>
        <w:t xml:space="preserve">poskytla čtenářům náhled do praktické realizace výuky zeměpisu v Česku. </w:t>
      </w:r>
      <w:r w:rsidR="00A94282">
        <w:rPr>
          <w:rFonts w:eastAsia="Calibri"/>
          <w:lang w:eastAsia="en-US"/>
        </w:rPr>
        <w:t>Přestože</w:t>
      </w:r>
      <w:r>
        <w:rPr>
          <w:rFonts w:eastAsia="Calibri"/>
          <w:lang w:eastAsia="en-US"/>
        </w:rPr>
        <w:t xml:space="preserve"> </w:t>
      </w:r>
      <w:r w:rsidRPr="005E7AF7">
        <w:t>prezentovaná výzkumn</w:t>
      </w:r>
      <w:r>
        <w:t>á zjištění bylo možné předjímat</w:t>
      </w:r>
      <w:r w:rsidR="00A94282">
        <w:t>, publikace dokládá, že česká didaktika geografie má potenciál být svébytnou vědeckou disciplínou produkující originální empiricky ověřené poznatky</w:t>
      </w:r>
      <w:r>
        <w:t xml:space="preserve">. </w:t>
      </w:r>
      <w:r w:rsidR="00A94282">
        <w:t>N</w:t>
      </w:r>
      <w:r w:rsidR="000A4BF8">
        <w:t>ejvětší</w:t>
      </w:r>
      <w:r>
        <w:t xml:space="preserve"> přínos publikace </w:t>
      </w:r>
      <w:r w:rsidR="00745E61">
        <w:t xml:space="preserve">dle našeho názoru </w:t>
      </w:r>
      <w:r>
        <w:t xml:space="preserve">spočívá v tom, že </w:t>
      </w:r>
      <w:r w:rsidR="00925892" w:rsidRPr="005E7AF7">
        <w:t xml:space="preserve">jsme </w:t>
      </w:r>
      <w:r w:rsidR="004123E5" w:rsidRPr="005E7AF7">
        <w:t>především</w:t>
      </w:r>
      <w:r w:rsidR="00925892" w:rsidRPr="005E7AF7">
        <w:t xml:space="preserve"> dospěli k novému a zřetelněji pojatému problému</w:t>
      </w:r>
      <w:r w:rsidR="001B5161" w:rsidRPr="005E7AF7">
        <w:t xml:space="preserve">: Je možné, </w:t>
      </w:r>
      <w:r w:rsidR="00D6296D" w:rsidRPr="005E7AF7">
        <w:t xml:space="preserve">že se dlouhodobě jako učitelé patrně dopouštíme </w:t>
      </w:r>
      <w:r w:rsidR="001A2760" w:rsidRPr="005E7AF7">
        <w:t>některých</w:t>
      </w:r>
      <w:r w:rsidR="00D6296D" w:rsidRPr="005E7AF7">
        <w:t xml:space="preserve"> didaktogenních chyb</w:t>
      </w:r>
      <w:r w:rsidR="00EE5D56" w:rsidRPr="005E7AF7">
        <w:t xml:space="preserve">, které do </w:t>
      </w:r>
      <w:r w:rsidR="001A2760" w:rsidRPr="005E7AF7">
        <w:t>jist</w:t>
      </w:r>
      <w:r w:rsidR="00EE5D56" w:rsidRPr="005E7AF7">
        <w:t xml:space="preserve">é míry mohou být pouze chybami technologickými. Je otázkou, kolik dílčích </w:t>
      </w:r>
      <w:r w:rsidR="00CD7B48" w:rsidRPr="005E7AF7">
        <w:t xml:space="preserve">kritických </w:t>
      </w:r>
      <w:r w:rsidR="00EE5D56" w:rsidRPr="005E7AF7">
        <w:t>analýz</w:t>
      </w:r>
      <w:r w:rsidR="007748B3">
        <w:t xml:space="preserve"> učebnic a</w:t>
      </w:r>
      <w:r w:rsidR="00EE5D56" w:rsidRPr="005E7AF7">
        <w:t xml:space="preserve"> výuky je třeba, aby</w:t>
      </w:r>
      <w:r w:rsidR="0024088C" w:rsidRPr="005E7AF7">
        <w:t>chom se z těchto chyb poučili. Na druhou stranu ale není nutné bít na poplach</w:t>
      </w:r>
      <w:r w:rsidR="00CD7B48" w:rsidRPr="005E7AF7">
        <w:t>.</w:t>
      </w:r>
      <w:r w:rsidR="0024088C" w:rsidRPr="005E7AF7">
        <w:t xml:space="preserve"> </w:t>
      </w:r>
      <w:r w:rsidR="00CD7B48" w:rsidRPr="005E7AF7">
        <w:t>Povaha některých chyb totiž u</w:t>
      </w:r>
      <w:r w:rsidR="00EE5D56" w:rsidRPr="005E7AF7">
        <w:t xml:space="preserve">kazuje, že </w:t>
      </w:r>
      <w:r w:rsidR="00CD7B48" w:rsidRPr="005E7AF7">
        <w:t xml:space="preserve">k výraznému zlepšení kvality </w:t>
      </w:r>
      <w:r w:rsidR="00EE5D56" w:rsidRPr="005E7AF7">
        <w:t>někter</w:t>
      </w:r>
      <w:r w:rsidR="00CD7B48" w:rsidRPr="005E7AF7">
        <w:t>ých</w:t>
      </w:r>
      <w:r w:rsidR="00EE5D56" w:rsidRPr="005E7AF7">
        <w:t xml:space="preserve"> didaktických situací </w:t>
      </w:r>
      <w:r w:rsidR="00CD7B48" w:rsidRPr="005E7AF7">
        <w:t xml:space="preserve">vede </w:t>
      </w:r>
      <w:r w:rsidR="0024088C" w:rsidRPr="005E7AF7">
        <w:t xml:space="preserve">pouze </w:t>
      </w:r>
      <w:r w:rsidR="00CD7B48" w:rsidRPr="005E7AF7">
        <w:t>jejich lepší didaktická strukturace</w:t>
      </w:r>
      <w:r w:rsidR="0024088C" w:rsidRPr="005E7AF7">
        <w:t xml:space="preserve">, případně </w:t>
      </w:r>
      <w:r w:rsidR="001B5161" w:rsidRPr="005E7AF7">
        <w:t>jejich</w:t>
      </w:r>
      <w:r w:rsidR="00CD7B48" w:rsidRPr="005E7AF7">
        <w:t xml:space="preserve"> dotažení</w:t>
      </w:r>
      <w:r w:rsidR="00EE5D56" w:rsidRPr="005E7AF7">
        <w:t xml:space="preserve"> </w:t>
      </w:r>
      <w:r w:rsidR="00CD7B48" w:rsidRPr="005E7AF7">
        <w:t>po</w:t>
      </w:r>
      <w:r w:rsidR="008724E1" w:rsidRPr="005E7AF7">
        <w:t>d</w:t>
      </w:r>
      <w:r w:rsidR="00CD7B48" w:rsidRPr="005E7AF7">
        <w:t xml:space="preserve"> zorným úhlem </w:t>
      </w:r>
      <w:r w:rsidR="00107595" w:rsidRPr="005E7AF7">
        <w:t>požadavku na utváření a rozvíjení kompetence k řešení problémů</w:t>
      </w:r>
      <w:r>
        <w:t xml:space="preserve">. </w:t>
      </w:r>
      <w:r w:rsidR="000A4BF8" w:rsidRPr="005E7AF7">
        <w:t>Pozitivním výsledkem výzkumu prezentovaného v této práci nemusí být pouze splnění cílů, jež jsme si předsevzali, ale také formulace řady nových otázek a problémů a směrů pokračování dalšího bádání</w:t>
      </w:r>
      <w:r w:rsidR="007748B3">
        <w:t>.</w:t>
      </w:r>
    </w:p>
    <w:p w:rsidR="001D1885" w:rsidRDefault="001D1885" w:rsidP="00CE5AF1">
      <w:pPr>
        <w:autoSpaceDE w:val="0"/>
        <w:autoSpaceDN w:val="0"/>
        <w:adjustRightInd w:val="0"/>
        <w:spacing w:after="120" w:line="276" w:lineRule="auto"/>
        <w:jc w:val="both"/>
      </w:pPr>
      <w:r w:rsidRPr="001D1885">
        <w:t xml:space="preserve">V úvodu publikace odkazujeme na Popperovu triádu </w:t>
      </w:r>
      <w:r w:rsidRPr="001D1885">
        <w:rPr>
          <w:i/>
        </w:rPr>
        <w:t>problém – pokusy o jeho řešení – eliminace problému</w:t>
      </w:r>
      <w:r w:rsidRPr="001D1885">
        <w:t xml:space="preserve">, kterou její autor v případě vědy rozšířil o čtvrtou fázi spočívající v hledání </w:t>
      </w:r>
      <w:r w:rsidRPr="00745E61">
        <w:rPr>
          <w:i/>
        </w:rPr>
        <w:t>nových</w:t>
      </w:r>
      <w:r w:rsidRPr="001D1885">
        <w:t xml:space="preserve"> problémů, které vyplývají z kritické diskuse o našich teoriích (</w:t>
      </w:r>
      <w:r w:rsidR="00B118EC">
        <w:t xml:space="preserve">srov. </w:t>
      </w:r>
      <w:r w:rsidRPr="001D1885">
        <w:t xml:space="preserve">Popper, 1997, s. 28). </w:t>
      </w:r>
      <w:r w:rsidR="00745E61">
        <w:t>Pokud mají být námi objevené</w:t>
      </w:r>
      <w:r w:rsidR="00745E61" w:rsidRPr="001D1885">
        <w:t xml:space="preserve"> </w:t>
      </w:r>
      <w:r w:rsidR="00745E61" w:rsidRPr="001D1885">
        <w:rPr>
          <w:i/>
        </w:rPr>
        <w:t>nové</w:t>
      </w:r>
      <w:r w:rsidR="00745E61">
        <w:t xml:space="preserve"> </w:t>
      </w:r>
      <w:r w:rsidR="00745E61" w:rsidRPr="001D1885">
        <w:t>problémy výzvou pro pedagogi</w:t>
      </w:r>
      <w:r w:rsidR="00745E61">
        <w:t>cký i oborově didaktický výzkum</w:t>
      </w:r>
      <w:r w:rsidR="00745E61" w:rsidRPr="001D1885">
        <w:t xml:space="preserve">, </w:t>
      </w:r>
      <w:r w:rsidR="00745E61">
        <w:t>je t</w:t>
      </w:r>
      <w:r w:rsidR="00517163">
        <w:t xml:space="preserve">řeba </w:t>
      </w:r>
      <w:r w:rsidR="007748B3">
        <w:t>je roz</w:t>
      </w:r>
      <w:r w:rsidR="00E07B83">
        <w:t>p</w:t>
      </w:r>
      <w:r w:rsidR="007748B3">
        <w:t>racovat</w:t>
      </w:r>
      <w:r w:rsidR="00517163">
        <w:t xml:space="preserve"> podrobněji, tzn. nekončit pouze </w:t>
      </w:r>
      <w:r>
        <w:t>konstatováním, že je třeba rozš</w:t>
      </w:r>
      <w:r w:rsidR="00945B31" w:rsidRPr="005E7AF7">
        <w:t xml:space="preserve">ířit výzkumné pole, popsat nové fenomény, zlepšit výzkumnou </w:t>
      </w:r>
      <w:r w:rsidRPr="005E7AF7">
        <w:t>metodiku</w:t>
      </w:r>
      <w:r>
        <w:t xml:space="preserve"> a aplikovat</w:t>
      </w:r>
      <w:r w:rsidR="00945B31" w:rsidRPr="005E7AF7">
        <w:t xml:space="preserve"> výsledky výzkumu do praxe.</w:t>
      </w:r>
      <w:r>
        <w:t xml:space="preserve"> </w:t>
      </w:r>
      <w:r w:rsidR="00517163">
        <w:t xml:space="preserve">Po důkladném zvážení jako nosné považujeme </w:t>
      </w:r>
      <w:r w:rsidR="007748B3">
        <w:t xml:space="preserve">následující tři </w:t>
      </w:r>
      <w:r w:rsidR="00517163">
        <w:t xml:space="preserve">směry výzkumu: </w:t>
      </w:r>
    </w:p>
    <w:p w:rsidR="001D1885" w:rsidRPr="00B615FD" w:rsidRDefault="00517163" w:rsidP="00FE68D6">
      <w:pPr>
        <w:pStyle w:val="Odstavecseseznamem"/>
        <w:numPr>
          <w:ilvl w:val="0"/>
          <w:numId w:val="32"/>
        </w:numPr>
        <w:spacing w:after="120"/>
        <w:ind w:left="568" w:hanging="284"/>
        <w:jc w:val="both"/>
        <w:rPr>
          <w:rFonts w:ascii="Times New Roman" w:hAnsi="Times New Roman"/>
          <w:sz w:val="24"/>
        </w:rPr>
      </w:pPr>
      <w:r w:rsidRPr="00B615FD">
        <w:rPr>
          <w:rFonts w:ascii="Times New Roman" w:hAnsi="Times New Roman"/>
          <w:sz w:val="24"/>
        </w:rPr>
        <w:t>V</w:t>
      </w:r>
      <w:r w:rsidR="008369A9" w:rsidRPr="00B615FD">
        <w:rPr>
          <w:rFonts w:ascii="Times New Roman" w:hAnsi="Times New Roman"/>
          <w:sz w:val="24"/>
        </w:rPr>
        <w:t>yužívání nabízených příležitostí k utváření a rozv</w:t>
      </w:r>
      <w:r w:rsidRPr="00B615FD">
        <w:rPr>
          <w:rFonts w:ascii="Times New Roman" w:hAnsi="Times New Roman"/>
          <w:sz w:val="24"/>
        </w:rPr>
        <w:t>í</w:t>
      </w:r>
      <w:r w:rsidR="002E3E54" w:rsidRPr="00B615FD">
        <w:rPr>
          <w:rFonts w:ascii="Times New Roman" w:hAnsi="Times New Roman"/>
          <w:sz w:val="24"/>
        </w:rPr>
        <w:t xml:space="preserve">jení kompetencí ze strany žáků. </w:t>
      </w:r>
      <w:r w:rsidR="008369A9" w:rsidRPr="00B615FD">
        <w:rPr>
          <w:rFonts w:ascii="Times New Roman" w:hAnsi="Times New Roman"/>
          <w:sz w:val="24"/>
        </w:rPr>
        <w:t>Konkrétně bychom se rádi zaměřili na nadoborové i oborově specifické faktory, které mohou žákům ztěžovat hledání odpovědí na problémové otázky a úlohy. Jako inspirace může v tomto ohledu sloužit výzkum Rendla a Vondrové (2014), kteří se zaměřili na identifikaci kritických míst na základě hodnocení úspěšnosti žáků při řešení učebních úloh v matematice.</w:t>
      </w:r>
      <w:r w:rsidR="00202E53" w:rsidRPr="00B615FD">
        <w:rPr>
          <w:rFonts w:ascii="Times New Roman" w:hAnsi="Times New Roman"/>
          <w:sz w:val="24"/>
        </w:rPr>
        <w:t xml:space="preserve"> Samotnou výzvou pro další zkoumání je </w:t>
      </w:r>
      <w:r w:rsidR="001E6A41" w:rsidRPr="00B615FD">
        <w:rPr>
          <w:rFonts w:ascii="Times New Roman" w:hAnsi="Times New Roman"/>
          <w:sz w:val="24"/>
        </w:rPr>
        <w:t xml:space="preserve">také </w:t>
      </w:r>
      <w:r w:rsidR="00202E53" w:rsidRPr="00B615FD">
        <w:rPr>
          <w:rFonts w:ascii="Times New Roman" w:hAnsi="Times New Roman"/>
          <w:sz w:val="24"/>
        </w:rPr>
        <w:t xml:space="preserve">proces řešení problémových geografických úloh. </w:t>
      </w:r>
    </w:p>
    <w:p w:rsidR="008F6837" w:rsidRPr="00B615FD" w:rsidRDefault="002E3E54" w:rsidP="00FE68D6">
      <w:pPr>
        <w:pStyle w:val="Odstavecseseznamem"/>
        <w:numPr>
          <w:ilvl w:val="0"/>
          <w:numId w:val="32"/>
        </w:numPr>
        <w:spacing w:after="120"/>
        <w:ind w:left="568" w:hanging="284"/>
        <w:jc w:val="both"/>
        <w:rPr>
          <w:rFonts w:ascii="Times New Roman" w:hAnsi="Times New Roman"/>
          <w:sz w:val="24"/>
        </w:rPr>
      </w:pPr>
      <w:r w:rsidRPr="00B615FD">
        <w:rPr>
          <w:rFonts w:ascii="Times New Roman" w:hAnsi="Times New Roman"/>
          <w:sz w:val="24"/>
        </w:rPr>
        <w:t>Z</w:t>
      </w:r>
      <w:r w:rsidR="00517163" w:rsidRPr="00B615FD">
        <w:rPr>
          <w:rFonts w:ascii="Times New Roman" w:hAnsi="Times New Roman"/>
          <w:sz w:val="24"/>
        </w:rPr>
        <w:t xml:space="preserve">koumání </w:t>
      </w:r>
      <w:r w:rsidR="00CE5AF1" w:rsidRPr="00B615FD">
        <w:rPr>
          <w:rFonts w:ascii="Times New Roman" w:hAnsi="Times New Roman"/>
          <w:sz w:val="24"/>
        </w:rPr>
        <w:t xml:space="preserve">(kvality) </w:t>
      </w:r>
      <w:r w:rsidR="00517163" w:rsidRPr="00B615FD">
        <w:rPr>
          <w:rFonts w:ascii="Times New Roman" w:hAnsi="Times New Roman"/>
          <w:sz w:val="24"/>
        </w:rPr>
        <w:t>výuky zeměpisu</w:t>
      </w:r>
      <w:r w:rsidR="00CE5AF1" w:rsidRPr="00B615FD">
        <w:rPr>
          <w:rFonts w:ascii="Times New Roman" w:hAnsi="Times New Roman"/>
          <w:sz w:val="24"/>
        </w:rPr>
        <w:t xml:space="preserve"> vč. sběru většího množství kontextových dat</w:t>
      </w:r>
      <w:r w:rsidR="00517163" w:rsidRPr="00B615FD">
        <w:rPr>
          <w:rFonts w:ascii="Times New Roman" w:hAnsi="Times New Roman"/>
          <w:sz w:val="24"/>
        </w:rPr>
        <w:t>.</w:t>
      </w:r>
      <w:r w:rsidR="00CE5AF1" w:rsidRPr="00B615FD">
        <w:rPr>
          <w:rFonts w:ascii="Times New Roman" w:hAnsi="Times New Roman"/>
          <w:sz w:val="24"/>
        </w:rPr>
        <w:t xml:space="preserve"> </w:t>
      </w:r>
      <w:r w:rsidR="00705D51" w:rsidRPr="00B615FD">
        <w:rPr>
          <w:rFonts w:ascii="Times New Roman" w:hAnsi="Times New Roman"/>
          <w:sz w:val="24"/>
        </w:rPr>
        <w:t>U</w:t>
      </w:r>
      <w:r w:rsidR="008F6837" w:rsidRPr="00B615FD">
        <w:rPr>
          <w:rFonts w:ascii="Times New Roman" w:hAnsi="Times New Roman"/>
          <w:sz w:val="24"/>
        </w:rPr>
        <w:t xml:space="preserve">čitelé potřebují mnohem více času na zprostředkování klíčových konceptů a idejí, jež utváří charakter konkrétního vyučovacího předmětu. Aby bylo možné tyto podprahové a dlouhodobé cíle identifikovat, bylo by třeba povrchové i hloubkové struktury výuky pozorovat v delším časovém horizontu a na výrazně větším </w:t>
      </w:r>
      <w:r w:rsidR="00705D51" w:rsidRPr="00B615FD">
        <w:rPr>
          <w:rFonts w:ascii="Times New Roman" w:hAnsi="Times New Roman"/>
          <w:sz w:val="24"/>
        </w:rPr>
        <w:t xml:space="preserve">a pestřejším </w:t>
      </w:r>
      <w:r w:rsidR="008F6837" w:rsidRPr="00B615FD">
        <w:rPr>
          <w:rFonts w:ascii="Times New Roman" w:hAnsi="Times New Roman"/>
          <w:sz w:val="24"/>
        </w:rPr>
        <w:t xml:space="preserve">výzkumném vzorku. </w:t>
      </w:r>
      <w:r w:rsidR="00CE5AF1" w:rsidRPr="00B615FD">
        <w:rPr>
          <w:rFonts w:ascii="Times New Roman" w:hAnsi="Times New Roman"/>
          <w:sz w:val="24"/>
        </w:rPr>
        <w:t>Za tímto účelem je možné využít m</w:t>
      </w:r>
      <w:r w:rsidR="008F6837" w:rsidRPr="00B615FD">
        <w:rPr>
          <w:rFonts w:ascii="Times New Roman" w:hAnsi="Times New Roman"/>
          <w:sz w:val="24"/>
        </w:rPr>
        <w:t>etod</w:t>
      </w:r>
      <w:r w:rsidR="00CE5AF1" w:rsidRPr="00B615FD">
        <w:rPr>
          <w:rFonts w:ascii="Times New Roman" w:hAnsi="Times New Roman"/>
          <w:sz w:val="24"/>
        </w:rPr>
        <w:t>u</w:t>
      </w:r>
      <w:r w:rsidR="008F6837" w:rsidRPr="00B615FD">
        <w:rPr>
          <w:rFonts w:ascii="Times New Roman" w:hAnsi="Times New Roman"/>
          <w:sz w:val="24"/>
        </w:rPr>
        <w:t xml:space="preserve"> videostudie, jak dokazují například výzkumy výuky matematiky (</w:t>
      </w:r>
      <w:r w:rsidR="00CE5AF1" w:rsidRPr="00B615FD">
        <w:rPr>
          <w:rFonts w:ascii="Times New Roman" w:hAnsi="Times New Roman"/>
          <w:sz w:val="24"/>
        </w:rPr>
        <w:t>srov. Reusser, Pauli, &amp; Waldis, 2010), případně rozsáhlejší dotazníková šetření zastřešená koncept</w:t>
      </w:r>
      <w:r w:rsidR="00705D51" w:rsidRPr="00B615FD">
        <w:rPr>
          <w:rFonts w:ascii="Times New Roman" w:hAnsi="Times New Roman"/>
          <w:sz w:val="24"/>
        </w:rPr>
        <w:t>y</w:t>
      </w:r>
      <w:r w:rsidR="00CE5AF1" w:rsidRPr="00B615FD">
        <w:rPr>
          <w:rFonts w:ascii="Times New Roman" w:hAnsi="Times New Roman"/>
          <w:sz w:val="24"/>
        </w:rPr>
        <w:t xml:space="preserve"> příležitostí k uč</w:t>
      </w:r>
      <w:r w:rsidR="00CE5AF1" w:rsidRPr="00247642">
        <w:rPr>
          <w:rFonts w:ascii="Times New Roman" w:hAnsi="Times New Roman"/>
          <w:sz w:val="24"/>
        </w:rPr>
        <w:t xml:space="preserve">ení (srov. </w:t>
      </w:r>
      <w:r w:rsidR="00247642" w:rsidRPr="00247642">
        <w:rPr>
          <w:rFonts w:ascii="Times New Roman" w:hAnsi="Times New Roman"/>
          <w:sz w:val="24"/>
        </w:rPr>
        <w:t>Martínez et al., 2010</w:t>
      </w:r>
      <w:r w:rsidR="00CE5AF1" w:rsidRPr="00247642">
        <w:rPr>
          <w:rFonts w:ascii="Times New Roman" w:hAnsi="Times New Roman"/>
          <w:sz w:val="24"/>
        </w:rPr>
        <w:t>)</w:t>
      </w:r>
      <w:r w:rsidR="00CE5AF1" w:rsidRPr="00B615FD">
        <w:rPr>
          <w:rFonts w:ascii="Times New Roman" w:hAnsi="Times New Roman"/>
          <w:sz w:val="24"/>
        </w:rPr>
        <w:t xml:space="preserve">, </w:t>
      </w:r>
      <w:r w:rsidR="00B1759D">
        <w:rPr>
          <w:rFonts w:ascii="Times New Roman" w:hAnsi="Times New Roman"/>
          <w:sz w:val="24"/>
        </w:rPr>
        <w:t>nebo přístupy založené na expertním posuzování</w:t>
      </w:r>
      <w:r w:rsidR="00CE5AF1" w:rsidRPr="00B615FD">
        <w:rPr>
          <w:rFonts w:ascii="Times New Roman" w:hAnsi="Times New Roman"/>
          <w:sz w:val="24"/>
        </w:rPr>
        <w:t xml:space="preserve"> kvality výuky (</w:t>
      </w:r>
      <w:r w:rsidR="00CE5AF1" w:rsidRPr="00447A75">
        <w:rPr>
          <w:rFonts w:ascii="Times New Roman" w:hAnsi="Times New Roman"/>
          <w:sz w:val="24"/>
        </w:rPr>
        <w:t xml:space="preserve">srov. </w:t>
      </w:r>
      <w:r w:rsidR="00447A75" w:rsidRPr="00447A75">
        <w:rPr>
          <w:rFonts w:ascii="Times New Roman" w:hAnsi="Times New Roman"/>
          <w:sz w:val="24"/>
        </w:rPr>
        <w:t>Zlatníček &amp; Pešková, 2012</w:t>
      </w:r>
      <w:r w:rsidR="00CE5AF1" w:rsidRPr="00447A75">
        <w:rPr>
          <w:rFonts w:ascii="Times New Roman" w:hAnsi="Times New Roman"/>
          <w:sz w:val="24"/>
        </w:rPr>
        <w:t>).</w:t>
      </w:r>
    </w:p>
    <w:p w:rsidR="00525527" w:rsidRPr="00B615FD" w:rsidRDefault="00CE5AF1" w:rsidP="00FE68D6">
      <w:pPr>
        <w:pStyle w:val="Odstavecseseznamem"/>
        <w:numPr>
          <w:ilvl w:val="0"/>
          <w:numId w:val="32"/>
        </w:numPr>
        <w:spacing w:after="120"/>
        <w:ind w:left="568" w:hanging="284"/>
        <w:jc w:val="both"/>
        <w:rPr>
          <w:rFonts w:ascii="Times New Roman" w:hAnsi="Times New Roman"/>
          <w:sz w:val="24"/>
        </w:rPr>
      </w:pPr>
      <w:r w:rsidRPr="00B615FD">
        <w:rPr>
          <w:rFonts w:ascii="Times New Roman" w:hAnsi="Times New Roman"/>
          <w:sz w:val="24"/>
        </w:rPr>
        <w:t>Kritické zhodnocení kurikulárních</w:t>
      </w:r>
      <w:r w:rsidR="00393BCE" w:rsidRPr="00B615FD">
        <w:rPr>
          <w:rFonts w:ascii="Times New Roman" w:hAnsi="Times New Roman"/>
          <w:sz w:val="24"/>
        </w:rPr>
        <w:t xml:space="preserve"> projektů z</w:t>
      </w:r>
      <w:r w:rsidRPr="00B615FD">
        <w:rPr>
          <w:rFonts w:ascii="Times New Roman" w:hAnsi="Times New Roman"/>
          <w:sz w:val="24"/>
        </w:rPr>
        <w:t> </w:t>
      </w:r>
      <w:r w:rsidR="00393BCE" w:rsidRPr="00B615FD">
        <w:rPr>
          <w:rFonts w:ascii="Times New Roman" w:hAnsi="Times New Roman"/>
          <w:sz w:val="24"/>
        </w:rPr>
        <w:t>minulosti</w:t>
      </w:r>
      <w:r w:rsidRPr="00B615FD">
        <w:rPr>
          <w:rFonts w:ascii="Times New Roman" w:hAnsi="Times New Roman"/>
          <w:sz w:val="24"/>
        </w:rPr>
        <w:t xml:space="preserve"> i souča</w:t>
      </w:r>
      <w:r w:rsidR="00A46AAB" w:rsidRPr="00B615FD">
        <w:rPr>
          <w:rFonts w:ascii="Times New Roman" w:hAnsi="Times New Roman"/>
          <w:sz w:val="24"/>
        </w:rPr>
        <w:t>snosti</w:t>
      </w:r>
      <w:r w:rsidR="002E3E54" w:rsidRPr="00B615FD">
        <w:rPr>
          <w:rFonts w:ascii="Times New Roman" w:hAnsi="Times New Roman"/>
          <w:sz w:val="24"/>
        </w:rPr>
        <w:t xml:space="preserve"> a jejich vlivu na podobu, cíle a obsahy vzdělávání.</w:t>
      </w:r>
      <w:r w:rsidR="00393BCE" w:rsidRPr="00B615FD">
        <w:rPr>
          <w:rFonts w:ascii="Times New Roman" w:hAnsi="Times New Roman"/>
          <w:sz w:val="24"/>
        </w:rPr>
        <w:t xml:space="preserve"> </w:t>
      </w:r>
      <w:r w:rsidR="00705D51" w:rsidRPr="00B615FD">
        <w:rPr>
          <w:rFonts w:ascii="Times New Roman" w:hAnsi="Times New Roman"/>
          <w:sz w:val="24"/>
        </w:rPr>
        <w:t>Je třeba zkoumat důvody, proč se dlouhodobě nedaří měnit školní (geografické) vzdělávání</w:t>
      </w:r>
      <w:r w:rsidR="007748B3">
        <w:rPr>
          <w:rFonts w:ascii="Times New Roman" w:hAnsi="Times New Roman"/>
          <w:sz w:val="24"/>
        </w:rPr>
        <w:t>, aby bylo</w:t>
      </w:r>
      <w:r w:rsidR="00705D51" w:rsidRPr="00B615FD">
        <w:rPr>
          <w:rFonts w:ascii="Times New Roman" w:hAnsi="Times New Roman"/>
          <w:sz w:val="24"/>
        </w:rPr>
        <w:t xml:space="preserve"> v souladu s aktuálními </w:t>
      </w:r>
      <w:r w:rsidR="007748B3">
        <w:rPr>
          <w:rFonts w:ascii="Times New Roman" w:hAnsi="Times New Roman"/>
          <w:sz w:val="24"/>
        </w:rPr>
        <w:t xml:space="preserve">poznatky a </w:t>
      </w:r>
      <w:r w:rsidR="00705D51" w:rsidRPr="00B615FD">
        <w:rPr>
          <w:rFonts w:ascii="Times New Roman" w:hAnsi="Times New Roman"/>
          <w:sz w:val="24"/>
        </w:rPr>
        <w:t xml:space="preserve">doporučeními oborové didaktiky. Není třeba chodit daleko do minulosti. Projekt </w:t>
      </w:r>
      <w:r w:rsidR="00705D51" w:rsidRPr="00B615FD">
        <w:rPr>
          <w:rFonts w:ascii="Times New Roman" w:hAnsi="Times New Roman"/>
          <w:i/>
          <w:sz w:val="24"/>
        </w:rPr>
        <w:t>Další rozvoj československé výchovně vzdělávací soustavy</w:t>
      </w:r>
      <w:r w:rsidR="00705D51" w:rsidRPr="00B615FD">
        <w:rPr>
          <w:rFonts w:ascii="Times New Roman" w:hAnsi="Times New Roman"/>
          <w:sz w:val="24"/>
        </w:rPr>
        <w:t xml:space="preserve"> (1976) si jako jeden z prvořadých cílů vytýčil těsné sepětí školy se životem. Obdobně je tomu také v případě aktuálně platné reformy založené na utváření a rozvíjení kompetencí. </w:t>
      </w:r>
      <w:r w:rsidR="000A0A02">
        <w:rPr>
          <w:rFonts w:ascii="Times New Roman" w:hAnsi="Times New Roman"/>
          <w:sz w:val="24"/>
        </w:rPr>
        <w:t xml:space="preserve">Kritická reflexe kurikulárních reforem a důvodů jejich (ne)akceptace ze strany učitelů je patrně jedinou cestou, jak zjistit, proč žádná modernizovaná kurikula zpravidla nefungují tak, jak si jejich tvůrci představují. </w:t>
      </w:r>
      <w:r w:rsidRPr="00B615FD">
        <w:rPr>
          <w:rFonts w:ascii="Times New Roman" w:hAnsi="Times New Roman"/>
          <w:sz w:val="24"/>
        </w:rPr>
        <w:t xml:space="preserve">Štech (2013, s. 619) upozorňuje, že kompetence jsou </w:t>
      </w:r>
      <w:r w:rsidR="000A0A02">
        <w:rPr>
          <w:rFonts w:ascii="Times New Roman" w:hAnsi="Times New Roman"/>
          <w:sz w:val="24"/>
        </w:rPr>
        <w:t>dalším</w:t>
      </w:r>
      <w:r w:rsidRPr="00B615FD">
        <w:rPr>
          <w:rFonts w:ascii="Times New Roman" w:hAnsi="Times New Roman"/>
          <w:sz w:val="24"/>
        </w:rPr>
        <w:t xml:space="preserve"> z mnoha pokusů o řešení diskontinuity mezi školní a mimoškolní výukou, která je hlavním motivem reforem školního vzdělávání v posledních 130 letech. </w:t>
      </w:r>
    </w:p>
    <w:p w:rsidR="00820B58" w:rsidRPr="005E7AF7" w:rsidRDefault="002E3E54" w:rsidP="00B967DE">
      <w:pPr>
        <w:spacing w:after="120" w:line="276" w:lineRule="auto"/>
        <w:jc w:val="both"/>
      </w:pPr>
      <w:r>
        <w:t>Mi</w:t>
      </w:r>
      <w:r w:rsidR="00820B58">
        <w:t xml:space="preserve">mo výše uvedených hlavních směrů bádání je možné identifikovat </w:t>
      </w:r>
      <w:r w:rsidR="007748B3">
        <w:t xml:space="preserve">také </w:t>
      </w:r>
      <w:r w:rsidR="00820B58">
        <w:t xml:space="preserve">další výzvy pro výzkum v didaktice geografie. Jedná se především o </w:t>
      </w:r>
      <w:r w:rsidR="00820B58" w:rsidRPr="005E7AF7">
        <w:t xml:space="preserve">srovnávání učebních úloh </w:t>
      </w:r>
      <w:r w:rsidR="00820B58">
        <w:t>v učebnicí</w:t>
      </w:r>
      <w:r w:rsidR="002575DD">
        <w:t>c</w:t>
      </w:r>
      <w:r w:rsidR="00820B58">
        <w:t xml:space="preserve">h a ve výuce </w:t>
      </w:r>
      <w:r w:rsidR="00820B58" w:rsidRPr="005E7AF7">
        <w:t>na různých stupních a typech škol (</w:t>
      </w:r>
      <w:r w:rsidR="00820B58">
        <w:t>na odlišné charakteristiky učebních úloh na různých typech německých škol</w:t>
      </w:r>
      <w:r w:rsidR="00820B58" w:rsidRPr="005E7AF7">
        <w:t xml:space="preserve"> </w:t>
      </w:r>
      <w:r w:rsidR="00820B58">
        <w:t xml:space="preserve">poukázal např. </w:t>
      </w:r>
      <w:r w:rsidR="00820B58" w:rsidRPr="005E7AF7">
        <w:t>Kleinknecht, 2010</w:t>
      </w:r>
      <w:r w:rsidR="00820B58">
        <w:t>). Nevíme také,</w:t>
      </w:r>
      <w:r w:rsidR="00820B58" w:rsidRPr="005E7AF7">
        <w:t xml:space="preserve"> jak </w:t>
      </w:r>
      <w:r w:rsidR="00B967DE">
        <w:t>nahlížejí výukové situace</w:t>
      </w:r>
      <w:r w:rsidR="00B967DE" w:rsidRPr="005E7AF7">
        <w:t>, které byly v této publikaci posouzeny jako nos</w:t>
      </w:r>
      <w:r w:rsidR="00B967DE">
        <w:t>né z hlediska jejich potenciálu</w:t>
      </w:r>
      <w:r w:rsidR="00B967DE" w:rsidRPr="005E7AF7">
        <w:t> utváře</w:t>
      </w:r>
      <w:r w:rsidR="00B967DE">
        <w:t>t</w:t>
      </w:r>
      <w:r w:rsidR="00B967DE" w:rsidRPr="005E7AF7">
        <w:t xml:space="preserve"> a rozvíje</w:t>
      </w:r>
      <w:r w:rsidR="00B967DE">
        <w:t>t</w:t>
      </w:r>
      <w:r w:rsidR="00B967DE" w:rsidRPr="005E7AF7">
        <w:t xml:space="preserve"> kompetence k řešení problémů</w:t>
      </w:r>
      <w:r w:rsidR="00D01317">
        <w:t>,</w:t>
      </w:r>
      <w:r w:rsidR="00B967DE">
        <w:t xml:space="preserve"> </w:t>
      </w:r>
      <w:r w:rsidR="00820B58" w:rsidRPr="005E7AF7">
        <w:t>učitelé</w:t>
      </w:r>
      <w:r w:rsidR="00820B58">
        <w:t>, žáci, oboroví</w:t>
      </w:r>
      <w:r w:rsidR="00820B58" w:rsidRPr="005E7AF7">
        <w:t xml:space="preserve"> didaktici</w:t>
      </w:r>
      <w:r w:rsidR="00820B58">
        <w:t xml:space="preserve">, příp. </w:t>
      </w:r>
      <w:r w:rsidR="00B967DE">
        <w:t>pedagogičtí výzkumníci</w:t>
      </w:r>
      <w:r w:rsidR="00820B58" w:rsidRPr="005E7AF7">
        <w:t>.</w:t>
      </w:r>
      <w:r w:rsidR="00B967DE">
        <w:t xml:space="preserve"> Nedávno publikovaný výzkum Žáka (2014) na příkladu hodnocení výuky fyziky naznačuje, že mezi jednotlivými aktéry vzdělávacího procesu není jednoduché dosáhnout sdíleného porozumění </w:t>
      </w:r>
      <w:r w:rsidR="00AD5C9F">
        <w:t xml:space="preserve">a interpretace </w:t>
      </w:r>
      <w:r w:rsidR="00B967DE">
        <w:t>dění, které se odehrává ve výuce.</w:t>
      </w:r>
    </w:p>
    <w:p w:rsidR="00B615FD" w:rsidRDefault="00B615FD">
      <w:pPr>
        <w:rPr>
          <w:color w:val="548DD4"/>
        </w:rPr>
      </w:pPr>
      <w:r>
        <w:rPr>
          <w:color w:val="548DD4"/>
        </w:rPr>
        <w:br w:type="page"/>
      </w:r>
    </w:p>
    <w:p w:rsidR="00DF4FB1" w:rsidRPr="00DF4FB1" w:rsidRDefault="003C09FF" w:rsidP="00000363">
      <w:pPr>
        <w:pStyle w:val="Nadpis1"/>
        <w:numPr>
          <w:ilvl w:val="0"/>
          <w:numId w:val="0"/>
        </w:numPr>
        <w:spacing w:before="0" w:after="120" w:line="276" w:lineRule="auto"/>
        <w:ind w:left="357" w:hanging="357"/>
      </w:pPr>
      <w:bookmarkStart w:id="124" w:name="_Toc399775452"/>
      <w:r w:rsidRPr="003C09FF">
        <w:t xml:space="preserve">Doporučení pro </w:t>
      </w:r>
      <w:r>
        <w:t>vzdělávací politiku</w:t>
      </w:r>
      <w:r w:rsidR="00B967DE">
        <w:t>, tvorbu učebnic</w:t>
      </w:r>
      <w:r>
        <w:t xml:space="preserve"> a </w:t>
      </w:r>
      <w:r w:rsidRPr="003C09FF">
        <w:t>praxi</w:t>
      </w:r>
      <w:bookmarkEnd w:id="124"/>
    </w:p>
    <w:p w:rsidR="00BE6CF6" w:rsidRDefault="00B967DE" w:rsidP="00000363">
      <w:pPr>
        <w:spacing w:after="120" w:line="276" w:lineRule="auto"/>
        <w:jc w:val="both"/>
      </w:pPr>
      <w:r>
        <w:t>Poslední k</w:t>
      </w:r>
      <w:r w:rsidR="00BE6CF6" w:rsidRPr="00E43C8F">
        <w:t xml:space="preserve">apitola </w:t>
      </w:r>
      <w:r>
        <w:t xml:space="preserve">publikace </w:t>
      </w:r>
      <w:r w:rsidR="00BE6CF6" w:rsidRPr="00E43C8F">
        <w:t xml:space="preserve">má ve srovnání s předchozími kapitolami mírně odlišný charakter. Kapitolu pojímáme jako </w:t>
      </w:r>
      <w:r w:rsidR="00AD5C9F">
        <w:t>syntézu</w:t>
      </w:r>
      <w:r w:rsidR="00BE6CF6" w:rsidRPr="00E43C8F">
        <w:t xml:space="preserve"> předchozího sdělení s výrazným přesahem směrem do budoucnosti. Měla by motivovat čtenáře k vlastní kritické reflexi námi uváděných myšlenek a případně ho přesvědčit k</w:t>
      </w:r>
      <w:r w:rsidR="00E07B83">
        <w:t> </w:t>
      </w:r>
      <w:r w:rsidR="00BE6CF6" w:rsidRPr="00E43C8F">
        <w:t>opětovné</w:t>
      </w:r>
      <w:r w:rsidR="00E07B83">
        <w:t xml:space="preserve"> kritické reflexi</w:t>
      </w:r>
      <w:r w:rsidR="00BE6CF6" w:rsidRPr="00E43C8F">
        <w:t xml:space="preserve"> některých pasáží. </w:t>
      </w:r>
      <w:r w:rsidR="00BE6CF6" w:rsidRPr="005770EB">
        <w:t>Důraz na utváření a rozvíjení kompetencí</w:t>
      </w:r>
      <w:r w:rsidR="00BE6CF6">
        <w:t>, který vedl mimo jiné ke vzniku této publikace,</w:t>
      </w:r>
      <w:r w:rsidR="00BE6CF6" w:rsidRPr="005770EB">
        <w:t xml:space="preserve"> upozornil na </w:t>
      </w:r>
      <w:r w:rsidR="00BE6CF6">
        <w:t xml:space="preserve">obecnější </w:t>
      </w:r>
      <w:r w:rsidR="00BE6CF6" w:rsidRPr="005770EB">
        <w:t xml:space="preserve">problémy školního vzdělávání. </w:t>
      </w:r>
    </w:p>
    <w:p w:rsidR="00DF4FB1" w:rsidRDefault="00BE6CF6" w:rsidP="00000363">
      <w:pPr>
        <w:autoSpaceDE w:val="0"/>
        <w:autoSpaceDN w:val="0"/>
        <w:adjustRightInd w:val="0"/>
        <w:spacing w:after="120" w:line="276" w:lineRule="auto"/>
        <w:jc w:val="both"/>
      </w:pPr>
      <w:r w:rsidRPr="00D42D2E">
        <w:t xml:space="preserve">Obecní a oboroví didaktikové neustále usilují o vytvoření obecně platného modelu učení, který by sloužil jako východisko pro legitimizaci jimi navrhovaných didaktických postupů a doporučení. Zákonitosti učení a poznávání prozatím nebyly zmapovány natolik, aby bylo na jejich základě možné obecně platný model učení vytvořit. Učení je složitý multifaktoriální proces, který se odehrává na </w:t>
      </w:r>
      <w:r w:rsidR="008A14FA">
        <w:t>proměnlivém</w:t>
      </w:r>
      <w:r w:rsidRPr="00D42D2E">
        <w:t xml:space="preserve"> individuálně diferencovaném pozadí osobnosti i obsahu a konkrétních vnějších podmínek (</w:t>
      </w:r>
      <w:r w:rsidR="00E07B83">
        <w:t xml:space="preserve">srov. </w:t>
      </w:r>
      <w:r w:rsidRPr="00D42D2E">
        <w:t>Kulič, 1992, s. 75).</w:t>
      </w:r>
      <w:r w:rsidR="006C61C3">
        <w:t xml:space="preserve"> </w:t>
      </w:r>
      <w:r w:rsidR="00D42D2E" w:rsidRPr="00D42D2E">
        <w:t xml:space="preserve">Předkládaná práce má </w:t>
      </w:r>
      <w:r w:rsidR="00CB4607">
        <w:t xml:space="preserve">proto </w:t>
      </w:r>
      <w:r w:rsidR="00D42D2E" w:rsidRPr="00D42D2E">
        <w:t xml:space="preserve">ambici přispět </w:t>
      </w:r>
      <w:r w:rsidR="000B4A32">
        <w:t xml:space="preserve">spíše </w:t>
      </w:r>
      <w:r w:rsidR="00D42D2E" w:rsidRPr="00D42D2E">
        <w:t xml:space="preserve">ke zmapování aktuálního stavu praxe, než k jeho nápravě – veškerá vyplývající doporučení mají charakter expertně a zkušenostně podložených úvah, které tvoří první z pilířů didaktiky založené na důkazech. </w:t>
      </w:r>
    </w:p>
    <w:p w:rsidR="002F1647" w:rsidRPr="00E43C8F" w:rsidRDefault="00D01317" w:rsidP="00000363">
      <w:pPr>
        <w:spacing w:after="120" w:line="276" w:lineRule="auto"/>
        <w:jc w:val="both"/>
      </w:pPr>
      <w:r>
        <w:t>U</w:t>
      </w:r>
      <w:r w:rsidR="002F1647">
        <w:t>pozornili</w:t>
      </w:r>
      <w:r>
        <w:t xml:space="preserve"> jsme</w:t>
      </w:r>
      <w:r w:rsidR="002F1647">
        <w:t xml:space="preserve">, že učební úlohy tvoří klíčovou součást vzdělávání orientovaného na utváření a rozvíjení kompetencí. </w:t>
      </w:r>
      <w:r w:rsidR="005902D2" w:rsidRPr="00E43C8F">
        <w:t xml:space="preserve">Výsledky námi </w:t>
      </w:r>
      <w:r w:rsidR="00B118EC" w:rsidRPr="00E43C8F">
        <w:t>realizovaného</w:t>
      </w:r>
      <w:r w:rsidR="005902D2" w:rsidRPr="00E43C8F">
        <w:t xml:space="preserve"> výzkumu </w:t>
      </w:r>
      <w:r w:rsidR="002F1647">
        <w:t>nicméně</w:t>
      </w:r>
      <w:r w:rsidR="005902D2" w:rsidRPr="00E43C8F">
        <w:t xml:space="preserve"> umožňují zaujmout ke skl</w:t>
      </w:r>
      <w:r w:rsidR="00E632D5" w:rsidRPr="00E43C8F">
        <w:t>adbě učebních úloh v</w:t>
      </w:r>
      <w:r w:rsidR="005902D2" w:rsidRPr="00E43C8F">
        <w:t xml:space="preserve"> učebnicích i ve výuce </w:t>
      </w:r>
      <w:r w:rsidR="00E632D5" w:rsidRPr="00E43C8F">
        <w:t xml:space="preserve">kritický postoj. </w:t>
      </w:r>
      <w:r w:rsidR="002F1647">
        <w:t xml:space="preserve">S tím souvisí požadavek implementace nové kultury učebních úloh do vzdělávací praxe, jež by měl být výzvou a zároveň příležitostí pro oborové didaktiky. </w:t>
      </w:r>
      <w:r w:rsidR="008B4B1A" w:rsidRPr="00E43C8F">
        <w:rPr>
          <w:lang w:eastAsia="en-US"/>
        </w:rPr>
        <w:t xml:space="preserve">Bylo by naivní a romantické předpokládat, že dílčí mezery v procesu didaktického zprostředkování cílů a obsahů školního vzdělávání, na které jsme upozornili v této práci, je možné jednoduše překlenout tím, že budeme apelovat na autory učebnic a učitele, aby používali více </w:t>
      </w:r>
      <w:r w:rsidR="008A14FA">
        <w:rPr>
          <w:lang w:eastAsia="en-US"/>
        </w:rPr>
        <w:t xml:space="preserve">problémových </w:t>
      </w:r>
      <w:r w:rsidR="008B4B1A" w:rsidRPr="00E43C8F">
        <w:rPr>
          <w:lang w:eastAsia="en-US"/>
        </w:rPr>
        <w:t>učebních úloh.</w:t>
      </w:r>
      <w:r w:rsidR="006C61C3">
        <w:rPr>
          <w:lang w:eastAsia="en-US"/>
        </w:rPr>
        <w:t xml:space="preserve"> </w:t>
      </w:r>
      <w:r w:rsidR="00E632D5" w:rsidRPr="00E43C8F">
        <w:t xml:space="preserve">Hlubší </w:t>
      </w:r>
      <w:r w:rsidR="00B118EC" w:rsidRPr="00E43C8F">
        <w:t>interpretace</w:t>
      </w:r>
      <w:r w:rsidR="008B4B1A" w:rsidRPr="00E43C8F">
        <w:t xml:space="preserve"> výzkumných zjištění </w:t>
      </w:r>
      <w:r w:rsidR="00E632D5" w:rsidRPr="00E43C8F">
        <w:t xml:space="preserve">odhalila, že </w:t>
      </w:r>
      <w:r w:rsidR="008B4B1A" w:rsidRPr="00E43C8F">
        <w:t>doporučení tohoto typu ani související skepse nejsou</w:t>
      </w:r>
      <w:r w:rsidR="00E632D5" w:rsidRPr="00E43C8F">
        <w:t xml:space="preserve"> na místě, neboť </w:t>
      </w:r>
      <w:r w:rsidR="008B4B1A" w:rsidRPr="00E43C8F">
        <w:t xml:space="preserve">některé </w:t>
      </w:r>
      <w:r w:rsidR="00E632D5" w:rsidRPr="00E43C8F">
        <w:t>d</w:t>
      </w:r>
      <w:r w:rsidR="005902D2" w:rsidRPr="00E43C8F">
        <w:t>eficity, kter</w:t>
      </w:r>
      <w:r w:rsidR="00E632D5" w:rsidRPr="00E43C8F">
        <w:t xml:space="preserve">é jsme identifikovali, je možné </w:t>
      </w:r>
      <w:r w:rsidR="008B4B1A" w:rsidRPr="00E43C8F">
        <w:t>dle našeho názoru relativně snadno překlenout či eliminovat</w:t>
      </w:r>
      <w:r w:rsidR="00836211" w:rsidRPr="00E43C8F">
        <w:t xml:space="preserve">. </w:t>
      </w:r>
      <w:r w:rsidR="002F1647" w:rsidRPr="00E43C8F">
        <w:t xml:space="preserve">Za tímto účelem jsme vypracovali návrh konkrétních opatření, doplnění nebo alternativ ke stávající převládající praxi: </w:t>
      </w:r>
    </w:p>
    <w:p w:rsidR="005902D2" w:rsidRPr="00E037A1" w:rsidRDefault="005902D2" w:rsidP="00FE68D6">
      <w:pPr>
        <w:numPr>
          <w:ilvl w:val="0"/>
          <w:numId w:val="36"/>
        </w:numPr>
        <w:spacing w:after="120"/>
        <w:ind w:left="714" w:hanging="357"/>
        <w:jc w:val="both"/>
      </w:pPr>
      <w:r w:rsidRPr="00E43C8F">
        <w:rPr>
          <w:bCs/>
          <w:lang w:eastAsia="en-US"/>
        </w:rPr>
        <w:t>Učební úlohy ve větší míře zasazovat do smysluplného autentick</w:t>
      </w:r>
      <w:r w:rsidR="008B4B1A" w:rsidRPr="00E43C8F">
        <w:rPr>
          <w:bCs/>
          <w:lang w:eastAsia="en-US"/>
        </w:rPr>
        <w:t>ého kontextu, ze kterého je</w:t>
      </w:r>
      <w:r w:rsidRPr="00E43C8F">
        <w:rPr>
          <w:bCs/>
          <w:lang w:eastAsia="en-US"/>
        </w:rPr>
        <w:t xml:space="preserve"> patrná důležitost a významnost vzdělávacího obsahu pro žáka. </w:t>
      </w:r>
      <w:r w:rsidR="00ED0FAD">
        <w:t xml:space="preserve">Propojenost učiva s každodenními životními situacemi může </w:t>
      </w:r>
      <w:r w:rsidR="00ED0FAD" w:rsidRPr="00D507ED">
        <w:t>upoutat pozornost žáků a motivovat je</w:t>
      </w:r>
      <w:r w:rsidR="00137C93">
        <w:t xml:space="preserve"> k učení.</w:t>
      </w:r>
      <w:r w:rsidR="00E037A1">
        <w:t xml:space="preserve"> </w:t>
      </w:r>
      <w:r w:rsidRPr="00E037A1">
        <w:rPr>
          <w:bCs/>
          <w:lang w:eastAsia="en-US"/>
        </w:rPr>
        <w:t>Někteří autoři v této souvislosti hovoří o zvyšování ekologické validity učebních úloh.</w:t>
      </w:r>
      <w:r w:rsidRPr="00E43C8F">
        <w:rPr>
          <w:rStyle w:val="Znakapoznpodarou"/>
          <w:bCs/>
          <w:lang w:eastAsia="en-US"/>
        </w:rPr>
        <w:footnoteReference w:id="112"/>
      </w:r>
    </w:p>
    <w:p w:rsidR="005902D2" w:rsidRPr="00E43C8F" w:rsidRDefault="005902D2" w:rsidP="00FE68D6">
      <w:pPr>
        <w:numPr>
          <w:ilvl w:val="0"/>
          <w:numId w:val="36"/>
        </w:numPr>
        <w:spacing w:after="120" w:line="276" w:lineRule="auto"/>
        <w:ind w:left="714" w:hanging="357"/>
        <w:jc w:val="both"/>
      </w:pPr>
      <w:r w:rsidRPr="00E43C8F">
        <w:t>V zadání úloh ve větší</w:t>
      </w:r>
      <w:r w:rsidR="00393BCE">
        <w:t xml:space="preserve"> míře používat narativ (příběh), který zvyšuje autenticitu učebních úloh a zasazuje je do životu blízkých situací.</w:t>
      </w:r>
    </w:p>
    <w:p w:rsidR="005902D2" w:rsidRPr="00E43C8F" w:rsidRDefault="00E037A1" w:rsidP="00FE68D6">
      <w:pPr>
        <w:numPr>
          <w:ilvl w:val="0"/>
          <w:numId w:val="36"/>
        </w:numPr>
        <w:spacing w:after="120" w:line="276" w:lineRule="auto"/>
        <w:ind w:left="714" w:hanging="357"/>
        <w:jc w:val="both"/>
      </w:pPr>
      <w:r>
        <w:t>P</w:t>
      </w:r>
      <w:r w:rsidR="005902D2" w:rsidRPr="00E43C8F">
        <w:t xml:space="preserve">oužívat </w:t>
      </w:r>
      <w:r w:rsidR="00393BCE">
        <w:t xml:space="preserve">tzv. </w:t>
      </w:r>
      <w:r w:rsidR="005902D2" w:rsidRPr="00E43C8F">
        <w:t xml:space="preserve">didaktické operátory, aby bylo </w:t>
      </w:r>
      <w:r w:rsidR="00B615FD">
        <w:t xml:space="preserve">již </w:t>
      </w:r>
      <w:r w:rsidR="005902D2" w:rsidRPr="00E43C8F">
        <w:t xml:space="preserve">ze zadání učebních úloh </w:t>
      </w:r>
      <w:r w:rsidR="00B615FD">
        <w:t>jasné</w:t>
      </w:r>
      <w:r w:rsidR="005902D2" w:rsidRPr="00E43C8F">
        <w:t>, co se vlastně od žáků očekává, případně co má být hodnoceno.</w:t>
      </w:r>
    </w:p>
    <w:p w:rsidR="002B5B69" w:rsidRDefault="005902D2" w:rsidP="00FE68D6">
      <w:pPr>
        <w:numPr>
          <w:ilvl w:val="0"/>
          <w:numId w:val="36"/>
        </w:numPr>
        <w:spacing w:after="120" w:line="276" w:lineRule="auto"/>
        <w:ind w:left="714" w:hanging="357"/>
        <w:jc w:val="both"/>
      </w:pPr>
      <w:r w:rsidRPr="00E43C8F">
        <w:t>Učební úlohy t</w:t>
      </w:r>
      <w:r w:rsidR="00B615FD">
        <w:t>vořit se zřetelem k obecným i oborově specifickým</w:t>
      </w:r>
      <w:r w:rsidR="008A14FA">
        <w:t xml:space="preserve"> </w:t>
      </w:r>
      <w:r w:rsidR="00B615FD">
        <w:t>cílům</w:t>
      </w:r>
      <w:r w:rsidRPr="00E43C8F">
        <w:t xml:space="preserve"> vzdělávání</w:t>
      </w:r>
      <w:r w:rsidR="008A14FA">
        <w:t xml:space="preserve"> (definovaným kurikulárními dokumenty)</w:t>
      </w:r>
      <w:r w:rsidRPr="00E43C8F">
        <w:t>, při současném zachování akcentu na jejich obsahovou komponentu.</w:t>
      </w:r>
      <w:r w:rsidR="002B5B69" w:rsidRPr="002B5B69">
        <w:t xml:space="preserve"> </w:t>
      </w:r>
    </w:p>
    <w:p w:rsidR="002F1647" w:rsidRDefault="00B615FD" w:rsidP="00FE68D6">
      <w:pPr>
        <w:numPr>
          <w:ilvl w:val="0"/>
          <w:numId w:val="36"/>
        </w:numPr>
        <w:spacing w:after="120" w:line="276" w:lineRule="auto"/>
        <w:ind w:left="714" w:hanging="357"/>
      </w:pPr>
      <w:r>
        <w:t>V učebních úlohách k</w:t>
      </w:r>
      <w:r w:rsidR="002F1647">
        <w:t xml:space="preserve">lást důraz </w:t>
      </w:r>
      <w:r>
        <w:t xml:space="preserve">nejen </w:t>
      </w:r>
      <w:r w:rsidR="002F1647">
        <w:t>na upevňování faktografických/konceptuálních</w:t>
      </w:r>
      <w:r>
        <w:t xml:space="preserve"> znalostí</w:t>
      </w:r>
      <w:r w:rsidR="002F1647">
        <w:t>,</w:t>
      </w:r>
      <w:r>
        <w:t xml:space="preserve"> ale také na utváření a rozvíjen</w:t>
      </w:r>
      <w:r w:rsidR="003A38E5">
        <w:t>í</w:t>
      </w:r>
      <w:r>
        <w:t xml:space="preserve"> </w:t>
      </w:r>
      <w:r w:rsidR="002F1647">
        <w:t>procedurálních</w:t>
      </w:r>
      <w:r>
        <w:t xml:space="preserve"> a</w:t>
      </w:r>
      <w:r w:rsidR="002F1647">
        <w:t xml:space="preserve"> kontext</w:t>
      </w:r>
      <w:r w:rsidR="008A14FA">
        <w:t>uální</w:t>
      </w:r>
      <w:r w:rsidR="002F1647">
        <w:t>ch znalostí.</w:t>
      </w:r>
    </w:p>
    <w:p w:rsidR="002F1647" w:rsidRDefault="003A38E5" w:rsidP="00FE68D6">
      <w:pPr>
        <w:numPr>
          <w:ilvl w:val="0"/>
          <w:numId w:val="36"/>
        </w:numPr>
        <w:spacing w:after="120" w:line="276" w:lineRule="auto"/>
        <w:ind w:left="714" w:hanging="357"/>
        <w:jc w:val="both"/>
      </w:pPr>
      <w:r>
        <w:t>Využívat učební</w:t>
      </w:r>
      <w:r w:rsidR="002F1647">
        <w:t xml:space="preserve"> úlohy všech </w:t>
      </w:r>
      <w:r w:rsidR="008A14FA">
        <w:t>úrovní</w:t>
      </w:r>
      <w:r w:rsidR="002F1647">
        <w:t xml:space="preserve"> kognitivní náročnosti</w:t>
      </w:r>
      <w:r>
        <w:t>, a to přibližně ve stejném poměru.</w:t>
      </w:r>
      <w:r w:rsidR="00B615FD" w:rsidRPr="00B615FD">
        <w:t xml:space="preserve"> </w:t>
      </w:r>
      <w:r w:rsidR="008A14FA">
        <w:t>V ideálním případě by n</w:t>
      </w:r>
      <w:r w:rsidR="00B615FD">
        <w:t>áročnost učební úlohy měla být pro žáky kognitivní výzvou.</w:t>
      </w:r>
    </w:p>
    <w:p w:rsidR="00A764A6" w:rsidRDefault="00A764A6" w:rsidP="00FE68D6">
      <w:pPr>
        <w:numPr>
          <w:ilvl w:val="0"/>
          <w:numId w:val="36"/>
        </w:numPr>
        <w:spacing w:after="120" w:line="276" w:lineRule="auto"/>
        <w:ind w:left="714" w:hanging="357"/>
        <w:jc w:val="both"/>
      </w:pPr>
      <w:r>
        <w:t>Ve výuce zvýšit množství výukového času stráveného aktivním zapojením žáků do řešení učebních úloh.</w:t>
      </w:r>
    </w:p>
    <w:p w:rsidR="008369A9" w:rsidRPr="008369A9" w:rsidRDefault="008369A9" w:rsidP="00000363">
      <w:pPr>
        <w:autoSpaceDE w:val="0"/>
        <w:autoSpaceDN w:val="0"/>
        <w:adjustRightInd w:val="0"/>
        <w:spacing w:after="120" w:line="276" w:lineRule="auto"/>
        <w:jc w:val="both"/>
      </w:pPr>
      <w:r w:rsidRPr="008369A9">
        <w:t>Ačkoliv cílem předkládané publikace není poskytovat podklady pro tvorbu vzdělávací politiky, vybraná výzkumná zjištění mohou aktéry vzdělávací politiky přinejmenším inspirovat. Výzkum prezentovaný v této publikaci není možné zakončit doporučením orientovat vyučování především na řešení problémů. Jednalo by se o lákavou a líbivou myšlenkovou zkratku, která již byla mnohokrát v minulosti korigována. Utváření a upevňování vědomostí jako klíčový prvek učení není možné nahradit orientací na rozvíjení složitějších myšlenkových operací přítomných v problémových úlohách. Obě zmiňované složky se vzájemně doplňují. Jakoukoliv kompetenci nelze oprostit od jejího konkrétního oborového obsahu, jenž se promění ve zn</w:t>
      </w:r>
      <w:r w:rsidR="00F837A4">
        <w:t>alost pomocí drilu, automatizace</w:t>
      </w:r>
      <w:r w:rsidRPr="008369A9">
        <w:t>, vysvětlení obecného principu a následné</w:t>
      </w:r>
      <w:r w:rsidR="00F837A4">
        <w:t>ho</w:t>
      </w:r>
      <w:r w:rsidRPr="008369A9">
        <w:t xml:space="preserve"> procvičení (srov. Štech, 2009). </w:t>
      </w:r>
      <w:r w:rsidR="00F837A4">
        <w:t>Jinými slovy, ú</w:t>
      </w:r>
      <w:r w:rsidRPr="008369A9">
        <w:t>spěšné řešení problémů závisí na kvalitě konkrétních odborných znalostí a komplexnosti jejich struktury. Mimo jiné z tohoto důvodu je proces řešení problém</w:t>
      </w:r>
      <w:r w:rsidR="007748B3">
        <w:t>ů</w:t>
      </w:r>
      <w:r w:rsidRPr="008369A9">
        <w:t>, který používají experti, většinou efektivnější než proces, jejž používají začátečníci. Experti zpravidla disponují precizními znalostmi a ovládají procesy jejich schematizace (</w:t>
      </w:r>
      <w:r w:rsidR="00F837A4">
        <w:t>utváření robustních</w:t>
      </w:r>
      <w:r w:rsidRPr="008369A9">
        <w:t xml:space="preserve"> a vysoce strukturovaných znalostních schémat) a automatizace (ustalování sledů jednotlivých kroků do rutinních procesů nevyžadujících průběžnou kontrolu).</w:t>
      </w:r>
    </w:p>
    <w:p w:rsidR="00D01317" w:rsidRPr="008B010E" w:rsidRDefault="00AE3588" w:rsidP="00D01317">
      <w:pPr>
        <w:spacing w:after="120" w:line="276" w:lineRule="auto"/>
        <w:jc w:val="both"/>
      </w:pPr>
      <w:r>
        <w:t xml:space="preserve">Prezentovaná výzkumná zjištění hovoří ve prospěch </w:t>
      </w:r>
      <w:r w:rsidR="008369A9" w:rsidRPr="008369A9">
        <w:t xml:space="preserve">doporučení implementovat do učebnic </w:t>
      </w:r>
      <w:r>
        <w:t xml:space="preserve">prvky učiva </w:t>
      </w:r>
      <w:r w:rsidR="008369A9" w:rsidRPr="008369A9">
        <w:t xml:space="preserve">explicitně akcentující obsahové a cílové nastavení kurikulárních dokumentů. Tento požadavek zároveň může zpětně sloužit jako indikátor kvality samotných kurikulárních dokumentů, jejichž obsahová i cílová skladba je častým terčem kritiky (souhrn viz Knecht, 2010). </w:t>
      </w:r>
      <w:r w:rsidR="00D01317">
        <w:t>Nutno podotknout, že ani v bohatých zemích disponujících kvalitními kurikulárními dokumenty zavádění nových vzdělávacích koncepcí do výukové praxe (implementace) neprobíhá bez problémů.</w:t>
      </w:r>
      <w:r w:rsidR="00D01317">
        <w:rPr>
          <w:rStyle w:val="Znakapoznpodarou"/>
        </w:rPr>
        <w:footnoteReference w:id="113"/>
      </w:r>
      <w:r w:rsidR="00D01317">
        <w:t xml:space="preserve"> </w:t>
      </w:r>
      <w:r w:rsidR="007748B3">
        <w:t xml:space="preserve">Pozornost se zde postupně přesouvá od tvorby nových kurikulárních koncepcí k podpoře profesního rozvoje učitelů, neboť klíčovým faktorem v v distribuci a kvalitě příležitostí k učení jsou především učitelé (srov. Kanwischer et al., 2004). </w:t>
      </w:r>
      <w:r w:rsidR="00F837A4" w:rsidRPr="008369A9">
        <w:t xml:space="preserve">Jelikož si žáci většinou nevybírají konkrétní učitele, je třeba podporovat pregraduální i další vzdělávání učitelů zaměřené na utváření a rozvíjení jejich dovednosti implementovat jednotlivé prvky nové kultury vyučování a učení zavádět do každodenní výukové praxe. </w:t>
      </w:r>
      <w:r w:rsidR="00D01317">
        <w:t xml:space="preserve">Zdařilou inspiraci pro tvorbu koncepce dalšího vzdělávání učitelů </w:t>
      </w:r>
      <w:r w:rsidR="007748B3">
        <w:t xml:space="preserve">(zeměpisu) </w:t>
      </w:r>
      <w:r w:rsidR="00D01317">
        <w:t xml:space="preserve">může představovat německý projekt </w:t>
      </w:r>
      <w:r w:rsidR="00D01317" w:rsidRPr="00580AE6">
        <w:rPr>
          <w:i/>
        </w:rPr>
        <w:t>Program zvyšování efektivnosti matematické a přírodovědné výuky SINUS</w:t>
      </w:r>
      <w:r w:rsidR="00D01317">
        <w:t xml:space="preserve"> (program podrobněji popisuje Janko, 2013; publikace je dostupná on-line).</w:t>
      </w:r>
    </w:p>
    <w:p w:rsidR="00AC3CE7" w:rsidRDefault="008369A9" w:rsidP="00D01317">
      <w:pPr>
        <w:autoSpaceDE w:val="0"/>
        <w:autoSpaceDN w:val="0"/>
        <w:adjustRightInd w:val="0"/>
        <w:spacing w:after="120" w:line="276" w:lineRule="auto"/>
        <w:jc w:val="both"/>
      </w:pPr>
      <w:r w:rsidRPr="008369A9">
        <w:t xml:space="preserve">Předkládaná práce legitimizuje </w:t>
      </w:r>
      <w:r w:rsidR="00AE3588">
        <w:t xml:space="preserve">především </w:t>
      </w:r>
      <w:r w:rsidRPr="008369A9">
        <w:t xml:space="preserve">požadavek </w:t>
      </w:r>
      <w:r w:rsidR="00D01317" w:rsidRPr="008369A9">
        <w:t xml:space="preserve">na </w:t>
      </w:r>
      <w:r w:rsidR="00D01317">
        <w:t xml:space="preserve">proporčně přibližně stejné </w:t>
      </w:r>
      <w:r w:rsidR="00D01317" w:rsidRPr="008369A9">
        <w:t>zastoupení učebních úloh všech úrovní kognitivní náročnosti, systémovosti a komplexity</w:t>
      </w:r>
      <w:r w:rsidR="00E07B83">
        <w:t xml:space="preserve"> (viz kap. </w:t>
      </w:r>
      <w:r w:rsidR="00845F73">
        <w:t>1.9.2</w:t>
      </w:r>
      <w:r w:rsidR="00E07B83">
        <w:t>)</w:t>
      </w:r>
      <w:r w:rsidR="00D01317">
        <w:t>, a to jak v učebnicích, tak ve školní výuce</w:t>
      </w:r>
      <w:r w:rsidRPr="008369A9">
        <w:t>.</w:t>
      </w:r>
      <w:r w:rsidR="00D01317">
        <w:t xml:space="preserve"> </w:t>
      </w:r>
      <w:r w:rsidR="007748B3">
        <w:t>Zcela konkrétním impulsem</w:t>
      </w:r>
      <w:r w:rsidR="00AC3CE7">
        <w:t xml:space="preserve"> pro praxi může být komerčně úspěšný </w:t>
      </w:r>
      <w:r w:rsidR="002F1647">
        <w:t>a zároveň výzkumně ověřený projekt</w:t>
      </w:r>
      <w:r w:rsidR="00AC3CE7">
        <w:t xml:space="preserve"> dalšího vzdělávání učitelů </w:t>
      </w:r>
      <w:r w:rsidR="00AC3CE7">
        <w:rPr>
          <w:i/>
        </w:rPr>
        <w:t>Myslet aktivně</w:t>
      </w:r>
      <w:r w:rsidR="00AC3CE7" w:rsidRPr="009E6D5D">
        <w:rPr>
          <w:i/>
        </w:rPr>
        <w:t xml:space="preserve"> v sociálním kontextu</w:t>
      </w:r>
      <w:r w:rsidR="00AC3CE7">
        <w:t xml:space="preserve"> (</w:t>
      </w:r>
      <w:r w:rsidR="00B118EC" w:rsidRPr="00B118EC">
        <w:rPr>
          <w:i/>
        </w:rPr>
        <w:t xml:space="preserve">Thinking Actively in a Social Context – </w:t>
      </w:r>
      <w:r w:rsidR="00AC3CE7" w:rsidRPr="00B118EC">
        <w:rPr>
          <w:i/>
        </w:rPr>
        <w:t>TASC</w:t>
      </w:r>
      <w:r w:rsidR="00AC3CE7">
        <w:t xml:space="preserve">; </w:t>
      </w:r>
      <w:r w:rsidR="004A0F52" w:rsidRPr="00ED0FAD">
        <w:t>www.tascwheel.com</w:t>
      </w:r>
      <w:r w:rsidR="004A0F52">
        <w:t>; srov. obr. 19</w:t>
      </w:r>
      <w:r w:rsidR="00AC3CE7">
        <w:t xml:space="preserve">). TASC podporuje utváření a rozvíjení problémového vyučování a učení pomocí tzv. kola řešení problémů. Hlavním přínosem problémového cyklu je především jeho jednoduchá aplikovatelnost ve vzdělávací praxi. Učitelé jsou vedeni k tomu, aby ve výuce vytvářeli příležitosti pro žáky klást si strukturované otázky relevantní z hlediska rozvíjení kompetence k řešení problémů. Otázky vycházejí z dílčích fází </w:t>
      </w:r>
      <w:r w:rsidR="007748B3">
        <w:t xml:space="preserve">cyklu </w:t>
      </w:r>
      <w:r w:rsidR="00AC3CE7">
        <w:t>řešení problémů</w:t>
      </w:r>
      <w:r w:rsidR="007748B3">
        <w:t xml:space="preserve"> (s</w:t>
      </w:r>
      <w:r w:rsidR="00AC3CE7">
        <w:t xml:space="preserve">běr a organizování informací, </w:t>
      </w:r>
      <w:r w:rsidR="007748B3">
        <w:t>i</w:t>
      </w:r>
      <w:r w:rsidR="00AC3CE7">
        <w:t>dentifikace problému, generování řešení, rozhodování, implementování, hodnocení, komunikování, reflexe</w:t>
      </w:r>
      <w:r w:rsidR="007748B3">
        <w:t>)</w:t>
      </w:r>
      <w:r w:rsidR="00AC3CE7">
        <w:t>. Kolo řešení problémů je v souladu s</w:t>
      </w:r>
      <w:r w:rsidR="00BB3E80">
        <w:t xml:space="preserve"> aktuálně proponovanými </w:t>
      </w:r>
      <w:r w:rsidR="00AC3CE7">
        <w:t>cíli geografického vzdělávání, neboť podporuje samostatné uvažování, badatelské dovednosti a řešení problémů</w:t>
      </w:r>
      <w:r w:rsidR="00BB3E80">
        <w:t xml:space="preserve"> (srov.</w:t>
      </w:r>
      <w:r w:rsidR="00925103" w:rsidRPr="00925103">
        <w:rPr>
          <w:bCs/>
          <w:sz w:val="16"/>
          <w:szCs w:val="16"/>
        </w:rPr>
        <w:t xml:space="preserve"> </w:t>
      </w:r>
      <w:r w:rsidR="00925103" w:rsidRPr="00925103">
        <w:rPr>
          <w:bCs/>
        </w:rPr>
        <w:t>Heffron</w:t>
      </w:r>
      <w:r w:rsidR="00925103">
        <w:rPr>
          <w:bCs/>
        </w:rPr>
        <w:t xml:space="preserve"> </w:t>
      </w:r>
      <w:r w:rsidR="00925103" w:rsidRPr="00925103">
        <w:rPr>
          <w:bCs/>
        </w:rPr>
        <w:t>&amp; Downs</w:t>
      </w:r>
      <w:r w:rsidR="00925103">
        <w:rPr>
          <w:bCs/>
        </w:rPr>
        <w:t>, 2012, s. 61).</w:t>
      </w:r>
    </w:p>
    <w:p w:rsidR="00BB3E80" w:rsidRDefault="00BB3E80" w:rsidP="00D01317">
      <w:pPr>
        <w:autoSpaceDE w:val="0"/>
        <w:autoSpaceDN w:val="0"/>
        <w:adjustRightInd w:val="0"/>
        <w:spacing w:after="120" w:line="276" w:lineRule="auto"/>
        <w:jc w:val="both"/>
      </w:pPr>
    </w:p>
    <w:p w:rsidR="00771360" w:rsidRPr="008369A9" w:rsidRDefault="00E922A9" w:rsidP="00000363">
      <w:pPr>
        <w:autoSpaceDE w:val="0"/>
        <w:autoSpaceDN w:val="0"/>
        <w:adjustRightInd w:val="0"/>
        <w:spacing w:after="120" w:line="276" w:lineRule="auto"/>
        <w:jc w:val="both"/>
      </w:pPr>
      <w:r>
        <w:rPr>
          <w:noProof/>
        </w:rPr>
        <w:drawing>
          <wp:inline distT="0" distB="0" distL="0" distR="0">
            <wp:extent cx="3230108" cy="3355676"/>
            <wp:effectExtent l="19050" t="0" r="8392" b="0"/>
            <wp:docPr id="14" name="Obrázek 13" descr="Obrázek 07-TAS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07-TASC.png"/>
                    <pic:cNvPicPr/>
                  </pic:nvPicPr>
                  <pic:blipFill>
                    <a:blip r:embed="rId30" cstate="print"/>
                    <a:stretch>
                      <a:fillRect/>
                    </a:stretch>
                  </pic:blipFill>
                  <pic:spPr>
                    <a:xfrm>
                      <a:off x="0" y="0"/>
                      <a:ext cx="3231149" cy="3356758"/>
                    </a:xfrm>
                    <a:prstGeom prst="rect">
                      <a:avLst/>
                    </a:prstGeom>
                  </pic:spPr>
                </pic:pic>
              </a:graphicData>
            </a:graphic>
          </wp:inline>
        </w:drawing>
      </w:r>
    </w:p>
    <w:p w:rsidR="00AC3CE7" w:rsidRPr="00FB20B9" w:rsidRDefault="00FB20B9" w:rsidP="00FB20B9">
      <w:pPr>
        <w:pStyle w:val="Titulek"/>
        <w:rPr>
          <w:b w:val="0"/>
          <w:sz w:val="24"/>
        </w:rPr>
      </w:pPr>
      <w:bookmarkStart w:id="125" w:name="_Toc399789157"/>
      <w:r w:rsidRPr="00FB20B9">
        <w:rPr>
          <w:b w:val="0"/>
          <w:i/>
          <w:sz w:val="24"/>
        </w:rPr>
        <w:t xml:space="preserve">Obrázek </w:t>
      </w:r>
      <w:r w:rsidR="003818A1" w:rsidRPr="00FB20B9">
        <w:rPr>
          <w:b w:val="0"/>
          <w:i/>
          <w:sz w:val="24"/>
        </w:rPr>
        <w:fldChar w:fldCharType="begin"/>
      </w:r>
      <w:r w:rsidRPr="00FB20B9">
        <w:rPr>
          <w:b w:val="0"/>
          <w:i/>
          <w:sz w:val="24"/>
        </w:rPr>
        <w:instrText xml:space="preserve"> SEQ Obrázek \* ARABIC </w:instrText>
      </w:r>
      <w:r w:rsidR="003818A1" w:rsidRPr="00FB20B9">
        <w:rPr>
          <w:b w:val="0"/>
          <w:i/>
          <w:sz w:val="24"/>
        </w:rPr>
        <w:fldChar w:fldCharType="separate"/>
      </w:r>
      <w:r w:rsidRPr="00FB20B9">
        <w:rPr>
          <w:b w:val="0"/>
          <w:i/>
          <w:noProof/>
          <w:sz w:val="24"/>
        </w:rPr>
        <w:t>19</w:t>
      </w:r>
      <w:r w:rsidR="003818A1" w:rsidRPr="00FB20B9">
        <w:rPr>
          <w:b w:val="0"/>
          <w:i/>
          <w:sz w:val="24"/>
        </w:rPr>
        <w:fldChar w:fldCharType="end"/>
      </w:r>
      <w:r w:rsidRPr="00FB20B9">
        <w:rPr>
          <w:b w:val="0"/>
          <w:i/>
          <w:sz w:val="24"/>
        </w:rPr>
        <w:t xml:space="preserve">. </w:t>
      </w:r>
      <w:r w:rsidR="00AC3CE7" w:rsidRPr="00FB20B9">
        <w:rPr>
          <w:b w:val="0"/>
          <w:sz w:val="24"/>
        </w:rPr>
        <w:t>Kolo řešení problémů TASC.</w:t>
      </w:r>
      <w:bookmarkEnd w:id="125"/>
      <w:r w:rsidR="00AC3CE7" w:rsidRPr="00FB20B9">
        <w:rPr>
          <w:b w:val="0"/>
          <w:sz w:val="24"/>
        </w:rPr>
        <w:t xml:space="preserve"> </w:t>
      </w:r>
    </w:p>
    <w:p w:rsidR="00AC3CE7" w:rsidRPr="00A03431" w:rsidRDefault="00AC3CE7" w:rsidP="00000363">
      <w:pPr>
        <w:spacing w:after="120" w:line="276" w:lineRule="auto"/>
        <w:rPr>
          <w:sz w:val="20"/>
        </w:rPr>
      </w:pPr>
      <w:r w:rsidRPr="00A03431">
        <w:rPr>
          <w:sz w:val="20"/>
        </w:rPr>
        <w:t>© Belle Wallace 2000, obrázek je publikován se souhlasem držitele autorských práv.</w:t>
      </w:r>
    </w:p>
    <w:p w:rsidR="001C4DD7" w:rsidRDefault="001C4DD7" w:rsidP="00000363">
      <w:pPr>
        <w:spacing w:after="120" w:line="276" w:lineRule="auto"/>
        <w:rPr>
          <w:rFonts w:ascii="Calibri" w:hAnsi="Calibri"/>
          <w:color w:val="FF0000"/>
          <w:sz w:val="22"/>
          <w:szCs w:val="22"/>
          <w:lang w:eastAsia="en-US"/>
        </w:rPr>
      </w:pPr>
    </w:p>
    <w:p w:rsidR="002F1647" w:rsidRDefault="00137C93" w:rsidP="00740363">
      <w:pPr>
        <w:spacing w:after="120" w:line="276" w:lineRule="auto"/>
        <w:jc w:val="both"/>
      </w:pPr>
      <w:r>
        <w:t>E</w:t>
      </w:r>
      <w:r w:rsidRPr="00D507ED">
        <w:t>xistence neznámého prvku (objektu, met</w:t>
      </w:r>
      <w:r>
        <w:t>o</w:t>
      </w:r>
      <w:r w:rsidRPr="00D507ED">
        <w:t xml:space="preserve">dy, volby alternativy z množiny daných), tj. </w:t>
      </w:r>
      <w:r>
        <w:t>nějaké</w:t>
      </w:r>
      <w:r w:rsidRPr="00D507ED">
        <w:t xml:space="preserve"> protiřečení (např. úsilí o identifikaci zákonitostí, nových principů a způsobů řešení), je </w:t>
      </w:r>
      <w:r>
        <w:t xml:space="preserve">zpravidla </w:t>
      </w:r>
      <w:r w:rsidRPr="00D507ED">
        <w:t>hybnou silou tvorby nových poznatků</w:t>
      </w:r>
      <w:r>
        <w:t xml:space="preserve">. </w:t>
      </w:r>
      <w:r w:rsidR="002F1647">
        <w:t xml:space="preserve">Pokud se žáci učí prostřednictvím řešení problémů, </w:t>
      </w:r>
      <w:r w:rsidR="00925103">
        <w:t xml:space="preserve">ať již s využitím kola řešení problémů TASC či nikoli, </w:t>
      </w:r>
      <w:r w:rsidR="002F1647">
        <w:t xml:space="preserve">není vždy nezbytně nutné </w:t>
      </w:r>
      <w:r w:rsidR="00740363">
        <w:t xml:space="preserve">bezprostředně </w:t>
      </w:r>
      <w:r w:rsidR="002F1647">
        <w:t xml:space="preserve">opravovat jimi navrhovaná řešení, pakliže jsou nesprávná. Vhodnější způsob rozvíjení kompetence k řešení problémů je s jimi navrhovanými řešeními dále pracovat a motivovat je ke zdůvodnění navrhovaného řešení, případně je požádat o návrh více možných způsobů řešení a následně různé návrhy podrobit diskusi. Učitel může používat následující otázky: </w:t>
      </w:r>
    </w:p>
    <w:p w:rsidR="002F1647" w:rsidRDefault="002F1647" w:rsidP="00FE68D6">
      <w:pPr>
        <w:numPr>
          <w:ilvl w:val="0"/>
          <w:numId w:val="11"/>
        </w:numPr>
        <w:spacing w:after="120" w:line="276" w:lineRule="auto"/>
        <w:jc w:val="both"/>
      </w:pPr>
      <w:r>
        <w:t>Jaké řešení navrhujete?</w:t>
      </w:r>
    </w:p>
    <w:p w:rsidR="002F1647" w:rsidRDefault="002F1647" w:rsidP="00FE68D6">
      <w:pPr>
        <w:numPr>
          <w:ilvl w:val="0"/>
          <w:numId w:val="11"/>
        </w:numPr>
        <w:spacing w:after="120" w:line="276" w:lineRule="auto"/>
        <w:jc w:val="both"/>
      </w:pPr>
      <w:r>
        <w:t>Proč je toto řešení dle vašeho názoru nejlepší?</w:t>
      </w:r>
    </w:p>
    <w:p w:rsidR="002F1647" w:rsidRDefault="002F1647" w:rsidP="00FE68D6">
      <w:pPr>
        <w:numPr>
          <w:ilvl w:val="0"/>
          <w:numId w:val="11"/>
        </w:numPr>
        <w:spacing w:after="120" w:line="276" w:lineRule="auto"/>
        <w:jc w:val="both"/>
      </w:pPr>
      <w:r>
        <w:t>Jaké důkazy a argumenty hovoří ve prospěch vámi navrhovaného řešení?</w:t>
      </w:r>
    </w:p>
    <w:p w:rsidR="002F1647" w:rsidRDefault="002F1647" w:rsidP="00FE68D6">
      <w:pPr>
        <w:numPr>
          <w:ilvl w:val="0"/>
          <w:numId w:val="11"/>
        </w:numPr>
        <w:spacing w:after="120" w:line="276" w:lineRule="auto"/>
        <w:jc w:val="both"/>
      </w:pPr>
      <w:r>
        <w:t>Jaká další řešení mohou být k dispozici?</w:t>
      </w:r>
    </w:p>
    <w:p w:rsidR="002F1647" w:rsidRDefault="002F1647" w:rsidP="00FE68D6">
      <w:pPr>
        <w:numPr>
          <w:ilvl w:val="0"/>
          <w:numId w:val="11"/>
        </w:numPr>
        <w:spacing w:after="120" w:line="276" w:lineRule="auto"/>
        <w:jc w:val="both"/>
      </w:pPr>
      <w:r>
        <w:t>Jak je možné tato další řešení zdůvodnit?</w:t>
      </w:r>
    </w:p>
    <w:p w:rsidR="004C249F" w:rsidRDefault="002F1647" w:rsidP="00FE68D6">
      <w:pPr>
        <w:numPr>
          <w:ilvl w:val="0"/>
          <w:numId w:val="11"/>
        </w:numPr>
        <w:spacing w:after="120" w:line="276" w:lineRule="auto"/>
        <w:jc w:val="both"/>
      </w:pPr>
      <w:r>
        <w:t>Máte nějaké důkazy a argumenty proti některému z navrhovaných řešení?</w:t>
      </w:r>
    </w:p>
    <w:p w:rsidR="00FA37F8" w:rsidRDefault="00740363" w:rsidP="00D01317">
      <w:pPr>
        <w:spacing w:after="120" w:line="276" w:lineRule="auto"/>
        <w:jc w:val="both"/>
        <w:rPr>
          <w:color w:val="FF0000"/>
        </w:rPr>
      </w:pPr>
      <w:r>
        <w:rPr>
          <w:i/>
        </w:rPr>
        <w:t>S</w:t>
      </w:r>
      <w:r w:rsidR="004C249F" w:rsidRPr="00000363">
        <w:rPr>
          <w:i/>
        </w:rPr>
        <w:t xml:space="preserve">umma </w:t>
      </w:r>
      <w:r w:rsidR="00E037A1">
        <w:rPr>
          <w:i/>
        </w:rPr>
        <w:t>summarum:</w:t>
      </w:r>
      <w:r w:rsidR="004C249F" w:rsidRPr="004C249F">
        <w:rPr>
          <w:rFonts w:eastAsia="Calibri"/>
          <w:lang w:eastAsia="en-US"/>
        </w:rPr>
        <w:t xml:space="preserve"> </w:t>
      </w:r>
      <w:r w:rsidR="00E037A1">
        <w:rPr>
          <w:rFonts w:eastAsia="Calibri"/>
          <w:lang w:eastAsia="en-US"/>
        </w:rPr>
        <w:t>p</w:t>
      </w:r>
      <w:r w:rsidR="00FA37F8">
        <w:rPr>
          <w:rFonts w:eastAsia="Calibri"/>
          <w:lang w:eastAsia="en-US"/>
        </w:rPr>
        <w:t xml:space="preserve">od vzletným heslem kompetence k řešení problémů </w:t>
      </w:r>
      <w:r w:rsidR="004C249F">
        <w:rPr>
          <w:rFonts w:eastAsia="Calibri"/>
          <w:lang w:eastAsia="en-US"/>
        </w:rPr>
        <w:t xml:space="preserve">se skrývá </w:t>
      </w:r>
      <w:r w:rsidR="00000363">
        <w:rPr>
          <w:rFonts w:eastAsia="Calibri"/>
          <w:lang w:eastAsia="en-US"/>
        </w:rPr>
        <w:t xml:space="preserve">dlouhodobá </w:t>
      </w:r>
      <w:r w:rsidR="004C249F">
        <w:rPr>
          <w:rFonts w:eastAsia="Calibri"/>
          <w:lang w:eastAsia="en-US"/>
        </w:rPr>
        <w:t xml:space="preserve">potřeba </w:t>
      </w:r>
      <w:r w:rsidR="00FA37F8">
        <w:rPr>
          <w:rFonts w:eastAsia="Calibri"/>
          <w:lang w:eastAsia="en-US"/>
        </w:rPr>
        <w:t xml:space="preserve">klást </w:t>
      </w:r>
      <w:r w:rsidR="00000363">
        <w:rPr>
          <w:rFonts w:eastAsia="Calibri"/>
          <w:lang w:eastAsia="en-US"/>
        </w:rPr>
        <w:t xml:space="preserve">ve školní výuce </w:t>
      </w:r>
      <w:r w:rsidR="00FA37F8">
        <w:rPr>
          <w:rFonts w:eastAsia="Calibri"/>
          <w:lang w:eastAsia="en-US"/>
        </w:rPr>
        <w:t xml:space="preserve">důraz na tvořivou činnost žáků </w:t>
      </w:r>
      <w:r w:rsidR="00000363">
        <w:rPr>
          <w:rFonts w:eastAsia="Calibri"/>
          <w:lang w:eastAsia="en-US"/>
        </w:rPr>
        <w:t xml:space="preserve">s učivem </w:t>
      </w:r>
      <w:r w:rsidR="00FA37F8">
        <w:rPr>
          <w:rFonts w:eastAsia="Calibri"/>
          <w:lang w:eastAsia="en-US"/>
        </w:rPr>
        <w:t xml:space="preserve">a jejich </w:t>
      </w:r>
      <w:r w:rsidR="004C249F">
        <w:rPr>
          <w:rFonts w:eastAsia="Calibri"/>
          <w:lang w:eastAsia="en-US"/>
        </w:rPr>
        <w:t>schopnost samostatně získávat, třídit, analyzovat, interpretovat</w:t>
      </w:r>
      <w:r w:rsidR="00E922A9">
        <w:rPr>
          <w:rFonts w:eastAsia="Calibri"/>
          <w:lang w:eastAsia="en-US"/>
        </w:rPr>
        <w:t>,</w:t>
      </w:r>
      <w:r w:rsidR="004C249F">
        <w:rPr>
          <w:rFonts w:eastAsia="Calibri"/>
          <w:lang w:eastAsia="en-US"/>
        </w:rPr>
        <w:t xml:space="preserve"> hodnotit </w:t>
      </w:r>
      <w:r w:rsidR="00E922A9">
        <w:rPr>
          <w:rFonts w:eastAsia="Calibri"/>
          <w:lang w:eastAsia="en-US"/>
        </w:rPr>
        <w:t xml:space="preserve">a aplikovat poznatky </w:t>
      </w:r>
      <w:r w:rsidR="00880BAA">
        <w:rPr>
          <w:rFonts w:eastAsia="Calibri"/>
          <w:lang w:eastAsia="en-US"/>
        </w:rPr>
        <w:t>získané ve školní výuce</w:t>
      </w:r>
      <w:r w:rsidR="00E922A9">
        <w:rPr>
          <w:rFonts w:eastAsia="Calibri"/>
          <w:lang w:eastAsia="en-US"/>
        </w:rPr>
        <w:t>.</w:t>
      </w:r>
      <w:r w:rsidR="004C249F">
        <w:rPr>
          <w:rFonts w:eastAsia="Calibri"/>
          <w:lang w:eastAsia="en-US"/>
        </w:rPr>
        <w:t xml:space="preserve"> </w:t>
      </w:r>
      <w:r w:rsidR="00593786">
        <w:t xml:space="preserve">Výsledky výzkumu představené v této publikaci </w:t>
      </w:r>
      <w:r w:rsidR="00E922A9">
        <w:t>naznačují, že učební úlohy ve zkoumaných učebnicích i analyzovaná výuka mají v tomto ohledu jisté rezervy, neboť převážně podporují rozvíjení kvalitativně nejnižších složek kompetencí (zejména deklarativní</w:t>
      </w:r>
      <w:r w:rsidR="00BB3E80">
        <w:t>ch</w:t>
      </w:r>
      <w:r w:rsidR="00E922A9">
        <w:t xml:space="preserve"> znalost</w:t>
      </w:r>
      <w:r w:rsidR="00BB3E80">
        <w:t>í</w:t>
      </w:r>
      <w:r w:rsidR="00E922A9">
        <w:t>). To je na jednu stranu přirozené, neboť kompetence je třeba vnímat jako ideální a obtížně dosažitelný vzdělávací cíl</w:t>
      </w:r>
      <w:r w:rsidR="00BB3E80">
        <w:t>.</w:t>
      </w:r>
      <w:r w:rsidR="00E922A9">
        <w:t xml:space="preserve"> Mimo to škola běžně pracuje v situaci, kdy je na ni kladeno více požadavků, než kolik může reálně splnit. </w:t>
      </w:r>
      <w:r w:rsidR="00BB3E80">
        <w:t>Na druhou stranu jsme přesvědčeni, že námi z</w:t>
      </w:r>
      <w:r w:rsidR="00E922A9">
        <w:t xml:space="preserve">jištěné nedostatky </w:t>
      </w:r>
      <w:r w:rsidR="00BB3E80">
        <w:t>jsou relativně snadno odstranitelné. Navrhovaná (e</w:t>
      </w:r>
      <w:r w:rsidR="00FA37F8">
        <w:t>xpertní</w:t>
      </w:r>
      <w:r w:rsidR="00BB3E80">
        <w:t>)</w:t>
      </w:r>
      <w:r w:rsidR="00FA37F8">
        <w:t xml:space="preserve"> doporučení </w:t>
      </w:r>
      <w:r w:rsidR="00315F15">
        <w:t>byla tvořena v dobré víře</w:t>
      </w:r>
      <w:r w:rsidR="00FA37F8">
        <w:t xml:space="preserve">, ale žádoucí by bylo ověření jejich </w:t>
      </w:r>
      <w:r w:rsidR="0093678A">
        <w:t xml:space="preserve">reálné </w:t>
      </w:r>
      <w:r w:rsidR="00FA37F8">
        <w:t xml:space="preserve">účinnosti. Zde máme na mysli především požadavek ověřování účinku dílčích didaktických opatření (v učebnicích či výuce) na </w:t>
      </w:r>
      <w:r w:rsidR="0093678A">
        <w:t>vzdělávací</w:t>
      </w:r>
      <w:r w:rsidR="00FA37F8">
        <w:t xml:space="preserve"> praxi a její výstupy. Abychom se mohli přesunout od </w:t>
      </w:r>
      <w:r w:rsidR="00000363">
        <w:t>dílčích analýz</w:t>
      </w:r>
      <w:r w:rsidR="00FA37F8">
        <w:t xml:space="preserve"> </w:t>
      </w:r>
      <w:r w:rsidR="00315F15">
        <w:t xml:space="preserve">vybraných pasáží </w:t>
      </w:r>
      <w:r w:rsidR="00FA37F8">
        <w:t>učebnic</w:t>
      </w:r>
      <w:r w:rsidR="00593786">
        <w:t xml:space="preserve"> a</w:t>
      </w:r>
      <w:r w:rsidR="00FA37F8">
        <w:t xml:space="preserve"> mikroanalýz výuky </w:t>
      </w:r>
      <w:r w:rsidR="00593786">
        <w:t xml:space="preserve">směrem </w:t>
      </w:r>
      <w:r w:rsidR="00FA37F8">
        <w:t xml:space="preserve">k systematickému evaluačnímu výzkumu, </w:t>
      </w:r>
      <w:r w:rsidR="00593786">
        <w:t xml:space="preserve">je třeba vytvořit dlouhodobou </w:t>
      </w:r>
      <w:r w:rsidR="00593786">
        <w:rPr>
          <w:sz w:val="26"/>
        </w:rPr>
        <w:t>(</w:t>
      </w:r>
      <w:r w:rsidR="00593786">
        <w:t>resortní) koncepci výzkumu vzdělávání</w:t>
      </w:r>
      <w:r w:rsidR="00BB3E80">
        <w:t>, včetně stanovení jejích hlavních priorit</w:t>
      </w:r>
      <w:r w:rsidR="00593786">
        <w:t>. V opačném případě hrozí riziko naprosté fragmentarizace</w:t>
      </w:r>
      <w:r w:rsidR="00E922A9">
        <w:t xml:space="preserve"> pedagogického a oborově didaktického výzkumu</w:t>
      </w:r>
      <w:r w:rsidR="00593786">
        <w:t xml:space="preserve">, jež na jednu stranu </w:t>
      </w:r>
      <w:r w:rsidR="00A84E05">
        <w:t xml:space="preserve">podporuje </w:t>
      </w:r>
      <w:r w:rsidR="00BB3E80">
        <w:t xml:space="preserve">zvídavost a </w:t>
      </w:r>
      <w:r w:rsidR="00A84E05">
        <w:t xml:space="preserve">svobodné bádání jednotlivců či menších skupin vědců, na druhou stranu ale v podstatě znemožňuje </w:t>
      </w:r>
      <w:r w:rsidR="00BB3E80">
        <w:t>kontinuální budování poznatkové báze výzkumu vzdělávání a formulaci</w:t>
      </w:r>
      <w:r w:rsidR="00A84E05">
        <w:t xml:space="preserve"> jak</w:t>
      </w:r>
      <w:r w:rsidR="00BB3E80">
        <w:t>ých</w:t>
      </w:r>
      <w:r w:rsidR="00A84E05">
        <w:t xml:space="preserve">koliv </w:t>
      </w:r>
      <w:r w:rsidR="00000363">
        <w:t>obecně platn</w:t>
      </w:r>
      <w:r w:rsidR="00BB3E80">
        <w:t>ých</w:t>
      </w:r>
      <w:r w:rsidR="00000363">
        <w:t xml:space="preserve"> </w:t>
      </w:r>
      <w:r w:rsidR="00A84E05">
        <w:t>výpověd</w:t>
      </w:r>
      <w:r w:rsidR="00BB3E80">
        <w:t>í</w:t>
      </w:r>
      <w:r w:rsidR="00A84E05">
        <w:t xml:space="preserve"> o realitě (geografického) vzdělávání v Česku.</w:t>
      </w:r>
      <w:r w:rsidR="00880BAA">
        <w:t xml:space="preserve"> S ohledem na výše uvedené reprezentuje předkládaná publikace </w:t>
      </w:r>
      <w:r w:rsidR="003D6B33">
        <w:t xml:space="preserve">v očích jejího autora </w:t>
      </w:r>
      <w:r w:rsidR="00880BAA">
        <w:t xml:space="preserve">maximum možného. Nyní je již pouze na čtenářích, aby myšlenky zde prezentované svými kritickými ohlasy posouvali dále. </w:t>
      </w:r>
    </w:p>
    <w:p w:rsidR="00F651CB" w:rsidRDefault="00F651CB" w:rsidP="00000363">
      <w:pPr>
        <w:spacing w:after="120" w:line="276" w:lineRule="auto"/>
      </w:pPr>
    </w:p>
    <w:p w:rsidR="00F651CB" w:rsidRDefault="00F651CB" w:rsidP="00000363">
      <w:pPr>
        <w:spacing w:after="120" w:line="276" w:lineRule="auto"/>
      </w:pPr>
    </w:p>
    <w:p w:rsidR="00B260C3" w:rsidRDefault="00B260C3">
      <w:pPr>
        <w:rPr>
          <w:b/>
          <w:bCs/>
          <w:kern w:val="32"/>
          <w:sz w:val="32"/>
          <w:szCs w:val="32"/>
        </w:rPr>
      </w:pPr>
      <w:r>
        <w:br w:type="page"/>
      </w:r>
    </w:p>
    <w:p w:rsidR="00F651CB" w:rsidRDefault="00F651CB" w:rsidP="00000363">
      <w:pPr>
        <w:pStyle w:val="Nadpis1"/>
        <w:numPr>
          <w:ilvl w:val="0"/>
          <w:numId w:val="0"/>
        </w:numPr>
        <w:spacing w:before="0" w:after="120" w:line="276" w:lineRule="auto"/>
        <w:ind w:left="360" w:hanging="360"/>
      </w:pPr>
      <w:bookmarkStart w:id="126" w:name="_Toc399775453"/>
      <w:r>
        <w:t>Summary</w:t>
      </w:r>
      <w:bookmarkEnd w:id="126"/>
    </w:p>
    <w:p w:rsidR="00B717AE" w:rsidRPr="00367006" w:rsidRDefault="001244B3" w:rsidP="00000363">
      <w:pPr>
        <w:pStyle w:val="Nadpis1"/>
        <w:numPr>
          <w:ilvl w:val="0"/>
          <w:numId w:val="0"/>
        </w:numPr>
        <w:spacing w:before="0" w:after="120" w:line="276" w:lineRule="auto"/>
        <w:ind w:left="360" w:hanging="360"/>
      </w:pPr>
      <w:r w:rsidRPr="00DD0671">
        <w:br w:type="page"/>
      </w:r>
      <w:bookmarkStart w:id="127" w:name="_Toc399775454"/>
      <w:r w:rsidR="00832BBF" w:rsidRPr="008D242D">
        <w:t>L</w:t>
      </w:r>
      <w:r w:rsidR="009F744F" w:rsidRPr="008D242D">
        <w:t>iteratur</w:t>
      </w:r>
      <w:r w:rsidR="00832BBF" w:rsidRPr="008D242D">
        <w:t>a</w:t>
      </w:r>
      <w:bookmarkEnd w:id="127"/>
    </w:p>
    <w:p w:rsidR="009B1B4C" w:rsidRDefault="009B1B4C" w:rsidP="00402C6A">
      <w:pPr>
        <w:ind w:left="426" w:hanging="426"/>
        <w:rPr>
          <w:bCs/>
          <w:iCs/>
          <w:sz w:val="16"/>
          <w:szCs w:val="16"/>
        </w:rPr>
      </w:pPr>
    </w:p>
    <w:p w:rsidR="0015711E" w:rsidRPr="00E37E35" w:rsidRDefault="0015711E" w:rsidP="00E37E35">
      <w:pPr>
        <w:ind w:left="426" w:hanging="426"/>
        <w:rPr>
          <w:sz w:val="16"/>
          <w:szCs w:val="16"/>
        </w:rPr>
      </w:pPr>
      <w:r w:rsidRPr="00E37E35">
        <w:rPr>
          <w:sz w:val="16"/>
          <w:szCs w:val="16"/>
        </w:rPr>
        <w:t xml:space="preserve">Abele, D. G. S., Greiff, S., Gschwendtner, T., Wüstenberg, S., Nickolaus, R., Nitzschke, A., &amp; Funke, J. (2012). Dynamische Problemlösekompetenz. </w:t>
      </w:r>
      <w:r w:rsidRPr="00E37E35">
        <w:rPr>
          <w:i/>
          <w:sz w:val="16"/>
          <w:szCs w:val="16"/>
        </w:rPr>
        <w:t>Zeitschrift für Erziehungswissenschaft, 15</w:t>
      </w:r>
      <w:r w:rsidRPr="00E37E35">
        <w:rPr>
          <w:sz w:val="16"/>
          <w:szCs w:val="16"/>
        </w:rPr>
        <w:t>(2), 363</w:t>
      </w:r>
      <w:r>
        <w:rPr>
          <w:sz w:val="16"/>
          <w:szCs w:val="16"/>
        </w:rPr>
        <w:t>–</w:t>
      </w:r>
      <w:r w:rsidRPr="00E37E35">
        <w:rPr>
          <w:sz w:val="16"/>
          <w:szCs w:val="16"/>
        </w:rPr>
        <w:t>391.</w:t>
      </w:r>
    </w:p>
    <w:p w:rsidR="0015711E" w:rsidRDefault="0015711E" w:rsidP="005C45D2">
      <w:pPr>
        <w:ind w:left="426" w:hanging="426"/>
        <w:rPr>
          <w:bCs/>
          <w:iCs/>
          <w:sz w:val="16"/>
          <w:szCs w:val="16"/>
        </w:rPr>
      </w:pPr>
      <w:r w:rsidRPr="00A43B20">
        <w:rPr>
          <w:bCs/>
          <w:iCs/>
          <w:sz w:val="16"/>
          <w:szCs w:val="16"/>
        </w:rPr>
        <w:t xml:space="preserve">Aebli, H. (1983/2003). </w:t>
      </w:r>
      <w:r w:rsidRPr="00A43B20">
        <w:rPr>
          <w:bCs/>
          <w:i/>
          <w:iCs/>
          <w:sz w:val="16"/>
          <w:szCs w:val="16"/>
        </w:rPr>
        <w:t>Zwölf Grundformen des Lehrens.</w:t>
      </w:r>
      <w:r w:rsidRPr="00A43B20">
        <w:rPr>
          <w:bCs/>
          <w:iCs/>
          <w:sz w:val="16"/>
          <w:szCs w:val="16"/>
        </w:rPr>
        <w:t xml:space="preserve"> Stuttgart: Klett.</w:t>
      </w:r>
    </w:p>
    <w:p w:rsidR="0015711E" w:rsidRPr="007C0E29" w:rsidRDefault="0015711E" w:rsidP="007C0E29">
      <w:pPr>
        <w:ind w:left="426" w:hanging="426"/>
        <w:rPr>
          <w:bCs/>
          <w:sz w:val="16"/>
          <w:szCs w:val="16"/>
        </w:rPr>
      </w:pPr>
      <w:r w:rsidRPr="007C0E29">
        <w:rPr>
          <w:bCs/>
          <w:sz w:val="16"/>
          <w:szCs w:val="16"/>
        </w:rPr>
        <w:t xml:space="preserve">Ajzen, I. (1991). The theory of planned behavior. </w:t>
      </w:r>
      <w:r w:rsidRPr="007C0E29">
        <w:rPr>
          <w:bCs/>
          <w:i/>
          <w:iCs/>
          <w:sz w:val="16"/>
          <w:szCs w:val="16"/>
        </w:rPr>
        <w:t>Organizational Behavior and Human Decision Processes</w:t>
      </w:r>
      <w:r w:rsidRPr="007C0E29">
        <w:rPr>
          <w:bCs/>
          <w:sz w:val="16"/>
          <w:szCs w:val="16"/>
        </w:rPr>
        <w:t xml:space="preserve">, </w:t>
      </w:r>
      <w:r w:rsidRPr="007C0E29">
        <w:rPr>
          <w:bCs/>
          <w:i/>
          <w:iCs/>
          <w:sz w:val="16"/>
          <w:szCs w:val="16"/>
        </w:rPr>
        <w:t>50</w:t>
      </w:r>
      <w:r w:rsidRPr="007C0E29">
        <w:rPr>
          <w:bCs/>
          <w:sz w:val="16"/>
          <w:szCs w:val="16"/>
        </w:rPr>
        <w:t>(2), 179–211.</w:t>
      </w:r>
    </w:p>
    <w:p w:rsidR="0015711E" w:rsidRPr="006E57E0" w:rsidRDefault="0015711E" w:rsidP="006E57E0">
      <w:pPr>
        <w:ind w:left="426" w:hanging="426"/>
        <w:rPr>
          <w:bCs/>
          <w:sz w:val="16"/>
          <w:szCs w:val="16"/>
        </w:rPr>
      </w:pPr>
      <w:r w:rsidRPr="006E57E0">
        <w:rPr>
          <w:bCs/>
          <w:sz w:val="16"/>
          <w:szCs w:val="16"/>
        </w:rPr>
        <w:t xml:space="preserve">Albanese, M. A., &amp; Mitchell, S. (1993). Problem-based learning: A review of literature on its outcomes and implementation issues. </w:t>
      </w:r>
      <w:r w:rsidRPr="000B0DDA">
        <w:rPr>
          <w:bCs/>
          <w:i/>
          <w:sz w:val="16"/>
          <w:szCs w:val="16"/>
        </w:rPr>
        <w:t xml:space="preserve">Academic </w:t>
      </w:r>
      <w:r>
        <w:rPr>
          <w:bCs/>
          <w:i/>
          <w:sz w:val="16"/>
          <w:szCs w:val="16"/>
        </w:rPr>
        <w:t>M</w:t>
      </w:r>
      <w:r w:rsidRPr="000B0DDA">
        <w:rPr>
          <w:bCs/>
          <w:i/>
          <w:sz w:val="16"/>
          <w:szCs w:val="16"/>
        </w:rPr>
        <w:t>edicine, 68</w:t>
      </w:r>
      <w:r w:rsidRPr="006E57E0">
        <w:rPr>
          <w:bCs/>
          <w:sz w:val="16"/>
          <w:szCs w:val="16"/>
        </w:rPr>
        <w:t>(1), 52</w:t>
      </w:r>
      <w:r>
        <w:rPr>
          <w:bCs/>
          <w:sz w:val="16"/>
          <w:szCs w:val="16"/>
        </w:rPr>
        <w:t>–</w:t>
      </w:r>
      <w:r w:rsidRPr="006E57E0">
        <w:rPr>
          <w:bCs/>
          <w:sz w:val="16"/>
          <w:szCs w:val="16"/>
        </w:rPr>
        <w:t>81.</w:t>
      </w:r>
    </w:p>
    <w:p w:rsidR="0015711E" w:rsidRPr="007C0E29" w:rsidRDefault="0015711E" w:rsidP="007C0E29">
      <w:pPr>
        <w:ind w:left="426" w:hanging="426"/>
        <w:rPr>
          <w:sz w:val="16"/>
          <w:szCs w:val="16"/>
        </w:rPr>
      </w:pPr>
      <w:r w:rsidRPr="007C0E29">
        <w:rPr>
          <w:sz w:val="16"/>
          <w:szCs w:val="16"/>
        </w:rPr>
        <w:t xml:space="preserve">Anderson, J. R. (1980). </w:t>
      </w:r>
      <w:r w:rsidRPr="007C0E29">
        <w:rPr>
          <w:i/>
          <w:sz w:val="16"/>
          <w:szCs w:val="16"/>
        </w:rPr>
        <w:t>Cognitive psychology and its implications.</w:t>
      </w:r>
      <w:r w:rsidRPr="007C0E29">
        <w:rPr>
          <w:sz w:val="16"/>
          <w:szCs w:val="16"/>
        </w:rPr>
        <w:t xml:space="preserve"> New York: Freeman. </w:t>
      </w:r>
    </w:p>
    <w:p w:rsidR="0015711E" w:rsidRDefault="0015711E" w:rsidP="007E51DC">
      <w:pPr>
        <w:ind w:left="426" w:hanging="426"/>
        <w:rPr>
          <w:sz w:val="16"/>
          <w:szCs w:val="16"/>
        </w:rPr>
      </w:pPr>
      <w:r w:rsidRPr="007E51DC">
        <w:rPr>
          <w:sz w:val="16"/>
          <w:szCs w:val="16"/>
        </w:rPr>
        <w:t xml:space="preserve">Anderson, L. W., Krathwohl, D. R., Airasian, P. W., Cruikshank, K. A., Mayer, R. E., Pintrich, P. R., ... &amp; Wittrock, M. C. (2001). </w:t>
      </w:r>
      <w:r w:rsidRPr="007C0E29">
        <w:rPr>
          <w:i/>
          <w:sz w:val="16"/>
          <w:szCs w:val="16"/>
        </w:rPr>
        <w:t>A taxonomy for learning, teaching, and assessing: A revision of Bloom's taxonomy of educational objectives</w:t>
      </w:r>
      <w:r>
        <w:rPr>
          <w:i/>
          <w:sz w:val="16"/>
          <w:szCs w:val="16"/>
        </w:rPr>
        <w:t>.</w:t>
      </w:r>
      <w:r w:rsidRPr="007C0E29">
        <w:rPr>
          <w:i/>
          <w:sz w:val="16"/>
          <w:szCs w:val="16"/>
        </w:rPr>
        <w:t xml:space="preserve"> </w:t>
      </w:r>
      <w:r w:rsidRPr="007E51DC">
        <w:rPr>
          <w:iCs/>
          <w:sz w:val="16"/>
          <w:szCs w:val="16"/>
        </w:rPr>
        <w:t>White Plains: Longman</w:t>
      </w:r>
      <w:r w:rsidRPr="007E51DC">
        <w:rPr>
          <w:sz w:val="16"/>
          <w:szCs w:val="16"/>
        </w:rPr>
        <w:t>.</w:t>
      </w:r>
    </w:p>
    <w:p w:rsidR="0015711E" w:rsidRPr="007C0E29" w:rsidRDefault="0015711E" w:rsidP="007C0E29">
      <w:pPr>
        <w:ind w:left="426" w:hanging="426"/>
        <w:rPr>
          <w:bCs/>
          <w:sz w:val="16"/>
          <w:szCs w:val="16"/>
        </w:rPr>
      </w:pPr>
      <w:r w:rsidRPr="007C0E29">
        <w:rPr>
          <w:bCs/>
          <w:sz w:val="16"/>
          <w:szCs w:val="16"/>
        </w:rPr>
        <w:t xml:space="preserve">Anzai, Y., &amp; Simon, H. A. (1979). The theory of learning by doing. </w:t>
      </w:r>
      <w:r w:rsidRPr="007C0E29">
        <w:rPr>
          <w:bCs/>
          <w:i/>
          <w:sz w:val="16"/>
          <w:szCs w:val="16"/>
        </w:rPr>
        <w:t xml:space="preserve">Psychological </w:t>
      </w:r>
      <w:r>
        <w:rPr>
          <w:bCs/>
          <w:i/>
          <w:sz w:val="16"/>
          <w:szCs w:val="16"/>
        </w:rPr>
        <w:t>R</w:t>
      </w:r>
      <w:r w:rsidRPr="007C0E29">
        <w:rPr>
          <w:bCs/>
          <w:i/>
          <w:sz w:val="16"/>
          <w:szCs w:val="16"/>
        </w:rPr>
        <w:t>eview, 86</w:t>
      </w:r>
      <w:r w:rsidRPr="007C0E29">
        <w:rPr>
          <w:bCs/>
          <w:sz w:val="16"/>
          <w:szCs w:val="16"/>
        </w:rPr>
        <w:t>(2), 124–140.</w:t>
      </w:r>
    </w:p>
    <w:p w:rsidR="0015711E" w:rsidRPr="00992F3B" w:rsidRDefault="0015711E" w:rsidP="00992F3B">
      <w:pPr>
        <w:ind w:left="426" w:hanging="426"/>
        <w:rPr>
          <w:sz w:val="16"/>
          <w:szCs w:val="16"/>
        </w:rPr>
      </w:pPr>
      <w:r w:rsidRPr="00992F3B">
        <w:rPr>
          <w:sz w:val="16"/>
          <w:szCs w:val="16"/>
        </w:rPr>
        <w:t xml:space="preserve">Arlin, P. K. (1989). The problem of the problem. In J. D. Sinnott (Ed.), </w:t>
      </w:r>
      <w:r w:rsidRPr="007C0E29">
        <w:rPr>
          <w:i/>
          <w:sz w:val="16"/>
          <w:szCs w:val="16"/>
        </w:rPr>
        <w:t xml:space="preserve">Everyday problem solving: Theory and applications </w:t>
      </w:r>
      <w:r w:rsidRPr="00992F3B">
        <w:rPr>
          <w:sz w:val="16"/>
          <w:szCs w:val="16"/>
        </w:rPr>
        <w:t>(s. 229</w:t>
      </w:r>
      <w:r>
        <w:rPr>
          <w:sz w:val="16"/>
          <w:szCs w:val="16"/>
        </w:rPr>
        <w:t>–</w:t>
      </w:r>
      <w:r w:rsidRPr="00992F3B">
        <w:rPr>
          <w:sz w:val="16"/>
          <w:szCs w:val="16"/>
        </w:rPr>
        <w:t xml:space="preserve">237). </w:t>
      </w:r>
      <w:r w:rsidRPr="00992F3B">
        <w:rPr>
          <w:iCs/>
          <w:sz w:val="16"/>
          <w:szCs w:val="16"/>
        </w:rPr>
        <w:t>New York: Praeger.</w:t>
      </w:r>
    </w:p>
    <w:p w:rsidR="0015711E" w:rsidRPr="00A61C4C" w:rsidRDefault="0015711E" w:rsidP="00A61C4C">
      <w:pPr>
        <w:ind w:left="426" w:hanging="426"/>
        <w:rPr>
          <w:bCs/>
          <w:sz w:val="16"/>
          <w:szCs w:val="16"/>
          <w:lang w:val="en-GB"/>
        </w:rPr>
      </w:pPr>
      <w:r w:rsidRPr="00BF35D7">
        <w:rPr>
          <w:bCs/>
          <w:sz w:val="16"/>
          <w:szCs w:val="16"/>
        </w:rPr>
        <w:t>Armbruster, B.</w:t>
      </w:r>
      <w:r>
        <w:rPr>
          <w:bCs/>
          <w:sz w:val="16"/>
          <w:szCs w:val="16"/>
        </w:rPr>
        <w:t xml:space="preserve"> &amp; </w:t>
      </w:r>
      <w:r w:rsidRPr="00BF35D7">
        <w:rPr>
          <w:bCs/>
          <w:sz w:val="16"/>
          <w:szCs w:val="16"/>
        </w:rPr>
        <w:t>Ostertag, J.</w:t>
      </w:r>
      <w:r w:rsidRPr="00A61C4C">
        <w:rPr>
          <w:bCs/>
          <w:sz w:val="16"/>
          <w:szCs w:val="16"/>
        </w:rPr>
        <w:t xml:space="preserve"> </w:t>
      </w:r>
      <w:r>
        <w:rPr>
          <w:bCs/>
          <w:sz w:val="16"/>
          <w:szCs w:val="16"/>
        </w:rPr>
        <w:t xml:space="preserve">(1993). </w:t>
      </w:r>
      <w:r w:rsidRPr="00A61C4C">
        <w:rPr>
          <w:bCs/>
          <w:sz w:val="16"/>
          <w:szCs w:val="16"/>
        </w:rPr>
        <w:t>Questions in elementary science and social studies textbooks. In B. K.</w:t>
      </w:r>
      <w:r>
        <w:rPr>
          <w:bCs/>
          <w:sz w:val="16"/>
          <w:szCs w:val="16"/>
        </w:rPr>
        <w:t xml:space="preserve"> </w:t>
      </w:r>
      <w:r w:rsidRPr="00A61C4C">
        <w:rPr>
          <w:bCs/>
          <w:sz w:val="16"/>
          <w:szCs w:val="16"/>
        </w:rPr>
        <w:t>Britton, A</w:t>
      </w:r>
      <w:r>
        <w:rPr>
          <w:bCs/>
          <w:sz w:val="16"/>
          <w:szCs w:val="16"/>
        </w:rPr>
        <w:t>.</w:t>
      </w:r>
      <w:r w:rsidRPr="00A61C4C">
        <w:rPr>
          <w:bCs/>
          <w:sz w:val="16"/>
          <w:szCs w:val="16"/>
        </w:rPr>
        <w:t xml:space="preserve"> Woodward,</w:t>
      </w:r>
      <w:r>
        <w:rPr>
          <w:bCs/>
          <w:sz w:val="16"/>
          <w:szCs w:val="16"/>
        </w:rPr>
        <w:t xml:space="preserve"> &amp; M. Binkley</w:t>
      </w:r>
      <w:r w:rsidRPr="00A61C4C">
        <w:rPr>
          <w:bCs/>
          <w:sz w:val="16"/>
          <w:szCs w:val="16"/>
        </w:rPr>
        <w:t xml:space="preserve"> </w:t>
      </w:r>
      <w:r>
        <w:rPr>
          <w:bCs/>
          <w:sz w:val="16"/>
          <w:szCs w:val="16"/>
        </w:rPr>
        <w:t>(Eds.),</w:t>
      </w:r>
      <w:r w:rsidRPr="00A61C4C">
        <w:rPr>
          <w:bCs/>
          <w:sz w:val="16"/>
          <w:szCs w:val="16"/>
        </w:rPr>
        <w:t xml:space="preserve"> </w:t>
      </w:r>
      <w:r w:rsidRPr="00A61C4C">
        <w:rPr>
          <w:bCs/>
          <w:i/>
          <w:iCs/>
          <w:sz w:val="16"/>
          <w:szCs w:val="16"/>
          <w:lang w:val="en-GB"/>
        </w:rPr>
        <w:t xml:space="preserve">Learning </w:t>
      </w:r>
      <w:r>
        <w:rPr>
          <w:bCs/>
          <w:i/>
          <w:iCs/>
          <w:sz w:val="16"/>
          <w:szCs w:val="16"/>
          <w:lang w:val="en-GB"/>
        </w:rPr>
        <w:t>f</w:t>
      </w:r>
      <w:r w:rsidRPr="00A61C4C">
        <w:rPr>
          <w:bCs/>
          <w:i/>
          <w:iCs/>
          <w:sz w:val="16"/>
          <w:szCs w:val="16"/>
          <w:lang w:val="en-GB"/>
        </w:rPr>
        <w:t xml:space="preserve">rom </w:t>
      </w:r>
      <w:r>
        <w:rPr>
          <w:bCs/>
          <w:i/>
          <w:iCs/>
          <w:sz w:val="16"/>
          <w:szCs w:val="16"/>
          <w:lang w:val="en-GB"/>
        </w:rPr>
        <w:t>t</w:t>
      </w:r>
      <w:r w:rsidRPr="00A61C4C">
        <w:rPr>
          <w:bCs/>
          <w:i/>
          <w:iCs/>
          <w:sz w:val="16"/>
          <w:szCs w:val="16"/>
          <w:lang w:val="en-GB"/>
        </w:rPr>
        <w:t>extbooks</w:t>
      </w:r>
      <w:r>
        <w:rPr>
          <w:bCs/>
          <w:i/>
          <w:iCs/>
          <w:sz w:val="16"/>
          <w:szCs w:val="16"/>
          <w:lang w:val="en-GB"/>
        </w:rPr>
        <w:t xml:space="preserve"> </w:t>
      </w:r>
      <w:r w:rsidRPr="00BF35D7">
        <w:rPr>
          <w:bCs/>
          <w:iCs/>
          <w:sz w:val="16"/>
          <w:szCs w:val="16"/>
          <w:lang w:val="en-GB"/>
        </w:rPr>
        <w:t>(s. 69</w:t>
      </w:r>
      <w:r>
        <w:rPr>
          <w:bCs/>
          <w:iCs/>
          <w:sz w:val="16"/>
          <w:szCs w:val="16"/>
          <w:lang w:val="en-GB"/>
        </w:rPr>
        <w:t>–</w:t>
      </w:r>
      <w:r w:rsidRPr="00BF35D7">
        <w:rPr>
          <w:bCs/>
          <w:iCs/>
          <w:sz w:val="16"/>
          <w:szCs w:val="16"/>
          <w:lang w:val="en-GB"/>
        </w:rPr>
        <w:t xml:space="preserve">94). </w:t>
      </w:r>
      <w:r w:rsidRPr="00A61C4C">
        <w:rPr>
          <w:bCs/>
          <w:sz w:val="16"/>
          <w:szCs w:val="16"/>
          <w:lang w:val="en-GB"/>
        </w:rPr>
        <w:t>Hillsda</w:t>
      </w:r>
      <w:r>
        <w:rPr>
          <w:bCs/>
          <w:sz w:val="16"/>
          <w:szCs w:val="16"/>
          <w:lang w:val="en-GB"/>
        </w:rPr>
        <w:t>le: Lawrence Erlbaum Associates.</w:t>
      </w:r>
    </w:p>
    <w:p w:rsidR="0015711E" w:rsidRPr="00121F79" w:rsidRDefault="0015711E" w:rsidP="00121F79">
      <w:pPr>
        <w:ind w:left="426" w:hanging="426"/>
        <w:rPr>
          <w:sz w:val="16"/>
          <w:szCs w:val="16"/>
        </w:rPr>
      </w:pPr>
      <w:r w:rsidRPr="00121F79">
        <w:rPr>
          <w:sz w:val="16"/>
          <w:szCs w:val="16"/>
        </w:rPr>
        <w:t xml:space="preserve">Avenarius, H., Blum, W., Döbrich, P., Gruber, H., Prenzel, M., Reiss, K., ... &amp; Vollmer, H. J. (2003). </w:t>
      </w:r>
      <w:r w:rsidRPr="00121F79">
        <w:rPr>
          <w:i/>
          <w:sz w:val="16"/>
          <w:szCs w:val="16"/>
        </w:rPr>
        <w:t>Zur Entwicklung nationaler Bildungsstandards</w:t>
      </w:r>
      <w:r w:rsidRPr="00121F79">
        <w:rPr>
          <w:sz w:val="16"/>
          <w:szCs w:val="16"/>
        </w:rPr>
        <w:t xml:space="preserve">. Bonn: BMBF. </w:t>
      </w:r>
    </w:p>
    <w:p w:rsidR="0015711E" w:rsidRDefault="0015711E" w:rsidP="005D4AD4">
      <w:pPr>
        <w:ind w:left="426" w:hanging="426"/>
        <w:rPr>
          <w:sz w:val="16"/>
          <w:szCs w:val="16"/>
        </w:rPr>
      </w:pPr>
      <w:r w:rsidRPr="005D4AD4">
        <w:rPr>
          <w:sz w:val="16"/>
          <w:szCs w:val="16"/>
        </w:rPr>
        <w:t>Ball, D. L., &amp; Cohen, D. K. (1996). Reform by the book: What is</w:t>
      </w:r>
      <w:r>
        <w:rPr>
          <w:sz w:val="16"/>
          <w:szCs w:val="16"/>
        </w:rPr>
        <w:t xml:space="preserve"> </w:t>
      </w:r>
      <w:r w:rsidRPr="007A49C9">
        <w:rPr>
          <w:sz w:val="16"/>
          <w:szCs w:val="16"/>
        </w:rPr>
        <w:t>–</w:t>
      </w:r>
      <w:r>
        <w:rPr>
          <w:sz w:val="16"/>
          <w:szCs w:val="16"/>
        </w:rPr>
        <w:t xml:space="preserve"> or might be </w:t>
      </w:r>
      <w:r w:rsidRPr="007A49C9">
        <w:rPr>
          <w:sz w:val="16"/>
          <w:szCs w:val="16"/>
        </w:rPr>
        <w:t>–</w:t>
      </w:r>
      <w:r>
        <w:rPr>
          <w:sz w:val="16"/>
          <w:szCs w:val="16"/>
        </w:rPr>
        <w:t xml:space="preserve"> t</w:t>
      </w:r>
      <w:r w:rsidRPr="005D4AD4">
        <w:rPr>
          <w:sz w:val="16"/>
          <w:szCs w:val="16"/>
        </w:rPr>
        <w:t>he role of curriculum materials in teacher lea</w:t>
      </w:r>
      <w:r>
        <w:rPr>
          <w:sz w:val="16"/>
          <w:szCs w:val="16"/>
        </w:rPr>
        <w:t>rning and instructional reform?</w:t>
      </w:r>
      <w:r w:rsidRPr="005D4AD4">
        <w:rPr>
          <w:sz w:val="16"/>
          <w:szCs w:val="16"/>
        </w:rPr>
        <w:t xml:space="preserve"> </w:t>
      </w:r>
      <w:r w:rsidRPr="005D4AD4">
        <w:rPr>
          <w:i/>
          <w:iCs/>
          <w:sz w:val="16"/>
          <w:szCs w:val="16"/>
        </w:rPr>
        <w:t xml:space="preserve">Educational </w:t>
      </w:r>
      <w:r>
        <w:rPr>
          <w:i/>
          <w:iCs/>
          <w:sz w:val="16"/>
          <w:szCs w:val="16"/>
        </w:rPr>
        <w:t>R</w:t>
      </w:r>
      <w:r w:rsidRPr="005D4AD4">
        <w:rPr>
          <w:i/>
          <w:iCs/>
          <w:sz w:val="16"/>
          <w:szCs w:val="16"/>
        </w:rPr>
        <w:t>esearcher</w:t>
      </w:r>
      <w:r w:rsidRPr="005D4AD4">
        <w:rPr>
          <w:sz w:val="16"/>
          <w:szCs w:val="16"/>
        </w:rPr>
        <w:t xml:space="preserve">, </w:t>
      </w:r>
      <w:r w:rsidRPr="00E11F3C">
        <w:rPr>
          <w:i/>
          <w:sz w:val="16"/>
          <w:szCs w:val="16"/>
        </w:rPr>
        <w:t>25</w:t>
      </w:r>
      <w:r>
        <w:rPr>
          <w:sz w:val="16"/>
          <w:szCs w:val="16"/>
        </w:rPr>
        <w:t xml:space="preserve">(9), </w:t>
      </w:r>
      <w:r w:rsidRPr="005D4AD4">
        <w:rPr>
          <w:sz w:val="16"/>
          <w:szCs w:val="16"/>
        </w:rPr>
        <w:t>6</w:t>
      </w:r>
      <w:r>
        <w:rPr>
          <w:sz w:val="16"/>
          <w:szCs w:val="16"/>
        </w:rPr>
        <w:t>–</w:t>
      </w:r>
      <w:r w:rsidRPr="005D4AD4">
        <w:rPr>
          <w:sz w:val="16"/>
          <w:szCs w:val="16"/>
        </w:rPr>
        <w:t>14.</w:t>
      </w:r>
    </w:p>
    <w:p w:rsidR="0015711E" w:rsidRPr="006346E5" w:rsidRDefault="0015711E" w:rsidP="006346E5">
      <w:pPr>
        <w:ind w:left="426" w:hanging="426"/>
        <w:rPr>
          <w:sz w:val="16"/>
          <w:szCs w:val="16"/>
        </w:rPr>
      </w:pPr>
      <w:r w:rsidRPr="006346E5">
        <w:rPr>
          <w:sz w:val="16"/>
          <w:szCs w:val="16"/>
        </w:rPr>
        <w:t xml:space="preserve">Bandura, A. (1990). </w:t>
      </w:r>
      <w:r w:rsidRPr="00E11F3C">
        <w:rPr>
          <w:iCs/>
          <w:sz w:val="16"/>
          <w:szCs w:val="16"/>
        </w:rPr>
        <w:t>Conclusion: Reflections on nonability determinants of competence</w:t>
      </w:r>
      <w:r w:rsidRPr="006346E5">
        <w:rPr>
          <w:sz w:val="16"/>
          <w:szCs w:val="16"/>
        </w:rPr>
        <w:t xml:space="preserve">. In R. Sternberg &amp; J. Kolligian Jr. (Eds.), </w:t>
      </w:r>
      <w:r w:rsidRPr="00E11F3C">
        <w:rPr>
          <w:i/>
          <w:sz w:val="16"/>
          <w:szCs w:val="16"/>
        </w:rPr>
        <w:t>Competence considered</w:t>
      </w:r>
      <w:r w:rsidRPr="006346E5">
        <w:rPr>
          <w:sz w:val="16"/>
          <w:szCs w:val="16"/>
        </w:rPr>
        <w:t xml:space="preserve"> (s. 315–362). New Haven: Yale University Press.</w:t>
      </w:r>
    </w:p>
    <w:p w:rsidR="0015711E" w:rsidRPr="007C0E29" w:rsidRDefault="0015711E" w:rsidP="007C0E29">
      <w:pPr>
        <w:ind w:left="426" w:hanging="426"/>
        <w:rPr>
          <w:sz w:val="16"/>
          <w:szCs w:val="16"/>
        </w:rPr>
      </w:pPr>
      <w:r w:rsidRPr="007C0E29">
        <w:rPr>
          <w:sz w:val="16"/>
          <w:szCs w:val="16"/>
        </w:rPr>
        <w:t xml:space="preserve">Bank, V. (2012). On OECD </w:t>
      </w:r>
      <w:r>
        <w:rPr>
          <w:sz w:val="16"/>
          <w:szCs w:val="16"/>
        </w:rPr>
        <w:t>p</w:t>
      </w:r>
      <w:r w:rsidRPr="007C0E29">
        <w:rPr>
          <w:sz w:val="16"/>
          <w:szCs w:val="16"/>
        </w:rPr>
        <w:t>olicie</w:t>
      </w:r>
      <w:r>
        <w:rPr>
          <w:sz w:val="16"/>
          <w:szCs w:val="16"/>
        </w:rPr>
        <w:t>s and the pitfalls in economy-</w:t>
      </w:r>
      <w:r w:rsidRPr="007C0E29">
        <w:rPr>
          <w:sz w:val="16"/>
          <w:szCs w:val="16"/>
        </w:rPr>
        <w:t xml:space="preserve">driven education. The case of Germany. </w:t>
      </w:r>
      <w:r w:rsidRPr="007C0E29">
        <w:rPr>
          <w:i/>
          <w:sz w:val="16"/>
          <w:szCs w:val="16"/>
        </w:rPr>
        <w:t>Journal of Curriculum Studies, 44</w:t>
      </w:r>
      <w:r w:rsidRPr="007C0E29">
        <w:rPr>
          <w:sz w:val="16"/>
          <w:szCs w:val="16"/>
        </w:rPr>
        <w:t>(2), 193–210.</w:t>
      </w:r>
    </w:p>
    <w:p w:rsidR="0015711E" w:rsidRPr="00475FF3" w:rsidRDefault="0015711E" w:rsidP="00475FF3">
      <w:pPr>
        <w:ind w:left="426" w:hanging="426"/>
        <w:rPr>
          <w:sz w:val="16"/>
          <w:szCs w:val="16"/>
        </w:rPr>
      </w:pPr>
      <w:r w:rsidRPr="00475FF3">
        <w:rPr>
          <w:sz w:val="16"/>
          <w:szCs w:val="16"/>
        </w:rPr>
        <w:t xml:space="preserve">Barrow, R. (1999). The higher nonsense: Some persistent errors in educational thinking. </w:t>
      </w:r>
      <w:r w:rsidRPr="00402176">
        <w:rPr>
          <w:i/>
          <w:sz w:val="16"/>
          <w:szCs w:val="16"/>
        </w:rPr>
        <w:t>Journal of Curriculum Studies, 31</w:t>
      </w:r>
      <w:r w:rsidRPr="00475FF3">
        <w:rPr>
          <w:sz w:val="16"/>
          <w:szCs w:val="16"/>
        </w:rPr>
        <w:t>(2), 131</w:t>
      </w:r>
      <w:r>
        <w:rPr>
          <w:sz w:val="16"/>
          <w:szCs w:val="16"/>
        </w:rPr>
        <w:t>–</w:t>
      </w:r>
      <w:r w:rsidRPr="00475FF3">
        <w:rPr>
          <w:sz w:val="16"/>
          <w:szCs w:val="16"/>
        </w:rPr>
        <w:t>142.</w:t>
      </w:r>
    </w:p>
    <w:p w:rsidR="0015711E" w:rsidRPr="006346E5" w:rsidRDefault="0015711E" w:rsidP="006346E5">
      <w:pPr>
        <w:ind w:left="426" w:hanging="426"/>
        <w:rPr>
          <w:sz w:val="16"/>
          <w:szCs w:val="16"/>
        </w:rPr>
      </w:pPr>
      <w:r w:rsidRPr="0089528B">
        <w:rPr>
          <w:sz w:val="16"/>
          <w:szCs w:val="16"/>
        </w:rPr>
        <w:t xml:space="preserve">Barrows, H. S. (1985). </w:t>
      </w:r>
      <w:r w:rsidRPr="0089528B">
        <w:rPr>
          <w:i/>
          <w:iCs/>
          <w:sz w:val="16"/>
          <w:szCs w:val="16"/>
        </w:rPr>
        <w:t>How to design a problem-based curriculum for the preclinical years</w:t>
      </w:r>
      <w:r w:rsidRPr="0089528B">
        <w:rPr>
          <w:sz w:val="16"/>
          <w:szCs w:val="16"/>
        </w:rPr>
        <w:t>. New York: Springer</w:t>
      </w:r>
      <w:r>
        <w:rPr>
          <w:sz w:val="16"/>
          <w:szCs w:val="16"/>
        </w:rPr>
        <w:t>.</w:t>
      </w:r>
      <w:r w:rsidRPr="006346E5">
        <w:rPr>
          <w:sz w:val="16"/>
          <w:szCs w:val="16"/>
        </w:rPr>
        <w:t xml:space="preserve"> </w:t>
      </w:r>
    </w:p>
    <w:p w:rsidR="0015711E" w:rsidRPr="00CF0784" w:rsidRDefault="0015711E" w:rsidP="00CF0784">
      <w:pPr>
        <w:ind w:left="426" w:hanging="426"/>
        <w:rPr>
          <w:sz w:val="16"/>
          <w:szCs w:val="16"/>
        </w:rPr>
      </w:pPr>
      <w:r w:rsidRPr="00CF0784">
        <w:rPr>
          <w:sz w:val="16"/>
          <w:szCs w:val="16"/>
        </w:rPr>
        <w:t>Barrows, H. S. (1986). A taxonomy of problem</w:t>
      </w:r>
      <w:r w:rsidRPr="00CF0784">
        <w:rPr>
          <w:rFonts w:ascii="Cambria Math" w:hAnsi="Cambria Math" w:cs="Cambria Math"/>
          <w:sz w:val="16"/>
          <w:szCs w:val="16"/>
        </w:rPr>
        <w:t>‐</w:t>
      </w:r>
      <w:r w:rsidRPr="00CF0784">
        <w:rPr>
          <w:sz w:val="16"/>
          <w:szCs w:val="16"/>
        </w:rPr>
        <w:t xml:space="preserve">based learning methods. </w:t>
      </w:r>
      <w:r w:rsidRPr="00402176">
        <w:rPr>
          <w:i/>
          <w:sz w:val="16"/>
          <w:szCs w:val="16"/>
        </w:rPr>
        <w:t xml:space="preserve">Medical </w:t>
      </w:r>
      <w:r>
        <w:rPr>
          <w:i/>
          <w:sz w:val="16"/>
          <w:szCs w:val="16"/>
        </w:rPr>
        <w:t>E</w:t>
      </w:r>
      <w:r w:rsidRPr="00402176">
        <w:rPr>
          <w:i/>
          <w:sz w:val="16"/>
          <w:szCs w:val="16"/>
        </w:rPr>
        <w:t>ducation, 20</w:t>
      </w:r>
      <w:r w:rsidRPr="00CF0784">
        <w:rPr>
          <w:sz w:val="16"/>
          <w:szCs w:val="16"/>
        </w:rPr>
        <w:t>(6), 481</w:t>
      </w:r>
      <w:r>
        <w:rPr>
          <w:sz w:val="16"/>
          <w:szCs w:val="16"/>
        </w:rPr>
        <w:t>–</w:t>
      </w:r>
      <w:r w:rsidRPr="00CF0784">
        <w:rPr>
          <w:sz w:val="16"/>
          <w:szCs w:val="16"/>
        </w:rPr>
        <w:t>486.</w:t>
      </w:r>
    </w:p>
    <w:p w:rsidR="0015711E" w:rsidRPr="006346E5" w:rsidRDefault="0015711E" w:rsidP="005A6958">
      <w:pPr>
        <w:ind w:left="426" w:hanging="426"/>
        <w:rPr>
          <w:sz w:val="16"/>
          <w:szCs w:val="16"/>
        </w:rPr>
      </w:pPr>
      <w:r w:rsidRPr="006346E5">
        <w:rPr>
          <w:sz w:val="16"/>
          <w:szCs w:val="16"/>
        </w:rPr>
        <w:t xml:space="preserve">Bassok, M. (2003). Analogical transfer in problem solving. In J. E. Davidson &amp; R. J. Sternberg (Eds.), </w:t>
      </w:r>
      <w:r w:rsidRPr="006346E5">
        <w:rPr>
          <w:i/>
          <w:sz w:val="16"/>
          <w:szCs w:val="16"/>
        </w:rPr>
        <w:t>The psychology of problem solving</w:t>
      </w:r>
      <w:r w:rsidRPr="006346E5">
        <w:rPr>
          <w:sz w:val="16"/>
          <w:szCs w:val="16"/>
        </w:rPr>
        <w:t xml:space="preserve"> (</w:t>
      </w:r>
      <w:r>
        <w:rPr>
          <w:sz w:val="16"/>
          <w:szCs w:val="16"/>
        </w:rPr>
        <w:t xml:space="preserve">s. </w:t>
      </w:r>
      <w:r w:rsidRPr="006346E5">
        <w:rPr>
          <w:sz w:val="16"/>
          <w:szCs w:val="16"/>
        </w:rPr>
        <w:t>343–369). Cambridge: Cambridge University Press.</w:t>
      </w:r>
    </w:p>
    <w:p w:rsidR="0015711E" w:rsidRPr="007C0E29" w:rsidRDefault="0015711E" w:rsidP="007C0E29">
      <w:pPr>
        <w:ind w:left="426" w:hanging="426"/>
        <w:rPr>
          <w:bCs/>
          <w:sz w:val="16"/>
          <w:szCs w:val="16"/>
        </w:rPr>
      </w:pPr>
      <w:r w:rsidRPr="007C0E29">
        <w:rPr>
          <w:bCs/>
          <w:sz w:val="16"/>
          <w:szCs w:val="16"/>
        </w:rPr>
        <w:t xml:space="preserve">Bayrhuber, H., Bögeholz, S., Elster, D., Hammann, M., Hößle, C., Lücken, M., ... &amp; Sandmann, A. (2007). Biologie im Kontext. </w:t>
      </w:r>
      <w:r w:rsidRPr="007C0E29">
        <w:rPr>
          <w:bCs/>
          <w:i/>
          <w:sz w:val="16"/>
          <w:szCs w:val="16"/>
        </w:rPr>
        <w:t>Der mathematische und naturwissenschaftliche Unterricht, 60</w:t>
      </w:r>
      <w:r w:rsidRPr="007C0E29">
        <w:rPr>
          <w:bCs/>
          <w:sz w:val="16"/>
          <w:szCs w:val="16"/>
        </w:rPr>
        <w:t>(5), 282–286.</w:t>
      </w:r>
    </w:p>
    <w:p w:rsidR="0015711E" w:rsidRPr="00B544D7" w:rsidRDefault="0015711E" w:rsidP="00B544D7">
      <w:pPr>
        <w:ind w:left="426" w:hanging="426"/>
        <w:rPr>
          <w:bCs/>
          <w:iCs/>
          <w:sz w:val="16"/>
          <w:szCs w:val="16"/>
        </w:rPr>
      </w:pPr>
      <w:r w:rsidRPr="00B544D7">
        <w:rPr>
          <w:bCs/>
          <w:iCs/>
          <w:sz w:val="16"/>
          <w:szCs w:val="16"/>
        </w:rPr>
        <w:t xml:space="preserve">Beck, J. (2013). Powerful knowledge, esoteric knowledge, curriculum knowledge. </w:t>
      </w:r>
      <w:r w:rsidRPr="00AA6590">
        <w:rPr>
          <w:bCs/>
          <w:i/>
          <w:iCs/>
          <w:sz w:val="16"/>
          <w:szCs w:val="16"/>
        </w:rPr>
        <w:t>Cambridge Journal of Education, 43</w:t>
      </w:r>
      <w:r w:rsidRPr="00B544D7">
        <w:rPr>
          <w:bCs/>
          <w:iCs/>
          <w:sz w:val="16"/>
          <w:szCs w:val="16"/>
        </w:rPr>
        <w:t>(2), 177</w:t>
      </w:r>
      <w:r>
        <w:rPr>
          <w:bCs/>
          <w:iCs/>
          <w:sz w:val="16"/>
          <w:szCs w:val="16"/>
        </w:rPr>
        <w:t>–</w:t>
      </w:r>
      <w:r w:rsidRPr="00B544D7">
        <w:rPr>
          <w:bCs/>
          <w:iCs/>
          <w:sz w:val="16"/>
          <w:szCs w:val="16"/>
        </w:rPr>
        <w:t>193.</w:t>
      </w:r>
    </w:p>
    <w:p w:rsidR="0015711E" w:rsidRPr="007C0E29" w:rsidRDefault="0015711E" w:rsidP="007C0E29">
      <w:pPr>
        <w:ind w:left="426" w:hanging="426"/>
        <w:rPr>
          <w:sz w:val="16"/>
          <w:szCs w:val="16"/>
        </w:rPr>
      </w:pPr>
      <w:r w:rsidRPr="007C0E29">
        <w:rPr>
          <w:sz w:val="16"/>
          <w:szCs w:val="16"/>
        </w:rPr>
        <w:t xml:space="preserve">Beckmann, J. F., &amp; Guthke, J. (1995). Complex problem solving, inteligence, and learning ability. In P. A. Frensch &amp; J. Funke (Eds.), </w:t>
      </w:r>
      <w:r w:rsidRPr="007C0E29">
        <w:rPr>
          <w:i/>
          <w:sz w:val="16"/>
          <w:szCs w:val="16"/>
        </w:rPr>
        <w:t>Complex problem solving: The European perspective</w:t>
      </w:r>
      <w:r w:rsidRPr="007C0E29">
        <w:rPr>
          <w:sz w:val="16"/>
          <w:szCs w:val="16"/>
        </w:rPr>
        <w:t xml:space="preserve"> (s. 177–200). Hillsdale: Lawrence Erlbaum Associates.</w:t>
      </w:r>
    </w:p>
    <w:p w:rsidR="0015711E" w:rsidRPr="00FB7088" w:rsidRDefault="0015711E" w:rsidP="00FB7088">
      <w:pPr>
        <w:ind w:left="426" w:hanging="426"/>
        <w:rPr>
          <w:bCs/>
          <w:sz w:val="16"/>
          <w:szCs w:val="16"/>
        </w:rPr>
      </w:pPr>
      <w:r w:rsidRPr="00FB7088">
        <w:rPr>
          <w:bCs/>
          <w:sz w:val="16"/>
          <w:szCs w:val="16"/>
        </w:rPr>
        <w:t xml:space="preserve">Bednarz, S. W. (2003). Nine years on: Examining implementation of the National Geography Standards. </w:t>
      </w:r>
      <w:r w:rsidRPr="00FB7088">
        <w:rPr>
          <w:bCs/>
          <w:i/>
          <w:sz w:val="16"/>
          <w:szCs w:val="16"/>
        </w:rPr>
        <w:t>Journal of Geography,</w:t>
      </w:r>
      <w:r w:rsidRPr="00FB7088">
        <w:rPr>
          <w:bCs/>
          <w:sz w:val="16"/>
          <w:szCs w:val="16"/>
        </w:rPr>
        <w:t xml:space="preserve"> </w:t>
      </w:r>
      <w:r w:rsidRPr="00FB7088">
        <w:rPr>
          <w:bCs/>
          <w:i/>
          <w:sz w:val="16"/>
          <w:szCs w:val="16"/>
        </w:rPr>
        <w:t>102</w:t>
      </w:r>
      <w:r w:rsidRPr="00FB7088">
        <w:rPr>
          <w:bCs/>
          <w:sz w:val="16"/>
          <w:szCs w:val="16"/>
        </w:rPr>
        <w:t>(3), 99–109.</w:t>
      </w:r>
    </w:p>
    <w:p w:rsidR="0015711E" w:rsidRDefault="0015711E" w:rsidP="008473B0">
      <w:pPr>
        <w:ind w:left="426" w:hanging="426"/>
        <w:rPr>
          <w:sz w:val="16"/>
          <w:szCs w:val="16"/>
        </w:rPr>
      </w:pPr>
      <w:r w:rsidRPr="008473B0">
        <w:rPr>
          <w:sz w:val="16"/>
          <w:szCs w:val="16"/>
        </w:rPr>
        <w:t>Bednarz, S., et al. (1994).</w:t>
      </w:r>
      <w:r w:rsidRPr="008473B0">
        <w:rPr>
          <w:i/>
          <w:sz w:val="16"/>
          <w:szCs w:val="16"/>
        </w:rPr>
        <w:t xml:space="preserve"> Geography for life: National geography standards</w:t>
      </w:r>
      <w:r w:rsidRPr="008473B0">
        <w:rPr>
          <w:sz w:val="16"/>
          <w:szCs w:val="16"/>
        </w:rPr>
        <w:t>. Washington: National Geographic Research &amp; Exploration.</w:t>
      </w:r>
    </w:p>
    <w:p w:rsidR="0015711E" w:rsidRPr="00A32765" w:rsidRDefault="0015711E" w:rsidP="00A32765">
      <w:pPr>
        <w:ind w:left="426" w:hanging="426"/>
        <w:rPr>
          <w:sz w:val="16"/>
          <w:szCs w:val="16"/>
        </w:rPr>
      </w:pPr>
      <w:bookmarkStart w:id="128" w:name="_ENREF_3"/>
      <w:r w:rsidRPr="00A32765">
        <w:rPr>
          <w:sz w:val="16"/>
          <w:szCs w:val="16"/>
        </w:rPr>
        <w:t xml:space="preserve">Beer, R. (2006). Qualitätsentwicklung durch Bildungsstandards? In F. Eder, A. Gastager &amp; F. Hofmann (Eds.), </w:t>
      </w:r>
      <w:r w:rsidRPr="00A32765">
        <w:rPr>
          <w:i/>
          <w:sz w:val="16"/>
          <w:szCs w:val="16"/>
        </w:rPr>
        <w:t>Qualität durch Standards?</w:t>
      </w:r>
      <w:r w:rsidRPr="00A32765">
        <w:rPr>
          <w:sz w:val="16"/>
          <w:szCs w:val="16"/>
        </w:rPr>
        <w:t xml:space="preserve"> (</w:t>
      </w:r>
      <w:r>
        <w:rPr>
          <w:sz w:val="16"/>
          <w:szCs w:val="16"/>
        </w:rPr>
        <w:t>s</w:t>
      </w:r>
      <w:r w:rsidRPr="00A32765">
        <w:rPr>
          <w:sz w:val="16"/>
          <w:szCs w:val="16"/>
        </w:rPr>
        <w:t>. 253–264). Münster: Waxmann.</w:t>
      </w:r>
      <w:bookmarkEnd w:id="128"/>
    </w:p>
    <w:p w:rsidR="0015711E" w:rsidRPr="007A49C9" w:rsidRDefault="0015711E" w:rsidP="007A49C9">
      <w:pPr>
        <w:ind w:left="426" w:hanging="426"/>
        <w:rPr>
          <w:sz w:val="16"/>
          <w:szCs w:val="16"/>
        </w:rPr>
      </w:pPr>
      <w:r w:rsidRPr="007A49C9">
        <w:rPr>
          <w:sz w:val="16"/>
          <w:szCs w:val="16"/>
        </w:rPr>
        <w:t xml:space="preserve">Bennetts, T. (2005). Progression in geographical understanding. </w:t>
      </w:r>
      <w:r w:rsidRPr="007A49C9">
        <w:rPr>
          <w:i/>
          <w:iCs/>
          <w:sz w:val="16"/>
          <w:szCs w:val="16"/>
        </w:rPr>
        <w:t>International Research in Geographical &amp; Environmental Education</w:t>
      </w:r>
      <w:r w:rsidRPr="007A49C9">
        <w:rPr>
          <w:sz w:val="16"/>
          <w:szCs w:val="16"/>
        </w:rPr>
        <w:t xml:space="preserve">, </w:t>
      </w:r>
      <w:r w:rsidRPr="007A49C9">
        <w:rPr>
          <w:i/>
          <w:iCs/>
          <w:sz w:val="16"/>
          <w:szCs w:val="16"/>
        </w:rPr>
        <w:t>14</w:t>
      </w:r>
      <w:r w:rsidRPr="007A49C9">
        <w:rPr>
          <w:sz w:val="16"/>
          <w:szCs w:val="16"/>
        </w:rPr>
        <w:t>(2), 112–132.</w:t>
      </w:r>
    </w:p>
    <w:p w:rsidR="0015711E" w:rsidRPr="00A32765" w:rsidRDefault="0015711E" w:rsidP="00A32765">
      <w:pPr>
        <w:ind w:left="426" w:hanging="426"/>
        <w:rPr>
          <w:sz w:val="16"/>
          <w:szCs w:val="16"/>
        </w:rPr>
      </w:pPr>
      <w:r w:rsidRPr="00A32765">
        <w:rPr>
          <w:sz w:val="16"/>
          <w:szCs w:val="16"/>
        </w:rPr>
        <w:t xml:space="preserve">Bennetts, T. (2008). Improving geographical understanding at KS3. </w:t>
      </w:r>
      <w:r w:rsidRPr="000B2B2B">
        <w:rPr>
          <w:i/>
          <w:sz w:val="16"/>
          <w:szCs w:val="16"/>
        </w:rPr>
        <w:t>Teaching Geography, 33</w:t>
      </w:r>
      <w:r w:rsidRPr="00A32765">
        <w:rPr>
          <w:sz w:val="16"/>
          <w:szCs w:val="16"/>
        </w:rPr>
        <w:t>(2), 55.</w:t>
      </w:r>
    </w:p>
    <w:p w:rsidR="0015711E" w:rsidRPr="007C0E29" w:rsidRDefault="0015711E" w:rsidP="007C0E29">
      <w:pPr>
        <w:ind w:left="426" w:hanging="426"/>
        <w:rPr>
          <w:bCs/>
          <w:sz w:val="16"/>
          <w:szCs w:val="16"/>
        </w:rPr>
      </w:pPr>
      <w:r w:rsidRPr="007C0E29">
        <w:rPr>
          <w:bCs/>
          <w:sz w:val="16"/>
          <w:szCs w:val="16"/>
        </w:rPr>
        <w:t xml:space="preserve">Ben-Zwi Assaraf, &amp; Orion, N. (2005). Development of system thinking skills in the context of </w:t>
      </w:r>
      <w:r>
        <w:rPr>
          <w:bCs/>
          <w:sz w:val="16"/>
          <w:szCs w:val="16"/>
        </w:rPr>
        <w:t>E</w:t>
      </w:r>
      <w:r w:rsidRPr="007C0E29">
        <w:rPr>
          <w:bCs/>
          <w:sz w:val="16"/>
          <w:szCs w:val="16"/>
        </w:rPr>
        <w:t xml:space="preserve">arth system education. </w:t>
      </w:r>
      <w:r w:rsidRPr="007C0E29">
        <w:rPr>
          <w:bCs/>
          <w:i/>
          <w:iCs/>
          <w:sz w:val="16"/>
          <w:szCs w:val="16"/>
        </w:rPr>
        <w:t>Journal of Research in Science Teaching</w:t>
      </w:r>
      <w:r w:rsidRPr="007C0E29">
        <w:rPr>
          <w:bCs/>
          <w:sz w:val="16"/>
          <w:szCs w:val="16"/>
        </w:rPr>
        <w:t xml:space="preserve">, </w:t>
      </w:r>
      <w:r w:rsidRPr="007C0E29">
        <w:rPr>
          <w:bCs/>
          <w:i/>
          <w:iCs/>
          <w:sz w:val="16"/>
          <w:szCs w:val="16"/>
        </w:rPr>
        <w:t>42</w:t>
      </w:r>
      <w:r w:rsidRPr="007C0E29">
        <w:rPr>
          <w:bCs/>
          <w:sz w:val="16"/>
          <w:szCs w:val="16"/>
        </w:rPr>
        <w:t>(5), 518–560.</w:t>
      </w:r>
    </w:p>
    <w:p w:rsidR="0015711E" w:rsidRPr="0049586E" w:rsidRDefault="0015711E" w:rsidP="0049586E">
      <w:pPr>
        <w:ind w:left="426" w:hanging="426"/>
        <w:rPr>
          <w:bCs/>
          <w:iCs/>
          <w:sz w:val="16"/>
          <w:szCs w:val="16"/>
        </w:rPr>
      </w:pPr>
      <w:r w:rsidRPr="0049586E">
        <w:rPr>
          <w:bCs/>
          <w:iCs/>
          <w:sz w:val="16"/>
          <w:szCs w:val="16"/>
        </w:rPr>
        <w:t xml:space="preserve">Berelson, B. (1952). </w:t>
      </w:r>
      <w:r w:rsidRPr="0049586E">
        <w:rPr>
          <w:bCs/>
          <w:i/>
          <w:iCs/>
          <w:sz w:val="16"/>
          <w:szCs w:val="16"/>
        </w:rPr>
        <w:t>Content analysis in communication research.</w:t>
      </w:r>
      <w:r w:rsidRPr="0049586E">
        <w:rPr>
          <w:bCs/>
          <w:iCs/>
          <w:sz w:val="16"/>
          <w:szCs w:val="16"/>
        </w:rPr>
        <w:t xml:space="preserve"> New York: Free Press.</w:t>
      </w:r>
    </w:p>
    <w:p w:rsidR="0015711E" w:rsidRPr="007C0E29" w:rsidRDefault="0015711E" w:rsidP="007C0E29">
      <w:pPr>
        <w:ind w:left="426" w:hanging="426"/>
        <w:rPr>
          <w:sz w:val="16"/>
          <w:szCs w:val="16"/>
        </w:rPr>
      </w:pPr>
      <w:r w:rsidRPr="007C0E29">
        <w:rPr>
          <w:sz w:val="16"/>
          <w:szCs w:val="16"/>
        </w:rPr>
        <w:t xml:space="preserve">Berger, P. L., &amp; Luckmann, T. (1999). </w:t>
      </w:r>
      <w:r w:rsidRPr="007C0E29">
        <w:rPr>
          <w:i/>
          <w:sz w:val="16"/>
          <w:szCs w:val="16"/>
        </w:rPr>
        <w:t xml:space="preserve">Sociální konstrukce reality: pojednání o sociologii vědění. </w:t>
      </w:r>
      <w:r w:rsidRPr="007C0E29">
        <w:rPr>
          <w:sz w:val="16"/>
          <w:szCs w:val="16"/>
        </w:rPr>
        <w:t>Brno: CDK.</w:t>
      </w:r>
    </w:p>
    <w:p w:rsidR="0015711E" w:rsidRPr="00687EAA" w:rsidRDefault="0015711E" w:rsidP="00687EAA">
      <w:pPr>
        <w:ind w:left="426" w:hanging="426"/>
        <w:rPr>
          <w:bCs/>
          <w:sz w:val="16"/>
          <w:szCs w:val="16"/>
        </w:rPr>
      </w:pPr>
      <w:r>
        <w:rPr>
          <w:sz w:val="16"/>
          <w:szCs w:val="16"/>
        </w:rPr>
        <w:t xml:space="preserve">Berry, D. C., &amp; Broadbent, D. E. (1995). Implicit learning in the control of complex systems. In </w:t>
      </w:r>
      <w:r w:rsidRPr="007C0E29">
        <w:rPr>
          <w:bCs/>
          <w:sz w:val="16"/>
          <w:szCs w:val="16"/>
        </w:rPr>
        <w:t xml:space="preserve">P. A. Frensch &amp; J. Funke (Eds.), </w:t>
      </w:r>
      <w:r w:rsidRPr="007C0E29">
        <w:rPr>
          <w:bCs/>
          <w:i/>
          <w:iCs/>
          <w:sz w:val="16"/>
          <w:szCs w:val="16"/>
        </w:rPr>
        <w:t>Complex problem solving: The Eur</w:t>
      </w:r>
      <w:r>
        <w:rPr>
          <w:bCs/>
          <w:i/>
          <w:iCs/>
          <w:sz w:val="16"/>
          <w:szCs w:val="16"/>
        </w:rPr>
        <w:t xml:space="preserve">opean </w:t>
      </w:r>
      <w:r w:rsidRPr="007C0E29">
        <w:rPr>
          <w:bCs/>
          <w:i/>
          <w:iCs/>
          <w:sz w:val="16"/>
          <w:szCs w:val="16"/>
        </w:rPr>
        <w:t xml:space="preserve">perspective </w:t>
      </w:r>
      <w:r w:rsidRPr="007C0E29">
        <w:rPr>
          <w:bCs/>
          <w:iCs/>
          <w:sz w:val="16"/>
          <w:szCs w:val="16"/>
        </w:rPr>
        <w:t xml:space="preserve">(s. </w:t>
      </w:r>
      <w:r>
        <w:rPr>
          <w:bCs/>
          <w:iCs/>
          <w:sz w:val="16"/>
          <w:szCs w:val="16"/>
        </w:rPr>
        <w:t>131</w:t>
      </w:r>
      <w:r w:rsidRPr="007C0E29">
        <w:rPr>
          <w:bCs/>
          <w:iCs/>
          <w:sz w:val="16"/>
          <w:szCs w:val="16"/>
        </w:rPr>
        <w:t>–</w:t>
      </w:r>
      <w:r>
        <w:rPr>
          <w:bCs/>
          <w:iCs/>
          <w:sz w:val="16"/>
          <w:szCs w:val="16"/>
        </w:rPr>
        <w:t>150</w:t>
      </w:r>
      <w:r w:rsidRPr="007C0E29">
        <w:rPr>
          <w:bCs/>
          <w:iCs/>
          <w:sz w:val="16"/>
          <w:szCs w:val="16"/>
        </w:rPr>
        <w:t>)</w:t>
      </w:r>
      <w:r w:rsidRPr="007C0E29">
        <w:rPr>
          <w:bCs/>
          <w:sz w:val="16"/>
          <w:szCs w:val="16"/>
        </w:rPr>
        <w:t>.</w:t>
      </w:r>
      <w:r>
        <w:rPr>
          <w:bCs/>
          <w:sz w:val="16"/>
          <w:szCs w:val="16"/>
        </w:rPr>
        <w:t xml:space="preserve"> </w:t>
      </w:r>
      <w:r w:rsidRPr="007C0E29">
        <w:rPr>
          <w:bCs/>
          <w:sz w:val="16"/>
          <w:szCs w:val="16"/>
        </w:rPr>
        <w:t>Hillsdale: Lawrence Erlbaum Associates.</w:t>
      </w:r>
    </w:p>
    <w:p w:rsidR="0015711E" w:rsidRPr="008E1CDD" w:rsidRDefault="0015711E" w:rsidP="008E1CDD">
      <w:pPr>
        <w:ind w:left="426" w:hanging="426"/>
        <w:rPr>
          <w:sz w:val="16"/>
          <w:szCs w:val="16"/>
        </w:rPr>
      </w:pPr>
      <w:r w:rsidRPr="008E1CDD">
        <w:rPr>
          <w:sz w:val="16"/>
          <w:szCs w:val="16"/>
        </w:rPr>
        <w:t xml:space="preserve">Blömeke, S., Risse, J., Müller, C., Eichler, D., &amp; Schulz, W. (2006). Analyse der Qualität von Aufgaben aus didaktischer und fachlicher Sicht. Ein allgemeines Modell und seine exemplarische Umsetzung im Unterrichtsfach Mathematik. </w:t>
      </w:r>
      <w:r w:rsidRPr="008E1CDD">
        <w:rPr>
          <w:i/>
          <w:iCs/>
          <w:sz w:val="16"/>
          <w:szCs w:val="16"/>
        </w:rPr>
        <w:t>Unterrichtswissenschaft</w:t>
      </w:r>
      <w:r w:rsidRPr="008E1CDD">
        <w:rPr>
          <w:sz w:val="16"/>
          <w:szCs w:val="16"/>
        </w:rPr>
        <w:t xml:space="preserve">, </w:t>
      </w:r>
      <w:r w:rsidRPr="008E1CDD">
        <w:rPr>
          <w:i/>
          <w:iCs/>
          <w:sz w:val="16"/>
          <w:szCs w:val="16"/>
        </w:rPr>
        <w:t>34</w:t>
      </w:r>
      <w:r w:rsidRPr="008E1CDD">
        <w:rPr>
          <w:sz w:val="16"/>
          <w:szCs w:val="16"/>
        </w:rPr>
        <w:t>(4), 330</w:t>
      </w:r>
      <w:r>
        <w:rPr>
          <w:sz w:val="16"/>
          <w:szCs w:val="16"/>
        </w:rPr>
        <w:t>–</w:t>
      </w:r>
      <w:r w:rsidRPr="008E1CDD">
        <w:rPr>
          <w:sz w:val="16"/>
          <w:szCs w:val="16"/>
        </w:rPr>
        <w:t xml:space="preserve">357. </w:t>
      </w:r>
    </w:p>
    <w:p w:rsidR="0015711E" w:rsidRPr="007E51DC" w:rsidRDefault="0015711E" w:rsidP="007E51DC">
      <w:pPr>
        <w:ind w:left="426" w:hanging="426"/>
        <w:rPr>
          <w:sz w:val="16"/>
          <w:szCs w:val="16"/>
        </w:rPr>
      </w:pPr>
      <w:r w:rsidRPr="007E51DC">
        <w:rPr>
          <w:sz w:val="16"/>
          <w:szCs w:val="16"/>
        </w:rPr>
        <w:t xml:space="preserve">Bloom, B. S., Engelhart, M. D., Hill, H. H., Furst, E. J., &amp; Krathwhol, D. R. (1956). </w:t>
      </w:r>
      <w:r w:rsidRPr="007E51DC">
        <w:rPr>
          <w:i/>
          <w:sz w:val="16"/>
          <w:szCs w:val="16"/>
        </w:rPr>
        <w:t>Taxonomy of educational objectives. The classification of educational goals. Handbook I: Cognitive domain.</w:t>
      </w:r>
      <w:r w:rsidRPr="007E51DC">
        <w:rPr>
          <w:sz w:val="16"/>
          <w:szCs w:val="16"/>
        </w:rPr>
        <w:t xml:space="preserve"> New York: David McKay Company.</w:t>
      </w:r>
    </w:p>
    <w:p w:rsidR="0015711E" w:rsidRPr="007C0E29" w:rsidRDefault="0015711E" w:rsidP="007C0E29">
      <w:pPr>
        <w:ind w:left="426" w:hanging="426"/>
        <w:rPr>
          <w:sz w:val="16"/>
          <w:szCs w:val="16"/>
        </w:rPr>
      </w:pPr>
      <w:r w:rsidRPr="007C0E29">
        <w:rPr>
          <w:sz w:val="16"/>
          <w:szCs w:val="16"/>
        </w:rPr>
        <w:t xml:space="preserve">Blum, W., Drüke-Noe, C., Hartung, R., &amp; Köller, O. (2006). Bildungsstandards Mathematik: konkret. </w:t>
      </w:r>
      <w:r w:rsidRPr="007C0E29">
        <w:rPr>
          <w:i/>
          <w:iCs/>
          <w:sz w:val="16"/>
          <w:szCs w:val="16"/>
        </w:rPr>
        <w:t xml:space="preserve">Sekundarstufe I: Aufgabenbeispiele, Unterrichtsanregungen, Fortbildungsideen. </w:t>
      </w:r>
      <w:r w:rsidRPr="007564B7">
        <w:rPr>
          <w:iCs/>
          <w:sz w:val="16"/>
          <w:szCs w:val="16"/>
        </w:rPr>
        <w:t>Berlin</w:t>
      </w:r>
      <w:r w:rsidRPr="007564B7">
        <w:rPr>
          <w:sz w:val="16"/>
          <w:szCs w:val="16"/>
        </w:rPr>
        <w:t xml:space="preserve">: </w:t>
      </w:r>
      <w:r w:rsidRPr="007564B7">
        <w:rPr>
          <w:iCs/>
          <w:sz w:val="16"/>
          <w:szCs w:val="16"/>
        </w:rPr>
        <w:t>Cornelsen Scriptor</w:t>
      </w:r>
      <w:r>
        <w:rPr>
          <w:iCs/>
          <w:sz w:val="16"/>
          <w:szCs w:val="16"/>
        </w:rPr>
        <w:t>.</w:t>
      </w:r>
    </w:p>
    <w:p w:rsidR="0015711E" w:rsidRPr="005B2183" w:rsidRDefault="0015711E" w:rsidP="005B2183">
      <w:pPr>
        <w:ind w:left="426" w:hanging="426"/>
        <w:rPr>
          <w:bCs/>
          <w:iCs/>
          <w:sz w:val="16"/>
          <w:szCs w:val="16"/>
        </w:rPr>
      </w:pPr>
      <w:r w:rsidRPr="005B2183">
        <w:rPr>
          <w:bCs/>
          <w:iCs/>
          <w:sz w:val="16"/>
          <w:szCs w:val="16"/>
        </w:rPr>
        <w:t>Böhm-Kasper, O., Schuchart, C., &amp; Weishaupt, H. (2009). </w:t>
      </w:r>
      <w:r w:rsidRPr="005B2183">
        <w:rPr>
          <w:bCs/>
          <w:i/>
          <w:iCs/>
          <w:sz w:val="16"/>
          <w:szCs w:val="16"/>
        </w:rPr>
        <w:t>Quantitative Methoden in der Erziehungswissenschaft</w:t>
      </w:r>
      <w:r w:rsidRPr="005B2183">
        <w:rPr>
          <w:bCs/>
          <w:iCs/>
          <w:sz w:val="16"/>
          <w:szCs w:val="16"/>
        </w:rPr>
        <w:t>. Darmstadt: WBG.</w:t>
      </w:r>
    </w:p>
    <w:p w:rsidR="0015711E" w:rsidRPr="00492BA1" w:rsidRDefault="0015711E" w:rsidP="00492BA1">
      <w:pPr>
        <w:ind w:left="426" w:hanging="426"/>
        <w:rPr>
          <w:bCs/>
          <w:iCs/>
          <w:sz w:val="16"/>
          <w:szCs w:val="16"/>
        </w:rPr>
      </w:pPr>
      <w:r w:rsidRPr="00492BA1">
        <w:rPr>
          <w:bCs/>
          <w:iCs/>
          <w:sz w:val="16"/>
          <w:szCs w:val="16"/>
        </w:rPr>
        <w:t xml:space="preserve">Bonnet, A. (2008). </w:t>
      </w:r>
      <w:r w:rsidRPr="00492BA1">
        <w:rPr>
          <w:bCs/>
          <w:i/>
          <w:iCs/>
          <w:sz w:val="16"/>
          <w:szCs w:val="16"/>
        </w:rPr>
        <w:t>What is geography?</w:t>
      </w:r>
      <w:r w:rsidRPr="00492BA1">
        <w:rPr>
          <w:bCs/>
          <w:iCs/>
          <w:sz w:val="16"/>
          <w:szCs w:val="16"/>
        </w:rPr>
        <w:t xml:space="preserve"> London: Sage.</w:t>
      </w:r>
      <w:r w:rsidRPr="00492BA1">
        <w:rPr>
          <w:bCs/>
          <w:iCs/>
          <w:sz w:val="16"/>
          <w:szCs w:val="16"/>
        </w:rPr>
        <w:tab/>
      </w:r>
    </w:p>
    <w:p w:rsidR="0015711E" w:rsidRPr="0049586E" w:rsidRDefault="0015711E" w:rsidP="0049586E">
      <w:pPr>
        <w:ind w:left="426" w:hanging="426"/>
        <w:rPr>
          <w:bCs/>
          <w:iCs/>
          <w:sz w:val="16"/>
          <w:szCs w:val="16"/>
        </w:rPr>
      </w:pPr>
      <w:r w:rsidRPr="0049586E">
        <w:rPr>
          <w:bCs/>
          <w:iCs/>
          <w:sz w:val="16"/>
          <w:szCs w:val="16"/>
        </w:rPr>
        <w:t>Bortz, J., &amp; Döring, N. (1995). </w:t>
      </w:r>
      <w:r w:rsidRPr="0049586E">
        <w:rPr>
          <w:bCs/>
          <w:i/>
          <w:iCs/>
          <w:sz w:val="16"/>
          <w:szCs w:val="16"/>
        </w:rPr>
        <w:t>Forschungsmethoden und Evaluation</w:t>
      </w:r>
      <w:r w:rsidRPr="0049586E">
        <w:rPr>
          <w:bCs/>
          <w:iCs/>
          <w:sz w:val="16"/>
          <w:szCs w:val="16"/>
        </w:rPr>
        <w:t xml:space="preserve"> </w:t>
      </w:r>
      <w:r w:rsidRPr="0049586E">
        <w:rPr>
          <w:bCs/>
          <w:i/>
          <w:iCs/>
          <w:sz w:val="16"/>
          <w:szCs w:val="16"/>
        </w:rPr>
        <w:t>für Human- und Sozialwissenschaftler.</w:t>
      </w:r>
      <w:r w:rsidRPr="0049586E">
        <w:rPr>
          <w:bCs/>
          <w:iCs/>
          <w:sz w:val="16"/>
          <w:szCs w:val="16"/>
        </w:rPr>
        <w:t xml:space="preserve"> Berlin: Springer.</w:t>
      </w:r>
    </w:p>
    <w:p w:rsidR="0015711E" w:rsidRPr="009407C8" w:rsidRDefault="0015711E" w:rsidP="009407C8">
      <w:pPr>
        <w:ind w:left="426" w:hanging="426"/>
        <w:rPr>
          <w:bCs/>
          <w:sz w:val="16"/>
          <w:szCs w:val="16"/>
        </w:rPr>
      </w:pPr>
      <w:r w:rsidRPr="009407C8">
        <w:rPr>
          <w:bCs/>
          <w:sz w:val="16"/>
          <w:szCs w:val="16"/>
        </w:rPr>
        <w:t xml:space="preserve">Bourdieu, P., &amp; Passeron, J. C. (1974). Abhängigkeit in der Unabhängigkeit: Die relative gesellschaftliche Autonomie des Bildungssystems. In K. Hurrelmann (Ed.), </w:t>
      </w:r>
      <w:r w:rsidRPr="009407C8">
        <w:rPr>
          <w:bCs/>
          <w:i/>
          <w:sz w:val="16"/>
          <w:szCs w:val="16"/>
        </w:rPr>
        <w:t>Soziologie der Erziehung</w:t>
      </w:r>
      <w:r w:rsidRPr="009407C8">
        <w:rPr>
          <w:bCs/>
          <w:sz w:val="16"/>
          <w:szCs w:val="16"/>
        </w:rPr>
        <w:t xml:space="preserve"> (124–158). Weinheim: Beltz.</w:t>
      </w:r>
    </w:p>
    <w:p w:rsidR="0015711E" w:rsidRPr="007C0E29" w:rsidRDefault="0015711E" w:rsidP="007C0E29">
      <w:pPr>
        <w:ind w:left="426" w:hanging="426"/>
        <w:rPr>
          <w:i/>
          <w:sz w:val="16"/>
          <w:szCs w:val="16"/>
        </w:rPr>
      </w:pPr>
      <w:r w:rsidRPr="007C0E29">
        <w:rPr>
          <w:sz w:val="16"/>
          <w:szCs w:val="16"/>
        </w:rPr>
        <w:t xml:space="preserve">Bransford, J. D., Brown, A. L., &amp; Cocking, R. R. (Eds.). (1999). </w:t>
      </w:r>
      <w:r w:rsidRPr="007C0E29">
        <w:rPr>
          <w:i/>
          <w:sz w:val="16"/>
          <w:szCs w:val="16"/>
        </w:rPr>
        <w:t>How people learn: Brain, mind, experience, and school.</w:t>
      </w:r>
      <w:r w:rsidRPr="007C0E29">
        <w:rPr>
          <w:sz w:val="16"/>
          <w:szCs w:val="16"/>
        </w:rPr>
        <w:t xml:space="preserve"> Washington: National Academy Press.</w:t>
      </w:r>
    </w:p>
    <w:p w:rsidR="0015711E" w:rsidRPr="007C0E29" w:rsidRDefault="0015711E" w:rsidP="007C0E29">
      <w:pPr>
        <w:ind w:left="426" w:hanging="426"/>
        <w:rPr>
          <w:sz w:val="16"/>
          <w:szCs w:val="16"/>
        </w:rPr>
      </w:pPr>
      <w:r w:rsidRPr="007C0E29">
        <w:rPr>
          <w:sz w:val="16"/>
          <w:szCs w:val="16"/>
        </w:rPr>
        <w:t xml:space="preserve">Bransford, J. D., Sherwood, R. D., Hasselbring, T. S., Kinzer, C. K., &amp; Williams, S. M. (1990). Anchored instruction: Why we need it and how technology can help. In D. Nix &amp; R. Spiro (Eds.), </w:t>
      </w:r>
      <w:r w:rsidRPr="007C0E29">
        <w:rPr>
          <w:i/>
          <w:iCs/>
          <w:sz w:val="16"/>
          <w:szCs w:val="16"/>
        </w:rPr>
        <w:t>Cognition, education, and multimedia: Exploring ideas in high technology</w:t>
      </w:r>
      <w:r w:rsidRPr="007C0E29">
        <w:rPr>
          <w:sz w:val="16"/>
          <w:szCs w:val="16"/>
        </w:rPr>
        <w:t xml:space="preserve"> (s. 115–141). Hillsdale: Erlbaum.</w:t>
      </w:r>
    </w:p>
    <w:p w:rsidR="0015711E" w:rsidRPr="00057E96" w:rsidRDefault="0015711E" w:rsidP="00057E96">
      <w:pPr>
        <w:ind w:left="426" w:hanging="426"/>
        <w:rPr>
          <w:bCs/>
          <w:sz w:val="16"/>
          <w:szCs w:val="16"/>
        </w:rPr>
      </w:pPr>
      <w:r>
        <w:rPr>
          <w:bCs/>
          <w:iCs/>
          <w:sz w:val="16"/>
          <w:szCs w:val="16"/>
        </w:rPr>
        <w:t xml:space="preserve">Brehmer, B. (1995). Feedback delays in complex dynamic decision tasks. </w:t>
      </w:r>
      <w:r w:rsidRPr="007C0E29">
        <w:rPr>
          <w:bCs/>
          <w:sz w:val="16"/>
          <w:szCs w:val="16"/>
        </w:rPr>
        <w:t xml:space="preserve">In P. A. Frensch &amp; J. Funke (Eds.), </w:t>
      </w:r>
      <w:r w:rsidRPr="007C0E29">
        <w:rPr>
          <w:bCs/>
          <w:i/>
          <w:iCs/>
          <w:sz w:val="16"/>
          <w:szCs w:val="16"/>
        </w:rPr>
        <w:t>Complex problem solving: The Eur</w:t>
      </w:r>
      <w:r>
        <w:rPr>
          <w:bCs/>
          <w:i/>
          <w:iCs/>
          <w:sz w:val="16"/>
          <w:szCs w:val="16"/>
        </w:rPr>
        <w:t xml:space="preserve">opean </w:t>
      </w:r>
      <w:r w:rsidRPr="007C0E29">
        <w:rPr>
          <w:bCs/>
          <w:i/>
          <w:iCs/>
          <w:sz w:val="16"/>
          <w:szCs w:val="16"/>
        </w:rPr>
        <w:t xml:space="preserve">perspective </w:t>
      </w:r>
      <w:r w:rsidRPr="007C0E29">
        <w:rPr>
          <w:bCs/>
          <w:iCs/>
          <w:sz w:val="16"/>
          <w:szCs w:val="16"/>
        </w:rPr>
        <w:t xml:space="preserve">(s. </w:t>
      </w:r>
      <w:r>
        <w:rPr>
          <w:bCs/>
          <w:iCs/>
          <w:sz w:val="16"/>
          <w:szCs w:val="16"/>
        </w:rPr>
        <w:t>103</w:t>
      </w:r>
      <w:r w:rsidRPr="007C0E29">
        <w:rPr>
          <w:bCs/>
          <w:iCs/>
          <w:sz w:val="16"/>
          <w:szCs w:val="16"/>
        </w:rPr>
        <w:t>–</w:t>
      </w:r>
      <w:r>
        <w:rPr>
          <w:bCs/>
          <w:iCs/>
          <w:sz w:val="16"/>
          <w:szCs w:val="16"/>
        </w:rPr>
        <w:t>130</w:t>
      </w:r>
      <w:r w:rsidRPr="007C0E29">
        <w:rPr>
          <w:bCs/>
          <w:iCs/>
          <w:sz w:val="16"/>
          <w:szCs w:val="16"/>
        </w:rPr>
        <w:t>)</w:t>
      </w:r>
      <w:r w:rsidRPr="007C0E29">
        <w:rPr>
          <w:bCs/>
          <w:sz w:val="16"/>
          <w:szCs w:val="16"/>
        </w:rPr>
        <w:t>.</w:t>
      </w:r>
      <w:r>
        <w:rPr>
          <w:bCs/>
          <w:sz w:val="16"/>
          <w:szCs w:val="16"/>
        </w:rPr>
        <w:t xml:space="preserve"> </w:t>
      </w:r>
      <w:r w:rsidRPr="007C0E29">
        <w:rPr>
          <w:bCs/>
          <w:sz w:val="16"/>
          <w:szCs w:val="16"/>
        </w:rPr>
        <w:t>Hillsdale: Lawrence Erlbaum Associates.</w:t>
      </w:r>
    </w:p>
    <w:p w:rsidR="0015711E" w:rsidRPr="00492BA1" w:rsidRDefault="0015711E" w:rsidP="00492BA1">
      <w:pPr>
        <w:ind w:left="426" w:hanging="426"/>
        <w:rPr>
          <w:bCs/>
          <w:iCs/>
          <w:sz w:val="16"/>
          <w:szCs w:val="16"/>
        </w:rPr>
      </w:pPr>
      <w:r w:rsidRPr="00492BA1">
        <w:rPr>
          <w:bCs/>
          <w:iCs/>
          <w:sz w:val="16"/>
          <w:szCs w:val="16"/>
        </w:rPr>
        <w:t xml:space="preserve">Brooks, C. (2013). How do we understand conceptual development in school geography? In D. Lambert &amp; M. Jones (Eds.), </w:t>
      </w:r>
      <w:r w:rsidRPr="00492BA1">
        <w:rPr>
          <w:bCs/>
          <w:i/>
          <w:iCs/>
          <w:sz w:val="16"/>
          <w:szCs w:val="16"/>
        </w:rPr>
        <w:t xml:space="preserve">Debates in </w:t>
      </w:r>
      <w:r>
        <w:rPr>
          <w:bCs/>
          <w:i/>
          <w:iCs/>
          <w:sz w:val="16"/>
          <w:szCs w:val="16"/>
        </w:rPr>
        <w:t>g</w:t>
      </w:r>
      <w:r w:rsidRPr="00492BA1">
        <w:rPr>
          <w:bCs/>
          <w:i/>
          <w:iCs/>
          <w:sz w:val="16"/>
          <w:szCs w:val="16"/>
        </w:rPr>
        <w:t xml:space="preserve">eography </w:t>
      </w:r>
      <w:r>
        <w:rPr>
          <w:bCs/>
          <w:i/>
          <w:iCs/>
          <w:sz w:val="16"/>
          <w:szCs w:val="16"/>
        </w:rPr>
        <w:t>e</w:t>
      </w:r>
      <w:r w:rsidRPr="00492BA1">
        <w:rPr>
          <w:bCs/>
          <w:i/>
          <w:iCs/>
          <w:sz w:val="16"/>
          <w:szCs w:val="16"/>
        </w:rPr>
        <w:t xml:space="preserve">ducation </w:t>
      </w:r>
      <w:r w:rsidRPr="00492BA1">
        <w:rPr>
          <w:bCs/>
          <w:iCs/>
          <w:sz w:val="16"/>
          <w:szCs w:val="16"/>
        </w:rPr>
        <w:t>(s. 75</w:t>
      </w:r>
      <w:r>
        <w:rPr>
          <w:bCs/>
          <w:iCs/>
          <w:sz w:val="16"/>
          <w:szCs w:val="16"/>
        </w:rPr>
        <w:t>–</w:t>
      </w:r>
      <w:r w:rsidRPr="00492BA1">
        <w:rPr>
          <w:bCs/>
          <w:iCs/>
          <w:sz w:val="16"/>
          <w:szCs w:val="16"/>
        </w:rPr>
        <w:t>88). London: Routledge.</w:t>
      </w:r>
    </w:p>
    <w:p w:rsidR="0015711E" w:rsidRPr="006C1E4A" w:rsidRDefault="0015711E" w:rsidP="006C1E4A">
      <w:pPr>
        <w:ind w:left="426" w:hanging="426"/>
        <w:rPr>
          <w:bCs/>
          <w:iCs/>
          <w:sz w:val="16"/>
          <w:szCs w:val="16"/>
        </w:rPr>
      </w:pPr>
      <w:r w:rsidRPr="006C1E4A">
        <w:rPr>
          <w:bCs/>
          <w:iCs/>
          <w:sz w:val="16"/>
          <w:szCs w:val="16"/>
        </w:rPr>
        <w:t xml:space="preserve">Brousseau, G. (2012). </w:t>
      </w:r>
      <w:r w:rsidRPr="006C1E4A">
        <w:rPr>
          <w:bCs/>
          <w:i/>
          <w:iCs/>
          <w:sz w:val="16"/>
          <w:szCs w:val="16"/>
        </w:rPr>
        <w:t>Úvod do teorie didaktických situací v matematice</w:t>
      </w:r>
      <w:r w:rsidRPr="006C1E4A">
        <w:rPr>
          <w:bCs/>
          <w:iCs/>
          <w:sz w:val="16"/>
          <w:szCs w:val="16"/>
        </w:rPr>
        <w:t xml:space="preserve">. Praha: PedF UK. </w:t>
      </w:r>
    </w:p>
    <w:p w:rsidR="0015711E" w:rsidRPr="007C0E29" w:rsidRDefault="0015711E" w:rsidP="007C0E29">
      <w:pPr>
        <w:ind w:left="426" w:hanging="426"/>
        <w:rPr>
          <w:sz w:val="16"/>
          <w:szCs w:val="16"/>
        </w:rPr>
      </w:pPr>
      <w:r w:rsidRPr="007C0E29">
        <w:rPr>
          <w:sz w:val="16"/>
          <w:szCs w:val="16"/>
        </w:rPr>
        <w:t xml:space="preserve">Brown, J. S., Collins, A., &amp; Duguid, P. (1989). Situated cognition and the culture of learning. </w:t>
      </w:r>
      <w:r w:rsidRPr="007C0E29">
        <w:rPr>
          <w:i/>
          <w:sz w:val="16"/>
          <w:szCs w:val="16"/>
        </w:rPr>
        <w:t>Educational Researcher, 18</w:t>
      </w:r>
      <w:r w:rsidRPr="007C0E29">
        <w:rPr>
          <w:sz w:val="16"/>
          <w:szCs w:val="16"/>
        </w:rPr>
        <w:t>(1), 32–42.</w:t>
      </w:r>
    </w:p>
    <w:p w:rsidR="0015711E" w:rsidRPr="007C0E29" w:rsidRDefault="0015711E" w:rsidP="007C0E29">
      <w:pPr>
        <w:ind w:left="426" w:hanging="426"/>
        <w:rPr>
          <w:bCs/>
          <w:sz w:val="16"/>
          <w:szCs w:val="16"/>
        </w:rPr>
      </w:pPr>
      <w:r w:rsidRPr="007C0E29">
        <w:rPr>
          <w:bCs/>
          <w:sz w:val="16"/>
          <w:szCs w:val="16"/>
        </w:rPr>
        <w:t xml:space="preserve">Bruner, J. S. (1965). </w:t>
      </w:r>
      <w:r w:rsidRPr="007C0E29">
        <w:rPr>
          <w:bCs/>
          <w:i/>
          <w:sz w:val="16"/>
          <w:szCs w:val="16"/>
        </w:rPr>
        <w:t xml:space="preserve">Vzdělávací proces. </w:t>
      </w:r>
      <w:r w:rsidRPr="007C0E29">
        <w:rPr>
          <w:bCs/>
          <w:sz w:val="16"/>
          <w:szCs w:val="16"/>
        </w:rPr>
        <w:t>Praha: SPN.</w:t>
      </w:r>
    </w:p>
    <w:p w:rsidR="0015711E" w:rsidRPr="008E1CDD" w:rsidRDefault="0015711E" w:rsidP="008E1CDD">
      <w:pPr>
        <w:ind w:left="426" w:hanging="426"/>
        <w:rPr>
          <w:sz w:val="16"/>
          <w:szCs w:val="16"/>
        </w:rPr>
      </w:pPr>
      <w:r w:rsidRPr="008E1CDD">
        <w:rPr>
          <w:sz w:val="16"/>
          <w:szCs w:val="16"/>
        </w:rPr>
        <w:t xml:space="preserve">Budke, A. (2012). Argumentationen im Geographieunterricht. </w:t>
      </w:r>
      <w:r w:rsidRPr="008E1CDD">
        <w:rPr>
          <w:i/>
          <w:sz w:val="16"/>
          <w:szCs w:val="16"/>
        </w:rPr>
        <w:t>Geographie und ihre Didaktik, 40</w:t>
      </w:r>
      <w:r w:rsidRPr="008E1CDD">
        <w:rPr>
          <w:sz w:val="16"/>
          <w:szCs w:val="16"/>
        </w:rPr>
        <w:t>(1), 23–34.</w:t>
      </w:r>
    </w:p>
    <w:p w:rsidR="0015711E" w:rsidRPr="007C0E29" w:rsidRDefault="0015711E" w:rsidP="007C0E29">
      <w:pPr>
        <w:ind w:left="426" w:hanging="426"/>
        <w:rPr>
          <w:bCs/>
          <w:sz w:val="16"/>
          <w:szCs w:val="16"/>
        </w:rPr>
      </w:pPr>
      <w:r w:rsidRPr="007C0E29">
        <w:rPr>
          <w:bCs/>
          <w:sz w:val="16"/>
          <w:szCs w:val="16"/>
        </w:rPr>
        <w:t xml:space="preserve">Buchner, A. (1995). Basic topics and approaches to the study of complex problem solving. In P. A. Frensch &amp; J. Funke (Eds.), </w:t>
      </w:r>
      <w:r w:rsidRPr="007C0E29">
        <w:rPr>
          <w:bCs/>
          <w:i/>
          <w:iCs/>
          <w:sz w:val="16"/>
          <w:szCs w:val="16"/>
        </w:rPr>
        <w:t>Complex problem solving: The European perspective</w:t>
      </w:r>
      <w:r w:rsidRPr="007C0E29">
        <w:rPr>
          <w:bCs/>
          <w:sz w:val="16"/>
          <w:szCs w:val="16"/>
        </w:rPr>
        <w:t xml:space="preserve"> (s. 27–63). Hillsdale: Lawrence Erlbaum Associates. </w:t>
      </w:r>
    </w:p>
    <w:p w:rsidR="0015711E" w:rsidRPr="008E1CDD" w:rsidRDefault="0015711E" w:rsidP="008E1CDD">
      <w:pPr>
        <w:ind w:left="426" w:hanging="426"/>
        <w:rPr>
          <w:i/>
          <w:sz w:val="16"/>
          <w:szCs w:val="16"/>
        </w:rPr>
      </w:pPr>
      <w:r w:rsidRPr="008E1CDD">
        <w:rPr>
          <w:sz w:val="16"/>
          <w:szCs w:val="16"/>
        </w:rPr>
        <w:t xml:space="preserve">Büchter, A., &amp; Leuders, T. (2005). </w:t>
      </w:r>
      <w:r w:rsidRPr="008E1CDD">
        <w:rPr>
          <w:i/>
          <w:sz w:val="16"/>
          <w:szCs w:val="16"/>
        </w:rPr>
        <w:t>Mathematikaufgaben selbst entwickeln. Lernen</w:t>
      </w:r>
      <w:r>
        <w:rPr>
          <w:i/>
          <w:sz w:val="16"/>
          <w:szCs w:val="16"/>
        </w:rPr>
        <w:t xml:space="preserve"> </w:t>
      </w:r>
      <w:r w:rsidRPr="008E1CDD">
        <w:rPr>
          <w:i/>
          <w:sz w:val="16"/>
          <w:szCs w:val="16"/>
        </w:rPr>
        <w:t>fördern – Leistung überprüfen.</w:t>
      </w:r>
      <w:r w:rsidRPr="008E1CDD">
        <w:rPr>
          <w:sz w:val="16"/>
          <w:szCs w:val="16"/>
        </w:rPr>
        <w:t xml:space="preserve"> Berlin: Cornelsen Scriptor.</w:t>
      </w:r>
    </w:p>
    <w:p w:rsidR="0015711E" w:rsidRPr="00992F3B" w:rsidRDefault="0015711E" w:rsidP="00992F3B">
      <w:pPr>
        <w:ind w:left="426" w:hanging="426"/>
        <w:rPr>
          <w:sz w:val="16"/>
          <w:szCs w:val="16"/>
        </w:rPr>
      </w:pPr>
      <w:r w:rsidRPr="00992F3B">
        <w:rPr>
          <w:sz w:val="16"/>
          <w:szCs w:val="16"/>
        </w:rPr>
        <w:t xml:space="preserve">Burchartz, B. (2003). </w:t>
      </w:r>
      <w:r w:rsidRPr="00992F3B">
        <w:rPr>
          <w:i/>
          <w:iCs/>
          <w:sz w:val="16"/>
          <w:szCs w:val="16"/>
        </w:rPr>
        <w:t>Problemlöseverhalten von Schülern beim Bearbeiten unlösbarer Probleme</w:t>
      </w:r>
      <w:r w:rsidRPr="00992F3B">
        <w:rPr>
          <w:sz w:val="16"/>
          <w:szCs w:val="16"/>
        </w:rPr>
        <w:t>. Hildesheim: Franzbecker.</w:t>
      </w:r>
    </w:p>
    <w:p w:rsidR="0015711E" w:rsidRPr="007E51DC" w:rsidRDefault="0015711E" w:rsidP="007E51DC">
      <w:pPr>
        <w:ind w:left="426" w:hanging="426"/>
        <w:rPr>
          <w:sz w:val="16"/>
          <w:szCs w:val="16"/>
        </w:rPr>
      </w:pPr>
      <w:r w:rsidRPr="007E51DC">
        <w:rPr>
          <w:sz w:val="16"/>
          <w:szCs w:val="16"/>
        </w:rPr>
        <w:t xml:space="preserve">Byčkovský, P., &amp; Kotásek, J. (2004). Nová teorie klasifikování kognitivních cílů ve vzdělávání: Revize Bloomovy taxonomie. </w:t>
      </w:r>
      <w:r w:rsidRPr="007E51DC">
        <w:rPr>
          <w:i/>
          <w:sz w:val="16"/>
          <w:szCs w:val="16"/>
        </w:rPr>
        <w:t>Pedagogika, 54</w:t>
      </w:r>
      <w:r w:rsidRPr="007E51DC">
        <w:rPr>
          <w:sz w:val="16"/>
          <w:szCs w:val="16"/>
        </w:rPr>
        <w:t>(3), 227</w:t>
      </w:r>
      <w:r>
        <w:rPr>
          <w:sz w:val="16"/>
          <w:szCs w:val="16"/>
        </w:rPr>
        <w:t>–</w:t>
      </w:r>
      <w:r w:rsidRPr="007E51DC">
        <w:rPr>
          <w:sz w:val="16"/>
          <w:szCs w:val="16"/>
        </w:rPr>
        <w:t>242.</w:t>
      </w:r>
    </w:p>
    <w:p w:rsidR="0015711E" w:rsidRPr="00710DB7" w:rsidRDefault="0015711E" w:rsidP="00710DB7">
      <w:pPr>
        <w:ind w:left="426" w:hanging="426"/>
        <w:rPr>
          <w:bCs/>
          <w:sz w:val="16"/>
          <w:szCs w:val="16"/>
        </w:rPr>
      </w:pPr>
      <w:r w:rsidRPr="00710DB7">
        <w:rPr>
          <w:bCs/>
          <w:sz w:val="16"/>
          <w:szCs w:val="16"/>
        </w:rPr>
        <w:t>Clark</w:t>
      </w:r>
      <w:r>
        <w:rPr>
          <w:bCs/>
          <w:sz w:val="16"/>
          <w:szCs w:val="16"/>
        </w:rPr>
        <w:t>, A. N.</w:t>
      </w:r>
      <w:r w:rsidRPr="00710DB7">
        <w:rPr>
          <w:bCs/>
          <w:sz w:val="16"/>
          <w:szCs w:val="16"/>
        </w:rPr>
        <w:t xml:space="preserve"> (1987). </w:t>
      </w:r>
      <w:r w:rsidRPr="005D4CAD">
        <w:rPr>
          <w:bCs/>
          <w:i/>
          <w:sz w:val="16"/>
          <w:szCs w:val="16"/>
        </w:rPr>
        <w:t xml:space="preserve">Dictionary of </w:t>
      </w:r>
      <w:r w:rsidR="00A764A6">
        <w:rPr>
          <w:bCs/>
          <w:i/>
          <w:sz w:val="16"/>
          <w:szCs w:val="16"/>
        </w:rPr>
        <w:t>g</w:t>
      </w:r>
      <w:r w:rsidRPr="005D4CAD">
        <w:rPr>
          <w:bCs/>
          <w:i/>
          <w:sz w:val="16"/>
          <w:szCs w:val="16"/>
        </w:rPr>
        <w:t>eography</w:t>
      </w:r>
      <w:r w:rsidRPr="00710DB7">
        <w:rPr>
          <w:bCs/>
          <w:sz w:val="16"/>
          <w:szCs w:val="16"/>
        </w:rPr>
        <w:t>. London</w:t>
      </w:r>
      <w:r>
        <w:rPr>
          <w:bCs/>
          <w:sz w:val="16"/>
          <w:szCs w:val="16"/>
        </w:rPr>
        <w:t>: Longmann.</w:t>
      </w:r>
    </w:p>
    <w:p w:rsidR="0015711E" w:rsidRPr="00EA1E62" w:rsidRDefault="0015711E" w:rsidP="00EA1E62">
      <w:pPr>
        <w:ind w:left="426" w:hanging="426"/>
        <w:rPr>
          <w:sz w:val="16"/>
          <w:szCs w:val="16"/>
        </w:rPr>
      </w:pPr>
      <w:r w:rsidRPr="00EA1E62">
        <w:rPr>
          <w:sz w:val="16"/>
          <w:szCs w:val="16"/>
        </w:rPr>
        <w:t xml:space="preserve">Coleman, S., Perry, J., &amp; Schwen, T. (1997). Constructivist instructional development: Reflecting on practice from an alternative paradigm. In C. Dills &amp; A. Romisowski (Eds.), </w:t>
      </w:r>
      <w:r w:rsidRPr="00EA1E62">
        <w:rPr>
          <w:i/>
          <w:iCs/>
          <w:sz w:val="16"/>
          <w:szCs w:val="16"/>
        </w:rPr>
        <w:t xml:space="preserve">Instructional development paradigms </w:t>
      </w:r>
      <w:r w:rsidRPr="00EA1E62">
        <w:rPr>
          <w:iCs/>
          <w:sz w:val="16"/>
          <w:szCs w:val="16"/>
        </w:rPr>
        <w:t>(s.</w:t>
      </w:r>
      <w:r w:rsidRPr="00EA1E62">
        <w:rPr>
          <w:sz w:val="16"/>
          <w:szCs w:val="16"/>
        </w:rPr>
        <w:t xml:space="preserve"> 269–282). Englewood Cliffs: Educational Technology Publications.</w:t>
      </w:r>
    </w:p>
    <w:p w:rsidR="0015711E" w:rsidRDefault="0015711E" w:rsidP="006E57E0">
      <w:pPr>
        <w:ind w:left="426" w:hanging="426"/>
        <w:rPr>
          <w:bCs/>
          <w:sz w:val="16"/>
          <w:szCs w:val="16"/>
        </w:rPr>
      </w:pPr>
      <w:r>
        <w:rPr>
          <w:bCs/>
          <w:sz w:val="16"/>
          <w:szCs w:val="16"/>
        </w:rPr>
        <w:t xml:space="preserve">Collins, A. (2006). Cognitive apprenticeship. In R. K. </w:t>
      </w:r>
      <w:r w:rsidRPr="009B1B4C">
        <w:rPr>
          <w:bCs/>
          <w:sz w:val="16"/>
          <w:szCs w:val="16"/>
        </w:rPr>
        <w:t>Sawyer</w:t>
      </w:r>
      <w:r>
        <w:rPr>
          <w:bCs/>
          <w:sz w:val="16"/>
          <w:szCs w:val="16"/>
        </w:rPr>
        <w:t xml:space="preserve"> (Ed.), </w:t>
      </w:r>
      <w:r w:rsidRPr="009B1B4C">
        <w:rPr>
          <w:bCs/>
          <w:i/>
          <w:sz w:val="16"/>
          <w:szCs w:val="16"/>
        </w:rPr>
        <w:t>Cambridge handbook of the learning science</w:t>
      </w:r>
      <w:r>
        <w:rPr>
          <w:bCs/>
          <w:i/>
          <w:sz w:val="16"/>
          <w:szCs w:val="16"/>
        </w:rPr>
        <w:t>s</w:t>
      </w:r>
      <w:r>
        <w:rPr>
          <w:bCs/>
          <w:sz w:val="16"/>
          <w:szCs w:val="16"/>
        </w:rPr>
        <w:t xml:space="preserve"> (s. 47</w:t>
      </w:r>
      <w:r w:rsidRPr="007A49C9">
        <w:rPr>
          <w:sz w:val="16"/>
          <w:szCs w:val="16"/>
        </w:rPr>
        <w:t>–</w:t>
      </w:r>
      <w:r>
        <w:rPr>
          <w:sz w:val="16"/>
          <w:szCs w:val="16"/>
        </w:rPr>
        <w:t xml:space="preserve">60). </w:t>
      </w:r>
      <w:r>
        <w:rPr>
          <w:bCs/>
          <w:sz w:val="16"/>
          <w:szCs w:val="16"/>
        </w:rPr>
        <w:t>Cambridge</w:t>
      </w:r>
      <w:r w:rsidRPr="009B1B4C">
        <w:rPr>
          <w:bCs/>
          <w:sz w:val="16"/>
          <w:szCs w:val="16"/>
        </w:rPr>
        <w:t>: Cambridge University Press</w:t>
      </w:r>
      <w:r>
        <w:rPr>
          <w:bCs/>
          <w:sz w:val="16"/>
          <w:szCs w:val="16"/>
        </w:rPr>
        <w:t>.</w:t>
      </w:r>
    </w:p>
    <w:p w:rsidR="0015711E" w:rsidRPr="006E57E0" w:rsidRDefault="0015711E" w:rsidP="006E57E0">
      <w:pPr>
        <w:ind w:left="426" w:hanging="426"/>
        <w:rPr>
          <w:bCs/>
          <w:sz w:val="16"/>
          <w:szCs w:val="16"/>
        </w:rPr>
      </w:pPr>
      <w:r w:rsidRPr="006E57E0">
        <w:rPr>
          <w:bCs/>
          <w:sz w:val="16"/>
          <w:szCs w:val="16"/>
        </w:rPr>
        <w:t xml:space="preserve">Colliver, J. A. (2000). Effectiveness of problem-based learning curricula: Research and theory. </w:t>
      </w:r>
      <w:r w:rsidRPr="000B0DDA">
        <w:rPr>
          <w:bCs/>
          <w:i/>
          <w:sz w:val="16"/>
          <w:szCs w:val="16"/>
        </w:rPr>
        <w:t>Academic Medicine, 75</w:t>
      </w:r>
      <w:r w:rsidRPr="006E57E0">
        <w:rPr>
          <w:bCs/>
          <w:sz w:val="16"/>
          <w:szCs w:val="16"/>
        </w:rPr>
        <w:t>(3), 259</w:t>
      </w:r>
      <w:r>
        <w:rPr>
          <w:bCs/>
          <w:sz w:val="16"/>
          <w:szCs w:val="16"/>
        </w:rPr>
        <w:t>–</w:t>
      </w:r>
      <w:r w:rsidRPr="006E57E0">
        <w:rPr>
          <w:bCs/>
          <w:sz w:val="16"/>
          <w:szCs w:val="16"/>
        </w:rPr>
        <w:t>266.</w:t>
      </w:r>
      <w:r w:rsidRPr="006E57E0">
        <w:rPr>
          <w:bCs/>
          <w:sz w:val="16"/>
          <w:szCs w:val="16"/>
        </w:rPr>
        <w:tab/>
      </w:r>
    </w:p>
    <w:p w:rsidR="0015711E" w:rsidRPr="007C0E29" w:rsidRDefault="0015711E" w:rsidP="007C0E29">
      <w:pPr>
        <w:ind w:left="426" w:hanging="426"/>
        <w:rPr>
          <w:sz w:val="16"/>
          <w:szCs w:val="16"/>
        </w:rPr>
      </w:pPr>
      <w:r w:rsidRPr="007C0E29">
        <w:rPr>
          <w:sz w:val="16"/>
          <w:szCs w:val="16"/>
        </w:rPr>
        <w:t xml:space="preserve">CTGV (The Cognition and Technology Group at Vanderbilt). (1990). Anchored instruction and its relationship to situated cognition. </w:t>
      </w:r>
      <w:r w:rsidRPr="007C0E29">
        <w:rPr>
          <w:i/>
          <w:sz w:val="16"/>
          <w:szCs w:val="16"/>
        </w:rPr>
        <w:t>Educational Researcher, 19</w:t>
      </w:r>
      <w:r w:rsidRPr="007C0E29">
        <w:rPr>
          <w:sz w:val="16"/>
          <w:szCs w:val="16"/>
        </w:rPr>
        <w:t>(6), 2–10.</w:t>
      </w:r>
    </w:p>
    <w:p w:rsidR="0015711E" w:rsidRPr="007C0E29" w:rsidRDefault="0015711E" w:rsidP="007C0E29">
      <w:pPr>
        <w:ind w:left="426" w:hanging="426"/>
        <w:rPr>
          <w:sz w:val="16"/>
          <w:szCs w:val="16"/>
        </w:rPr>
      </w:pPr>
      <w:r w:rsidRPr="007C0E29">
        <w:rPr>
          <w:sz w:val="16"/>
          <w:szCs w:val="16"/>
        </w:rPr>
        <w:t xml:space="preserve">Curić, Z., Vuk, R., &amp; Jakovčić, M. (2007). Geography curricula for compulsory education in 11 european countries – comparative analysis. </w:t>
      </w:r>
      <w:r w:rsidRPr="007C0E29">
        <w:rPr>
          <w:i/>
          <w:sz w:val="16"/>
          <w:szCs w:val="16"/>
        </w:rPr>
        <w:t>Metodika, 8</w:t>
      </w:r>
      <w:r w:rsidRPr="007C0E29">
        <w:rPr>
          <w:sz w:val="16"/>
          <w:szCs w:val="16"/>
        </w:rPr>
        <w:t>(15), 467–493.</w:t>
      </w:r>
    </w:p>
    <w:p w:rsidR="0015711E" w:rsidRPr="007C0E29" w:rsidRDefault="0015711E" w:rsidP="007C0E29">
      <w:pPr>
        <w:autoSpaceDE w:val="0"/>
        <w:autoSpaceDN w:val="0"/>
        <w:adjustRightInd w:val="0"/>
        <w:ind w:left="426" w:hanging="426"/>
        <w:rPr>
          <w:i/>
          <w:sz w:val="16"/>
          <w:szCs w:val="16"/>
        </w:rPr>
      </w:pPr>
      <w:r w:rsidRPr="007C0E29">
        <w:rPr>
          <w:sz w:val="16"/>
          <w:szCs w:val="16"/>
        </w:rPr>
        <w:t xml:space="preserve">Červenková, I. (2010). </w:t>
      </w:r>
      <w:r w:rsidRPr="007C0E29">
        <w:rPr>
          <w:i/>
          <w:iCs/>
          <w:sz w:val="16"/>
          <w:szCs w:val="16"/>
        </w:rPr>
        <w:t xml:space="preserve">Žák a učebnice: Užívání učebnic na 2. stupni základních škol. </w:t>
      </w:r>
      <w:r w:rsidRPr="007C0E29">
        <w:rPr>
          <w:sz w:val="16"/>
          <w:szCs w:val="16"/>
        </w:rPr>
        <w:t>Ostrava: Ostravská univerzita.</w:t>
      </w:r>
    </w:p>
    <w:p w:rsidR="0015711E" w:rsidRPr="005A4315" w:rsidRDefault="0015711E" w:rsidP="005A4315">
      <w:pPr>
        <w:ind w:left="426" w:hanging="426"/>
        <w:rPr>
          <w:bCs/>
          <w:iCs/>
          <w:sz w:val="16"/>
          <w:szCs w:val="16"/>
        </w:rPr>
      </w:pPr>
      <w:r w:rsidRPr="005A4315">
        <w:rPr>
          <w:bCs/>
          <w:iCs/>
          <w:sz w:val="16"/>
          <w:szCs w:val="16"/>
        </w:rPr>
        <w:t>Češková, T. (2013). Učební úlohy rozvíjející kompetenci k řešení problémů ve výuce přírodov</w:t>
      </w:r>
      <w:r>
        <w:rPr>
          <w:bCs/>
          <w:iCs/>
          <w:sz w:val="16"/>
          <w:szCs w:val="16"/>
        </w:rPr>
        <w:t>ědy. In T. Janík, K. Pešková</w:t>
      </w:r>
      <w:r w:rsidRPr="005A4315">
        <w:rPr>
          <w:bCs/>
          <w:iCs/>
          <w:sz w:val="16"/>
          <w:szCs w:val="16"/>
        </w:rPr>
        <w:t xml:space="preserve">, et al. (2013). </w:t>
      </w:r>
      <w:r w:rsidRPr="005A4315">
        <w:rPr>
          <w:bCs/>
          <w:i/>
          <w:iCs/>
          <w:sz w:val="16"/>
          <w:szCs w:val="16"/>
        </w:rPr>
        <w:t xml:space="preserve">Školní vzdělávání: od podmínek k výsledkům </w:t>
      </w:r>
      <w:r w:rsidRPr="005A4315">
        <w:rPr>
          <w:bCs/>
          <w:iCs/>
          <w:sz w:val="16"/>
          <w:szCs w:val="16"/>
        </w:rPr>
        <w:t>(s. 157–170).</w:t>
      </w:r>
      <w:r w:rsidRPr="005A4315">
        <w:rPr>
          <w:bCs/>
          <w:i/>
          <w:iCs/>
          <w:sz w:val="16"/>
          <w:szCs w:val="16"/>
        </w:rPr>
        <w:t xml:space="preserve"> </w:t>
      </w:r>
      <w:r w:rsidRPr="005A4315">
        <w:rPr>
          <w:bCs/>
          <w:iCs/>
          <w:sz w:val="16"/>
          <w:szCs w:val="16"/>
        </w:rPr>
        <w:t>Brno: Masarykova univerzita.</w:t>
      </w:r>
    </w:p>
    <w:p w:rsidR="0015711E" w:rsidRPr="008B2BD6" w:rsidRDefault="0015711E" w:rsidP="008B2BD6">
      <w:pPr>
        <w:ind w:left="426" w:hanging="426"/>
        <w:rPr>
          <w:bCs/>
          <w:sz w:val="16"/>
          <w:szCs w:val="16"/>
        </w:rPr>
      </w:pPr>
      <w:r w:rsidRPr="008B2BD6">
        <w:rPr>
          <w:bCs/>
          <w:sz w:val="16"/>
          <w:szCs w:val="16"/>
        </w:rPr>
        <w:t xml:space="preserve">Čížková, V. (2002). Příspěvek k teorii a praxi problémového vyučování. </w:t>
      </w:r>
      <w:r w:rsidRPr="008B2BD6">
        <w:rPr>
          <w:bCs/>
          <w:i/>
          <w:iCs/>
          <w:sz w:val="16"/>
          <w:szCs w:val="16"/>
        </w:rPr>
        <w:t>Pedagogika</w:t>
      </w:r>
      <w:r w:rsidRPr="008B2BD6">
        <w:rPr>
          <w:bCs/>
          <w:sz w:val="16"/>
          <w:szCs w:val="16"/>
        </w:rPr>
        <w:t xml:space="preserve">, </w:t>
      </w:r>
      <w:r w:rsidRPr="008B2BD6">
        <w:rPr>
          <w:bCs/>
          <w:i/>
          <w:iCs/>
          <w:sz w:val="16"/>
          <w:szCs w:val="16"/>
        </w:rPr>
        <w:t>52</w:t>
      </w:r>
      <w:r w:rsidRPr="008B2BD6">
        <w:rPr>
          <w:bCs/>
          <w:sz w:val="16"/>
          <w:szCs w:val="16"/>
        </w:rPr>
        <w:t>(4), 415–430.</w:t>
      </w:r>
    </w:p>
    <w:p w:rsidR="0015711E" w:rsidRPr="00A14816" w:rsidRDefault="0015711E" w:rsidP="00A14816">
      <w:pPr>
        <w:ind w:left="426" w:hanging="426"/>
        <w:rPr>
          <w:sz w:val="16"/>
          <w:szCs w:val="16"/>
        </w:rPr>
      </w:pPr>
      <w:r w:rsidRPr="00A14816">
        <w:rPr>
          <w:sz w:val="16"/>
          <w:szCs w:val="16"/>
        </w:rPr>
        <w:t xml:space="preserve">Čtrnáctová, H. (2009). </w:t>
      </w:r>
      <w:r w:rsidRPr="00A14816">
        <w:rPr>
          <w:i/>
          <w:sz w:val="16"/>
          <w:szCs w:val="16"/>
        </w:rPr>
        <w:t>Učební úlohy v chemii. 1. díl.</w:t>
      </w:r>
      <w:r w:rsidRPr="00A14816">
        <w:rPr>
          <w:sz w:val="16"/>
          <w:szCs w:val="16"/>
        </w:rPr>
        <w:t xml:space="preserve"> Praha: Karolinum.</w:t>
      </w:r>
    </w:p>
    <w:p w:rsidR="0015711E" w:rsidRPr="007C0E29" w:rsidRDefault="0015711E" w:rsidP="007C0E29">
      <w:pPr>
        <w:ind w:left="426" w:hanging="426"/>
        <w:rPr>
          <w:b/>
          <w:bCs/>
          <w:sz w:val="16"/>
          <w:szCs w:val="16"/>
        </w:rPr>
      </w:pPr>
      <w:r w:rsidRPr="007C0E29">
        <w:rPr>
          <w:bCs/>
          <w:i/>
          <w:sz w:val="16"/>
          <w:szCs w:val="16"/>
        </w:rPr>
        <w:t>Další rozvoj československé výchovně vzdělávací soustavy</w:t>
      </w:r>
      <w:r w:rsidRPr="007C0E29">
        <w:rPr>
          <w:bCs/>
          <w:sz w:val="16"/>
          <w:szCs w:val="16"/>
        </w:rPr>
        <w:t>. (1976). Praha: SPN.</w:t>
      </w:r>
    </w:p>
    <w:p w:rsidR="0015711E" w:rsidRPr="005328C1" w:rsidRDefault="0015711E" w:rsidP="00523E0F">
      <w:pPr>
        <w:ind w:left="426" w:hanging="426"/>
        <w:rPr>
          <w:bCs/>
          <w:sz w:val="16"/>
          <w:szCs w:val="16"/>
        </w:rPr>
      </w:pPr>
      <w:r w:rsidRPr="005328C1">
        <w:rPr>
          <w:bCs/>
          <w:sz w:val="16"/>
          <w:szCs w:val="16"/>
        </w:rPr>
        <w:t xml:space="preserve">Damen, L. (1987). </w:t>
      </w:r>
      <w:r w:rsidRPr="005328C1">
        <w:rPr>
          <w:bCs/>
          <w:i/>
          <w:iCs/>
          <w:sz w:val="16"/>
          <w:szCs w:val="16"/>
        </w:rPr>
        <w:t xml:space="preserve">Culture </w:t>
      </w:r>
      <w:r>
        <w:rPr>
          <w:bCs/>
          <w:i/>
          <w:iCs/>
          <w:sz w:val="16"/>
          <w:szCs w:val="16"/>
        </w:rPr>
        <w:t>l</w:t>
      </w:r>
      <w:r w:rsidRPr="005328C1">
        <w:rPr>
          <w:bCs/>
          <w:i/>
          <w:iCs/>
          <w:sz w:val="16"/>
          <w:szCs w:val="16"/>
        </w:rPr>
        <w:t xml:space="preserve">earning: The </w:t>
      </w:r>
      <w:r>
        <w:rPr>
          <w:bCs/>
          <w:i/>
          <w:iCs/>
          <w:sz w:val="16"/>
          <w:szCs w:val="16"/>
        </w:rPr>
        <w:t>f</w:t>
      </w:r>
      <w:r w:rsidRPr="005328C1">
        <w:rPr>
          <w:bCs/>
          <w:i/>
          <w:iCs/>
          <w:sz w:val="16"/>
          <w:szCs w:val="16"/>
        </w:rPr>
        <w:t xml:space="preserve">ifth </w:t>
      </w:r>
      <w:r>
        <w:rPr>
          <w:bCs/>
          <w:i/>
          <w:iCs/>
          <w:sz w:val="16"/>
          <w:szCs w:val="16"/>
        </w:rPr>
        <w:t>d</w:t>
      </w:r>
      <w:r w:rsidRPr="005328C1">
        <w:rPr>
          <w:bCs/>
          <w:i/>
          <w:iCs/>
          <w:sz w:val="16"/>
          <w:szCs w:val="16"/>
        </w:rPr>
        <w:t xml:space="preserve">imension </w:t>
      </w:r>
      <w:r>
        <w:rPr>
          <w:bCs/>
          <w:i/>
          <w:iCs/>
          <w:sz w:val="16"/>
          <w:szCs w:val="16"/>
        </w:rPr>
        <w:t>i</w:t>
      </w:r>
      <w:r w:rsidRPr="005328C1">
        <w:rPr>
          <w:bCs/>
          <w:i/>
          <w:iCs/>
          <w:sz w:val="16"/>
          <w:szCs w:val="16"/>
        </w:rPr>
        <w:t xml:space="preserve">n the </w:t>
      </w:r>
      <w:r>
        <w:rPr>
          <w:bCs/>
          <w:i/>
          <w:iCs/>
          <w:sz w:val="16"/>
          <w:szCs w:val="16"/>
        </w:rPr>
        <w:t>l</w:t>
      </w:r>
      <w:r w:rsidRPr="005328C1">
        <w:rPr>
          <w:bCs/>
          <w:i/>
          <w:iCs/>
          <w:sz w:val="16"/>
          <w:szCs w:val="16"/>
        </w:rPr>
        <w:t xml:space="preserve">anguage </w:t>
      </w:r>
      <w:r>
        <w:rPr>
          <w:bCs/>
          <w:i/>
          <w:iCs/>
          <w:sz w:val="16"/>
          <w:szCs w:val="16"/>
        </w:rPr>
        <w:t>c</w:t>
      </w:r>
      <w:r w:rsidRPr="005328C1">
        <w:rPr>
          <w:bCs/>
          <w:i/>
          <w:iCs/>
          <w:sz w:val="16"/>
          <w:szCs w:val="16"/>
        </w:rPr>
        <w:t>lassroom.</w:t>
      </w:r>
      <w:r>
        <w:rPr>
          <w:bCs/>
          <w:sz w:val="16"/>
          <w:szCs w:val="16"/>
        </w:rPr>
        <w:t xml:space="preserve"> Reading</w:t>
      </w:r>
      <w:r w:rsidRPr="005328C1">
        <w:rPr>
          <w:bCs/>
          <w:sz w:val="16"/>
          <w:szCs w:val="16"/>
        </w:rPr>
        <w:t xml:space="preserve">: Addison-Wesley. </w:t>
      </w:r>
    </w:p>
    <w:p w:rsidR="0015711E" w:rsidRPr="007C0E29" w:rsidRDefault="0015711E" w:rsidP="007C0E29">
      <w:pPr>
        <w:ind w:left="426" w:hanging="426"/>
        <w:rPr>
          <w:bCs/>
          <w:sz w:val="16"/>
          <w:szCs w:val="16"/>
        </w:rPr>
      </w:pPr>
      <w:r w:rsidRPr="007C0E29">
        <w:rPr>
          <w:bCs/>
          <w:sz w:val="16"/>
          <w:szCs w:val="16"/>
        </w:rPr>
        <w:t xml:space="preserve">Demek, J. (1974). </w:t>
      </w:r>
      <w:r w:rsidRPr="007C0E29">
        <w:rPr>
          <w:bCs/>
          <w:i/>
          <w:sz w:val="16"/>
          <w:szCs w:val="16"/>
        </w:rPr>
        <w:t>Systémová teorie a studium krajiny.</w:t>
      </w:r>
      <w:r w:rsidRPr="007C0E29">
        <w:rPr>
          <w:bCs/>
          <w:sz w:val="16"/>
          <w:szCs w:val="16"/>
        </w:rPr>
        <w:t xml:space="preserve"> Brno: Geografický ústav ČSAV.</w:t>
      </w:r>
    </w:p>
    <w:p w:rsidR="0015711E" w:rsidRPr="007C0E29" w:rsidRDefault="0015711E" w:rsidP="007C0E29">
      <w:pPr>
        <w:ind w:left="426" w:hanging="426"/>
        <w:rPr>
          <w:bCs/>
          <w:sz w:val="16"/>
          <w:szCs w:val="16"/>
        </w:rPr>
      </w:pPr>
      <w:r w:rsidRPr="007C0E29">
        <w:rPr>
          <w:bCs/>
          <w:sz w:val="16"/>
          <w:szCs w:val="16"/>
        </w:rPr>
        <w:t xml:space="preserve">Demek, J. (1979). Obecná fyzická geografie: současný stav a její vyučování v 5. ročníku základní školy. </w:t>
      </w:r>
      <w:r w:rsidRPr="007C0E29">
        <w:rPr>
          <w:bCs/>
          <w:i/>
          <w:sz w:val="16"/>
          <w:szCs w:val="16"/>
        </w:rPr>
        <w:t>Sborník ČSGS, 84</w:t>
      </w:r>
      <w:r w:rsidRPr="007C0E29">
        <w:rPr>
          <w:bCs/>
          <w:sz w:val="16"/>
          <w:szCs w:val="16"/>
        </w:rPr>
        <w:t xml:space="preserve">(2), 127–139. </w:t>
      </w:r>
    </w:p>
    <w:p w:rsidR="0015711E" w:rsidRPr="007C0E29" w:rsidRDefault="0015711E" w:rsidP="007C0E29">
      <w:pPr>
        <w:ind w:left="426" w:hanging="426"/>
        <w:rPr>
          <w:bCs/>
          <w:sz w:val="16"/>
          <w:szCs w:val="16"/>
        </w:rPr>
      </w:pPr>
      <w:r w:rsidRPr="007C0E29">
        <w:rPr>
          <w:bCs/>
          <w:sz w:val="16"/>
          <w:szCs w:val="16"/>
        </w:rPr>
        <w:t xml:space="preserve">Demek, J. (1981). Nauka o krajině a její vyučování v 7. ročníku základní školy. </w:t>
      </w:r>
      <w:r w:rsidRPr="007B2EA8">
        <w:rPr>
          <w:bCs/>
          <w:i/>
          <w:sz w:val="16"/>
          <w:szCs w:val="16"/>
        </w:rPr>
        <w:t>Sborník ČSSZ, 86</w:t>
      </w:r>
      <w:r>
        <w:rPr>
          <w:bCs/>
          <w:sz w:val="16"/>
          <w:szCs w:val="16"/>
        </w:rPr>
        <w:t>(</w:t>
      </w:r>
      <w:r w:rsidRPr="007C0E29">
        <w:rPr>
          <w:bCs/>
          <w:sz w:val="16"/>
          <w:szCs w:val="16"/>
        </w:rPr>
        <w:t>4</w:t>
      </w:r>
      <w:r>
        <w:rPr>
          <w:bCs/>
          <w:sz w:val="16"/>
          <w:szCs w:val="16"/>
        </w:rPr>
        <w:t>)</w:t>
      </w:r>
      <w:r w:rsidRPr="007C0E29">
        <w:rPr>
          <w:bCs/>
          <w:sz w:val="16"/>
          <w:szCs w:val="16"/>
        </w:rPr>
        <w:t xml:space="preserve">, 298–306. </w:t>
      </w:r>
    </w:p>
    <w:p w:rsidR="0015711E" w:rsidRPr="007C0E29" w:rsidRDefault="0015711E" w:rsidP="007C0E29">
      <w:pPr>
        <w:ind w:left="426" w:hanging="426"/>
        <w:rPr>
          <w:bCs/>
          <w:sz w:val="16"/>
          <w:szCs w:val="16"/>
        </w:rPr>
      </w:pPr>
      <w:r w:rsidRPr="007C0E29">
        <w:rPr>
          <w:bCs/>
          <w:sz w:val="16"/>
          <w:szCs w:val="16"/>
        </w:rPr>
        <w:t xml:space="preserve">Demek, J., Machyček, J., &amp; Drápal, M. (1980). Úspěchy a problémy při zavádění nové československé výchovně-vzdělávací soustavy v zeměpise na školách. </w:t>
      </w:r>
      <w:r w:rsidRPr="007C0E29">
        <w:rPr>
          <w:bCs/>
          <w:i/>
          <w:sz w:val="16"/>
          <w:szCs w:val="16"/>
        </w:rPr>
        <w:t>Sborník ČSGS, 85</w:t>
      </w:r>
      <w:r w:rsidRPr="007C0E29">
        <w:rPr>
          <w:bCs/>
          <w:sz w:val="16"/>
          <w:szCs w:val="16"/>
        </w:rPr>
        <w:t xml:space="preserve">(2), 127–134. </w:t>
      </w:r>
    </w:p>
    <w:p w:rsidR="0015711E" w:rsidRPr="00A14816" w:rsidRDefault="0015711E" w:rsidP="00A14816">
      <w:pPr>
        <w:ind w:left="426" w:hanging="426"/>
        <w:rPr>
          <w:sz w:val="16"/>
          <w:szCs w:val="16"/>
        </w:rPr>
      </w:pPr>
      <w:r w:rsidRPr="00A14816">
        <w:rPr>
          <w:sz w:val="16"/>
          <w:szCs w:val="16"/>
        </w:rPr>
        <w:t xml:space="preserve">DeSeCo (2005). </w:t>
      </w:r>
      <w:r w:rsidRPr="0001563C">
        <w:rPr>
          <w:i/>
          <w:sz w:val="16"/>
          <w:szCs w:val="16"/>
        </w:rPr>
        <w:t>The definition and selection of key competencies. Executive summary</w:t>
      </w:r>
      <w:r w:rsidRPr="00A14816">
        <w:rPr>
          <w:sz w:val="16"/>
          <w:szCs w:val="16"/>
        </w:rPr>
        <w:t>. Dostupné z &lt;</w:t>
      </w:r>
      <w:r w:rsidRPr="00F636D4">
        <w:rPr>
          <w:sz w:val="16"/>
          <w:szCs w:val="16"/>
        </w:rPr>
        <w:t>http://www.deseco.admin.ch/bfs/deseco/en/index/02.parsys.43469.downloadList.2296.DownloadFile.tmp/2005.dskcexecutivesummary.en.pdf</w:t>
      </w:r>
      <w:r w:rsidRPr="00A14816">
        <w:rPr>
          <w:sz w:val="16"/>
          <w:szCs w:val="16"/>
        </w:rPr>
        <w:t xml:space="preserve">&gt;. </w:t>
      </w:r>
    </w:p>
    <w:p w:rsidR="0015711E" w:rsidRPr="001D60CE" w:rsidRDefault="0015711E" w:rsidP="001D60CE">
      <w:pPr>
        <w:ind w:left="426" w:hanging="426"/>
        <w:rPr>
          <w:bCs/>
          <w:sz w:val="16"/>
          <w:szCs w:val="16"/>
        </w:rPr>
      </w:pPr>
      <w:r w:rsidRPr="001D60CE">
        <w:rPr>
          <w:bCs/>
          <w:sz w:val="16"/>
          <w:szCs w:val="16"/>
        </w:rPr>
        <w:t xml:space="preserve">Dewey, J. (1910/2012). </w:t>
      </w:r>
      <w:r w:rsidRPr="001D60CE">
        <w:rPr>
          <w:bCs/>
          <w:i/>
          <w:sz w:val="16"/>
          <w:szCs w:val="16"/>
        </w:rPr>
        <w:t>How we think.</w:t>
      </w:r>
      <w:r w:rsidRPr="001D60CE">
        <w:rPr>
          <w:bCs/>
          <w:sz w:val="16"/>
          <w:szCs w:val="16"/>
        </w:rPr>
        <w:t xml:space="preserve"> New York: Martino Fine Books.</w:t>
      </w:r>
    </w:p>
    <w:p w:rsidR="0015711E" w:rsidRPr="007C0E29" w:rsidRDefault="0015711E" w:rsidP="007C0E29">
      <w:pPr>
        <w:ind w:left="426" w:hanging="426"/>
        <w:rPr>
          <w:bCs/>
          <w:sz w:val="16"/>
          <w:szCs w:val="16"/>
        </w:rPr>
      </w:pPr>
      <w:r w:rsidRPr="007C0E29">
        <w:rPr>
          <w:bCs/>
          <w:i/>
          <w:sz w:val="16"/>
          <w:szCs w:val="16"/>
        </w:rPr>
        <w:t>DFG-Schwerpunktprogramm Kompetenzmodelle zur Erfassung individueller Lernergebnisse und zur Bilanzierung von Bildungsprozessen. Projektbeschreibungen und Forschungsstand.</w:t>
      </w:r>
      <w:r w:rsidRPr="007C0E29">
        <w:rPr>
          <w:bCs/>
          <w:sz w:val="16"/>
          <w:szCs w:val="16"/>
        </w:rPr>
        <w:t xml:space="preserve"> (2011). Dostupné z http://kompetenzmodelle.dipf.de/pdf/deu_Projektbeschreibung-Forschungsstand%203.%20Laufzeit_deutsch.pdf</w:t>
      </w:r>
    </w:p>
    <w:p w:rsidR="0015711E" w:rsidRPr="007C0E29" w:rsidRDefault="0015711E" w:rsidP="007C0E29">
      <w:pPr>
        <w:ind w:left="426" w:hanging="426"/>
        <w:rPr>
          <w:bCs/>
          <w:sz w:val="16"/>
          <w:szCs w:val="16"/>
        </w:rPr>
      </w:pPr>
      <w:r>
        <w:rPr>
          <w:bCs/>
          <w:sz w:val="16"/>
          <w:szCs w:val="16"/>
        </w:rPr>
        <w:t>DGFG (</w:t>
      </w:r>
      <w:r w:rsidRPr="007C0E29">
        <w:rPr>
          <w:bCs/>
          <w:sz w:val="16"/>
          <w:szCs w:val="16"/>
        </w:rPr>
        <w:t>Deutsche Gesellschaft für Geographie</w:t>
      </w:r>
      <w:r>
        <w:rPr>
          <w:bCs/>
          <w:sz w:val="16"/>
          <w:szCs w:val="16"/>
        </w:rPr>
        <w:t>).</w:t>
      </w:r>
      <w:r w:rsidRPr="007C0E29">
        <w:rPr>
          <w:bCs/>
          <w:sz w:val="16"/>
          <w:szCs w:val="16"/>
        </w:rPr>
        <w:t xml:space="preserve"> (2012). </w:t>
      </w:r>
      <w:r w:rsidRPr="007C0E29">
        <w:rPr>
          <w:bCs/>
          <w:i/>
          <w:sz w:val="16"/>
          <w:szCs w:val="16"/>
        </w:rPr>
        <w:t>Bildungsstandards im Fach Geographie für den Mittleren Schulabschluss mit Aufgabenbeispielen.</w:t>
      </w:r>
      <w:r w:rsidRPr="007C0E29">
        <w:rPr>
          <w:bCs/>
          <w:sz w:val="16"/>
          <w:szCs w:val="16"/>
        </w:rPr>
        <w:t xml:space="preserve"> Bonn: DGfG.</w:t>
      </w:r>
    </w:p>
    <w:p w:rsidR="0015711E" w:rsidRPr="00D1792D" w:rsidRDefault="0015711E" w:rsidP="00D1792D">
      <w:pPr>
        <w:ind w:left="426" w:hanging="426"/>
        <w:rPr>
          <w:bCs/>
          <w:sz w:val="16"/>
          <w:szCs w:val="16"/>
        </w:rPr>
      </w:pPr>
      <w:r w:rsidRPr="00D1792D">
        <w:rPr>
          <w:bCs/>
          <w:sz w:val="16"/>
          <w:szCs w:val="16"/>
        </w:rPr>
        <w:t xml:space="preserve">Dochy, F., Segers, M., Van den Bossche, P., &amp; Gijbels, D. (2003). Effects of problem-based learning: A meta-analysis. </w:t>
      </w:r>
      <w:r w:rsidRPr="000B0DDA">
        <w:rPr>
          <w:bCs/>
          <w:i/>
          <w:sz w:val="16"/>
          <w:szCs w:val="16"/>
        </w:rPr>
        <w:t>Learning and Instruction, 13</w:t>
      </w:r>
      <w:r w:rsidRPr="00D1792D">
        <w:rPr>
          <w:bCs/>
          <w:sz w:val="16"/>
          <w:szCs w:val="16"/>
        </w:rPr>
        <w:t>(5), 533</w:t>
      </w:r>
      <w:r>
        <w:rPr>
          <w:bCs/>
          <w:sz w:val="16"/>
          <w:szCs w:val="16"/>
        </w:rPr>
        <w:t>–</w:t>
      </w:r>
      <w:r w:rsidRPr="00D1792D">
        <w:rPr>
          <w:bCs/>
          <w:sz w:val="16"/>
          <w:szCs w:val="16"/>
        </w:rPr>
        <w:t>568.</w:t>
      </w:r>
    </w:p>
    <w:p w:rsidR="0015711E" w:rsidRDefault="0015711E" w:rsidP="00C90517">
      <w:pPr>
        <w:ind w:left="426" w:hanging="426"/>
        <w:rPr>
          <w:sz w:val="16"/>
          <w:szCs w:val="16"/>
        </w:rPr>
      </w:pPr>
      <w:r w:rsidRPr="00D176A1">
        <w:rPr>
          <w:sz w:val="16"/>
          <w:szCs w:val="16"/>
        </w:rPr>
        <w:t xml:space="preserve">Dörner, D. </w:t>
      </w:r>
      <w:r>
        <w:rPr>
          <w:sz w:val="16"/>
          <w:szCs w:val="16"/>
        </w:rPr>
        <w:t xml:space="preserve">(1976/1987). </w:t>
      </w:r>
      <w:r w:rsidRPr="00A41DBB">
        <w:rPr>
          <w:i/>
          <w:sz w:val="16"/>
          <w:szCs w:val="16"/>
        </w:rPr>
        <w:t>Problemlösen als Informationsverarbeitung.</w:t>
      </w:r>
      <w:r w:rsidRPr="00D176A1">
        <w:rPr>
          <w:sz w:val="16"/>
          <w:szCs w:val="16"/>
        </w:rPr>
        <w:t xml:space="preserve"> Stuttgart: Kohlhammer.</w:t>
      </w:r>
    </w:p>
    <w:p w:rsidR="0015711E" w:rsidRPr="006E57E0" w:rsidRDefault="0015711E" w:rsidP="006E57E0">
      <w:pPr>
        <w:ind w:left="426" w:hanging="426"/>
        <w:rPr>
          <w:bCs/>
          <w:sz w:val="16"/>
          <w:szCs w:val="16"/>
        </w:rPr>
      </w:pPr>
      <w:r w:rsidRPr="006E57E0">
        <w:rPr>
          <w:bCs/>
          <w:sz w:val="16"/>
          <w:szCs w:val="16"/>
        </w:rPr>
        <w:t xml:space="preserve">Dörner, D. (1989). </w:t>
      </w:r>
      <w:r w:rsidRPr="000B0DDA">
        <w:rPr>
          <w:bCs/>
          <w:i/>
          <w:sz w:val="16"/>
          <w:szCs w:val="16"/>
        </w:rPr>
        <w:t xml:space="preserve">Die logik des </w:t>
      </w:r>
      <w:r>
        <w:rPr>
          <w:bCs/>
          <w:i/>
          <w:sz w:val="16"/>
          <w:szCs w:val="16"/>
        </w:rPr>
        <w:t>M</w:t>
      </w:r>
      <w:r w:rsidRPr="000B0DDA">
        <w:rPr>
          <w:bCs/>
          <w:i/>
          <w:sz w:val="16"/>
          <w:szCs w:val="16"/>
        </w:rPr>
        <w:t xml:space="preserve">isslingens: Strategisches Denken in komplexen </w:t>
      </w:r>
      <w:r>
        <w:rPr>
          <w:bCs/>
          <w:i/>
          <w:sz w:val="16"/>
          <w:szCs w:val="16"/>
        </w:rPr>
        <w:t>S</w:t>
      </w:r>
      <w:r w:rsidRPr="000B0DDA">
        <w:rPr>
          <w:bCs/>
          <w:i/>
          <w:sz w:val="16"/>
          <w:szCs w:val="16"/>
        </w:rPr>
        <w:t>ituationen</w:t>
      </w:r>
      <w:r w:rsidRPr="006E57E0">
        <w:rPr>
          <w:bCs/>
          <w:sz w:val="16"/>
          <w:szCs w:val="16"/>
        </w:rPr>
        <w:t>. Hamburg</w:t>
      </w:r>
      <w:r>
        <w:rPr>
          <w:bCs/>
          <w:sz w:val="16"/>
          <w:szCs w:val="16"/>
        </w:rPr>
        <w:t>:</w:t>
      </w:r>
      <w:r w:rsidRPr="006E57E0">
        <w:rPr>
          <w:bCs/>
          <w:sz w:val="16"/>
          <w:szCs w:val="16"/>
        </w:rPr>
        <w:t xml:space="preserve"> Reinbeck. </w:t>
      </w:r>
    </w:p>
    <w:p w:rsidR="0015711E" w:rsidRPr="007C0E29" w:rsidRDefault="0015711E" w:rsidP="007C0E29">
      <w:pPr>
        <w:ind w:left="426" w:hanging="426"/>
        <w:rPr>
          <w:sz w:val="16"/>
          <w:szCs w:val="16"/>
        </w:rPr>
      </w:pPr>
      <w:r w:rsidRPr="007C0E29">
        <w:rPr>
          <w:sz w:val="16"/>
          <w:szCs w:val="16"/>
        </w:rPr>
        <w:t xml:space="preserve">Dörner, D., &amp; Wearing, A. J. (1995). Complex problem solving: Toward a (computer simulated) theory. In P.A. Frensch &amp; J. Funke (Eds.), </w:t>
      </w:r>
      <w:r w:rsidRPr="007C0E29">
        <w:rPr>
          <w:i/>
          <w:sz w:val="16"/>
          <w:szCs w:val="16"/>
        </w:rPr>
        <w:t>Complex problem solving: The European perspective</w:t>
      </w:r>
      <w:r w:rsidRPr="007C0E29">
        <w:rPr>
          <w:sz w:val="16"/>
          <w:szCs w:val="16"/>
        </w:rPr>
        <w:t xml:space="preserve"> (s. 65–99). Hillsdale: Lawrence Erlbaum Associates.</w:t>
      </w:r>
    </w:p>
    <w:p w:rsidR="0015711E" w:rsidRPr="00B717AE" w:rsidRDefault="0015711E" w:rsidP="00BF123C">
      <w:pPr>
        <w:ind w:left="426" w:hanging="426"/>
        <w:rPr>
          <w:bCs/>
          <w:sz w:val="16"/>
          <w:szCs w:val="16"/>
          <w:lang w:val="en-US"/>
        </w:rPr>
      </w:pPr>
      <w:r w:rsidRPr="00BF123C">
        <w:rPr>
          <w:bCs/>
          <w:sz w:val="16"/>
          <w:szCs w:val="16"/>
          <w:lang w:val="en-US"/>
        </w:rPr>
        <w:t xml:space="preserve">Dossey, J., Csapó, B., De Jong, T., Klieme, E., &amp; Vosniadou, S. (2000). Cross-curricular competencies in PISA. Towards a framework for assessing problem-solving skills. In </w:t>
      </w:r>
      <w:r w:rsidRPr="00BF123C">
        <w:rPr>
          <w:bCs/>
          <w:i/>
          <w:sz w:val="16"/>
          <w:szCs w:val="16"/>
          <w:lang w:val="en-US"/>
        </w:rPr>
        <w:t xml:space="preserve">The INES </w:t>
      </w:r>
      <w:r>
        <w:rPr>
          <w:bCs/>
          <w:i/>
          <w:sz w:val="16"/>
          <w:szCs w:val="16"/>
          <w:lang w:val="en-US"/>
        </w:rPr>
        <w:t>c</w:t>
      </w:r>
      <w:r w:rsidRPr="00BF123C">
        <w:rPr>
          <w:bCs/>
          <w:i/>
          <w:sz w:val="16"/>
          <w:szCs w:val="16"/>
          <w:lang w:val="en-US"/>
        </w:rPr>
        <w:t xml:space="preserve">ompendium. Contributions from the INES </w:t>
      </w:r>
      <w:r>
        <w:rPr>
          <w:bCs/>
          <w:i/>
          <w:sz w:val="16"/>
          <w:szCs w:val="16"/>
          <w:lang w:val="en-US"/>
        </w:rPr>
        <w:t>n</w:t>
      </w:r>
      <w:r w:rsidRPr="00BF123C">
        <w:rPr>
          <w:bCs/>
          <w:i/>
          <w:sz w:val="16"/>
          <w:szCs w:val="16"/>
          <w:lang w:val="en-US"/>
        </w:rPr>
        <w:t xml:space="preserve">etworks and </w:t>
      </w:r>
      <w:r>
        <w:rPr>
          <w:bCs/>
          <w:i/>
          <w:sz w:val="16"/>
          <w:szCs w:val="16"/>
          <w:lang w:val="en-US"/>
        </w:rPr>
        <w:t>w</w:t>
      </w:r>
      <w:r w:rsidRPr="00BF123C">
        <w:rPr>
          <w:bCs/>
          <w:i/>
          <w:sz w:val="16"/>
          <w:szCs w:val="16"/>
          <w:lang w:val="en-US"/>
        </w:rPr>
        <w:t xml:space="preserve">orking </w:t>
      </w:r>
      <w:r>
        <w:rPr>
          <w:bCs/>
          <w:i/>
          <w:sz w:val="16"/>
          <w:szCs w:val="16"/>
          <w:lang w:val="en-US"/>
        </w:rPr>
        <w:t>g</w:t>
      </w:r>
      <w:r w:rsidRPr="00BF123C">
        <w:rPr>
          <w:bCs/>
          <w:i/>
          <w:sz w:val="16"/>
          <w:szCs w:val="16"/>
          <w:lang w:val="en-US"/>
        </w:rPr>
        <w:t>roups</w:t>
      </w:r>
      <w:r w:rsidRPr="00BF123C">
        <w:rPr>
          <w:bCs/>
          <w:sz w:val="16"/>
          <w:szCs w:val="16"/>
          <w:lang w:val="en-US"/>
        </w:rPr>
        <w:t xml:space="preserve"> (s. 19</w:t>
      </w:r>
      <w:r w:rsidRPr="009407C8">
        <w:rPr>
          <w:bCs/>
          <w:sz w:val="16"/>
          <w:szCs w:val="16"/>
          <w:lang w:val="en-GB"/>
        </w:rPr>
        <w:t>–</w:t>
      </w:r>
      <w:r w:rsidRPr="00BF123C">
        <w:rPr>
          <w:bCs/>
          <w:sz w:val="16"/>
          <w:szCs w:val="16"/>
          <w:lang w:val="en-US"/>
        </w:rPr>
        <w:t xml:space="preserve">41). </w:t>
      </w:r>
      <w:r w:rsidRPr="00B717AE">
        <w:rPr>
          <w:bCs/>
          <w:sz w:val="16"/>
          <w:szCs w:val="16"/>
          <w:lang w:val="en-US"/>
        </w:rPr>
        <w:t>Tokyo: OECD.</w:t>
      </w:r>
    </w:p>
    <w:p w:rsidR="0015711E" w:rsidRPr="00045EE9" w:rsidRDefault="0015711E" w:rsidP="00045EE9">
      <w:pPr>
        <w:ind w:left="426" w:hanging="426"/>
        <w:rPr>
          <w:bCs/>
          <w:iCs/>
          <w:sz w:val="16"/>
          <w:szCs w:val="16"/>
        </w:rPr>
      </w:pPr>
      <w:r w:rsidRPr="00045EE9">
        <w:rPr>
          <w:bCs/>
          <w:iCs/>
          <w:sz w:val="16"/>
          <w:szCs w:val="16"/>
        </w:rPr>
        <w:t xml:space="preserve">Dove, J. (1998). Students’ alternative conceptions in Earth science: A review of research and implications for teaching and learning. </w:t>
      </w:r>
      <w:r w:rsidRPr="00563165">
        <w:rPr>
          <w:bCs/>
          <w:i/>
          <w:iCs/>
          <w:sz w:val="16"/>
          <w:szCs w:val="16"/>
        </w:rPr>
        <w:t>Research Papers in Education, 13</w:t>
      </w:r>
      <w:r w:rsidRPr="00045EE9">
        <w:rPr>
          <w:bCs/>
          <w:iCs/>
          <w:sz w:val="16"/>
          <w:szCs w:val="16"/>
        </w:rPr>
        <w:t>(2), 183</w:t>
      </w:r>
      <w:r>
        <w:rPr>
          <w:bCs/>
          <w:iCs/>
          <w:sz w:val="16"/>
          <w:szCs w:val="16"/>
        </w:rPr>
        <w:t>–</w:t>
      </w:r>
      <w:r w:rsidRPr="00045EE9">
        <w:rPr>
          <w:bCs/>
          <w:iCs/>
          <w:sz w:val="16"/>
          <w:szCs w:val="16"/>
        </w:rPr>
        <w:t xml:space="preserve">201. </w:t>
      </w:r>
    </w:p>
    <w:p w:rsidR="0015711E" w:rsidRPr="00045EE9" w:rsidRDefault="0015711E" w:rsidP="00045EE9">
      <w:pPr>
        <w:ind w:left="426" w:hanging="426"/>
        <w:rPr>
          <w:bCs/>
          <w:iCs/>
          <w:sz w:val="16"/>
          <w:szCs w:val="16"/>
        </w:rPr>
      </w:pPr>
      <w:r w:rsidRPr="00045EE9">
        <w:rPr>
          <w:bCs/>
          <w:iCs/>
          <w:sz w:val="16"/>
          <w:szCs w:val="16"/>
        </w:rPr>
        <w:t xml:space="preserve">Dove, J. (1999). </w:t>
      </w:r>
      <w:r w:rsidRPr="00654EEE">
        <w:rPr>
          <w:bCs/>
          <w:i/>
          <w:iCs/>
          <w:sz w:val="16"/>
          <w:szCs w:val="16"/>
        </w:rPr>
        <w:t>Immaculate misconceptions.</w:t>
      </w:r>
      <w:r w:rsidRPr="00045EE9">
        <w:rPr>
          <w:bCs/>
          <w:iCs/>
          <w:sz w:val="16"/>
          <w:szCs w:val="16"/>
        </w:rPr>
        <w:t xml:space="preserve"> Sheffield: Geographical Association.</w:t>
      </w:r>
    </w:p>
    <w:p w:rsidR="0015711E" w:rsidRPr="007C0E29" w:rsidRDefault="0015711E" w:rsidP="007C0E29">
      <w:pPr>
        <w:ind w:left="426" w:hanging="426"/>
        <w:rPr>
          <w:bCs/>
          <w:sz w:val="16"/>
          <w:szCs w:val="16"/>
        </w:rPr>
      </w:pPr>
      <w:r w:rsidRPr="007C0E29">
        <w:rPr>
          <w:bCs/>
          <w:sz w:val="16"/>
          <w:szCs w:val="16"/>
        </w:rPr>
        <w:t xml:space="preserve">Dvořák, D. (2012). </w:t>
      </w:r>
      <w:r w:rsidRPr="007C0E29">
        <w:rPr>
          <w:bCs/>
          <w:i/>
          <w:iCs/>
          <w:sz w:val="16"/>
          <w:szCs w:val="16"/>
        </w:rPr>
        <w:t>Od osnov ke standardům: proměny kurikulární teorie a praxe</w:t>
      </w:r>
      <w:r w:rsidRPr="007C0E29">
        <w:rPr>
          <w:bCs/>
          <w:sz w:val="16"/>
          <w:szCs w:val="16"/>
        </w:rPr>
        <w:t>. Praha: Univerzita Karlova v Praze, Pedagogická fakulta.</w:t>
      </w:r>
    </w:p>
    <w:p w:rsidR="0015711E" w:rsidRPr="007C0E29" w:rsidRDefault="0015711E" w:rsidP="007C0E29">
      <w:pPr>
        <w:ind w:left="426" w:hanging="426"/>
        <w:rPr>
          <w:bCs/>
          <w:sz w:val="16"/>
          <w:szCs w:val="16"/>
        </w:rPr>
      </w:pPr>
      <w:r w:rsidRPr="007C0E29">
        <w:rPr>
          <w:bCs/>
          <w:sz w:val="16"/>
          <w:szCs w:val="16"/>
        </w:rPr>
        <w:t xml:space="preserve">Egner, H., &amp; Ratter, B. M. W. (2008). Einleitung: Wozu Systemtheorie(n). In H. Egner, B. Ratter, &amp; R. Dikau (Eds.), </w:t>
      </w:r>
      <w:r w:rsidRPr="007C0E29">
        <w:rPr>
          <w:bCs/>
          <w:i/>
          <w:iCs/>
          <w:sz w:val="16"/>
          <w:szCs w:val="16"/>
        </w:rPr>
        <w:t>Umwelt als Syst</w:t>
      </w:r>
      <w:r>
        <w:rPr>
          <w:bCs/>
          <w:i/>
          <w:iCs/>
          <w:sz w:val="16"/>
          <w:szCs w:val="16"/>
        </w:rPr>
        <w:t>e</w:t>
      </w:r>
      <w:r w:rsidRPr="007C0E29">
        <w:rPr>
          <w:bCs/>
          <w:i/>
          <w:iCs/>
          <w:sz w:val="16"/>
          <w:szCs w:val="16"/>
        </w:rPr>
        <w:t>m – System als Umwelt</w:t>
      </w:r>
      <w:r w:rsidRPr="007C0E29">
        <w:rPr>
          <w:bCs/>
          <w:sz w:val="16"/>
          <w:szCs w:val="16"/>
        </w:rPr>
        <w:t xml:space="preserve"> (s. 9–19). München: Oekom.</w:t>
      </w:r>
    </w:p>
    <w:p w:rsidR="0015711E" w:rsidRPr="00A14816" w:rsidRDefault="0015711E" w:rsidP="00A14816">
      <w:pPr>
        <w:ind w:left="426" w:hanging="426"/>
        <w:rPr>
          <w:sz w:val="16"/>
          <w:szCs w:val="16"/>
        </w:rPr>
      </w:pPr>
      <w:r w:rsidRPr="00A14816">
        <w:rPr>
          <w:sz w:val="16"/>
          <w:szCs w:val="16"/>
        </w:rPr>
        <w:t xml:space="preserve">Eraut, M. (1994). </w:t>
      </w:r>
      <w:r w:rsidRPr="00A14816">
        <w:rPr>
          <w:i/>
          <w:sz w:val="16"/>
          <w:szCs w:val="16"/>
        </w:rPr>
        <w:t>Developing professional knowledge and competence</w:t>
      </w:r>
      <w:r w:rsidRPr="00A14816">
        <w:rPr>
          <w:sz w:val="16"/>
          <w:szCs w:val="16"/>
        </w:rPr>
        <w:t>. London: Falmer Press.</w:t>
      </w:r>
    </w:p>
    <w:p w:rsidR="007E2B2B" w:rsidRDefault="007E2B2B" w:rsidP="007C0E29">
      <w:pPr>
        <w:ind w:left="426" w:hanging="426"/>
        <w:rPr>
          <w:sz w:val="16"/>
          <w:szCs w:val="16"/>
        </w:rPr>
      </w:pPr>
      <w:r w:rsidRPr="007E2B2B">
        <w:rPr>
          <w:sz w:val="16"/>
          <w:szCs w:val="16"/>
        </w:rPr>
        <w:t>Eysenck, M. W., &amp; Keane, M. T. (2008). </w:t>
      </w:r>
      <w:r w:rsidRPr="007E2B2B">
        <w:rPr>
          <w:i/>
          <w:iCs/>
          <w:sz w:val="16"/>
          <w:szCs w:val="16"/>
        </w:rPr>
        <w:t>Kognitivní psychologie</w:t>
      </w:r>
      <w:r w:rsidRPr="007E2B2B">
        <w:rPr>
          <w:sz w:val="16"/>
          <w:szCs w:val="16"/>
        </w:rPr>
        <w:t>. Praha: Academia.</w:t>
      </w:r>
    </w:p>
    <w:p w:rsidR="0015711E" w:rsidRPr="007C0E29" w:rsidRDefault="0015711E" w:rsidP="007C0E29">
      <w:pPr>
        <w:ind w:left="426" w:hanging="426"/>
        <w:rPr>
          <w:sz w:val="16"/>
          <w:szCs w:val="16"/>
        </w:rPr>
      </w:pPr>
      <w:r w:rsidRPr="007C0E29">
        <w:rPr>
          <w:sz w:val="16"/>
          <w:szCs w:val="16"/>
        </w:rPr>
        <w:t xml:space="preserve">Ferretti, J. (2013). Whatever happened to the inquiry approach in geography? In D. Lambert &amp; M. Jones (Eds.), </w:t>
      </w:r>
      <w:r w:rsidRPr="007C0E29">
        <w:rPr>
          <w:i/>
          <w:sz w:val="16"/>
          <w:szCs w:val="16"/>
        </w:rPr>
        <w:t xml:space="preserve">Debates in </w:t>
      </w:r>
      <w:r>
        <w:rPr>
          <w:i/>
          <w:sz w:val="16"/>
          <w:szCs w:val="16"/>
        </w:rPr>
        <w:t>g</w:t>
      </w:r>
      <w:r w:rsidRPr="007C0E29">
        <w:rPr>
          <w:i/>
          <w:sz w:val="16"/>
          <w:szCs w:val="16"/>
        </w:rPr>
        <w:t xml:space="preserve">eography </w:t>
      </w:r>
      <w:r>
        <w:rPr>
          <w:i/>
          <w:sz w:val="16"/>
          <w:szCs w:val="16"/>
        </w:rPr>
        <w:t>e</w:t>
      </w:r>
      <w:r w:rsidRPr="007C0E29">
        <w:rPr>
          <w:i/>
          <w:sz w:val="16"/>
          <w:szCs w:val="16"/>
        </w:rPr>
        <w:t xml:space="preserve">ducation </w:t>
      </w:r>
      <w:r w:rsidRPr="007C0E29">
        <w:rPr>
          <w:sz w:val="16"/>
          <w:szCs w:val="16"/>
        </w:rPr>
        <w:t>(s. 103–115). London: Routledge.</w:t>
      </w:r>
    </w:p>
    <w:p w:rsidR="0015711E" w:rsidRPr="00634EF5" w:rsidRDefault="0015711E" w:rsidP="00634EF5">
      <w:pPr>
        <w:ind w:left="426" w:hanging="426"/>
        <w:rPr>
          <w:sz w:val="16"/>
          <w:szCs w:val="16"/>
        </w:rPr>
      </w:pPr>
      <w:r w:rsidRPr="00634EF5">
        <w:rPr>
          <w:sz w:val="16"/>
          <w:szCs w:val="16"/>
        </w:rPr>
        <w:t xml:space="preserve">Field, A. (2009). </w:t>
      </w:r>
      <w:r w:rsidRPr="00740B8F">
        <w:rPr>
          <w:i/>
          <w:sz w:val="16"/>
          <w:szCs w:val="16"/>
        </w:rPr>
        <w:t>Discovering statistics using SPSS.</w:t>
      </w:r>
      <w:r w:rsidRPr="00634EF5">
        <w:rPr>
          <w:sz w:val="16"/>
          <w:szCs w:val="16"/>
        </w:rPr>
        <w:t xml:space="preserve"> London: Sage.</w:t>
      </w:r>
    </w:p>
    <w:p w:rsidR="0015711E" w:rsidRPr="00B544D7" w:rsidRDefault="0015711E" w:rsidP="00B544D7">
      <w:pPr>
        <w:ind w:left="426" w:hanging="426"/>
        <w:rPr>
          <w:bCs/>
          <w:iCs/>
          <w:sz w:val="16"/>
          <w:szCs w:val="16"/>
        </w:rPr>
      </w:pPr>
      <w:r w:rsidRPr="00B544D7">
        <w:rPr>
          <w:bCs/>
          <w:iCs/>
          <w:sz w:val="16"/>
          <w:szCs w:val="16"/>
        </w:rPr>
        <w:t xml:space="preserve">Firth, R. (2013). What constitutes knowledge in geography? In D. Lambert &amp; M. Jones (Eds.), </w:t>
      </w:r>
      <w:r w:rsidRPr="00AA6590">
        <w:rPr>
          <w:bCs/>
          <w:i/>
          <w:iCs/>
          <w:sz w:val="16"/>
          <w:szCs w:val="16"/>
        </w:rPr>
        <w:t xml:space="preserve">Debates in geography education </w:t>
      </w:r>
      <w:r w:rsidRPr="00B544D7">
        <w:rPr>
          <w:bCs/>
          <w:iCs/>
          <w:sz w:val="16"/>
          <w:szCs w:val="16"/>
        </w:rPr>
        <w:t>(s. 59–74). New York: Routledge.</w:t>
      </w:r>
    </w:p>
    <w:p w:rsidR="0015711E" w:rsidRPr="00812D01" w:rsidRDefault="0015711E" w:rsidP="00812D01">
      <w:pPr>
        <w:ind w:left="426" w:hanging="426"/>
        <w:rPr>
          <w:bCs/>
          <w:iCs/>
          <w:sz w:val="16"/>
          <w:szCs w:val="16"/>
        </w:rPr>
      </w:pPr>
      <w:r w:rsidRPr="00812D01">
        <w:rPr>
          <w:bCs/>
          <w:iCs/>
          <w:sz w:val="16"/>
          <w:szCs w:val="16"/>
        </w:rPr>
        <w:t xml:space="preserve">Fleiss, J. L., &amp; Cohen, J. (1973). The equivalence of weighted kappa and the intraclass correlation coefficient as measures of reliability. </w:t>
      </w:r>
      <w:r w:rsidRPr="00812D01">
        <w:rPr>
          <w:bCs/>
          <w:i/>
          <w:iCs/>
          <w:sz w:val="16"/>
          <w:szCs w:val="16"/>
        </w:rPr>
        <w:t>Educational and Psychological Measurement, 33</w:t>
      </w:r>
      <w:r w:rsidRPr="00812D01">
        <w:rPr>
          <w:bCs/>
          <w:iCs/>
          <w:sz w:val="16"/>
          <w:szCs w:val="16"/>
        </w:rPr>
        <w:t>(3), 613</w:t>
      </w:r>
      <w:r>
        <w:rPr>
          <w:bCs/>
          <w:iCs/>
          <w:sz w:val="16"/>
          <w:szCs w:val="16"/>
        </w:rPr>
        <w:t>–</w:t>
      </w:r>
      <w:r w:rsidRPr="00812D01">
        <w:rPr>
          <w:bCs/>
          <w:iCs/>
          <w:sz w:val="16"/>
          <w:szCs w:val="16"/>
        </w:rPr>
        <w:t>619.</w:t>
      </w:r>
    </w:p>
    <w:p w:rsidR="0015711E" w:rsidRPr="005434D2" w:rsidRDefault="0015711E" w:rsidP="00AC1737">
      <w:pPr>
        <w:ind w:left="426" w:hanging="426"/>
        <w:rPr>
          <w:bCs/>
          <w:sz w:val="16"/>
          <w:szCs w:val="16"/>
        </w:rPr>
      </w:pPr>
      <w:r w:rsidRPr="005434D2">
        <w:rPr>
          <w:bCs/>
          <w:sz w:val="16"/>
          <w:szCs w:val="16"/>
        </w:rPr>
        <w:t xml:space="preserve">Fogarty, R. (1997). </w:t>
      </w:r>
      <w:r w:rsidRPr="005434D2">
        <w:rPr>
          <w:bCs/>
          <w:i/>
          <w:iCs/>
          <w:sz w:val="16"/>
          <w:szCs w:val="16"/>
        </w:rPr>
        <w:t xml:space="preserve">Problem-Based </w:t>
      </w:r>
      <w:r>
        <w:rPr>
          <w:bCs/>
          <w:i/>
          <w:iCs/>
          <w:sz w:val="16"/>
          <w:szCs w:val="16"/>
        </w:rPr>
        <w:t>l</w:t>
      </w:r>
      <w:r w:rsidRPr="005434D2">
        <w:rPr>
          <w:bCs/>
          <w:i/>
          <w:iCs/>
          <w:sz w:val="16"/>
          <w:szCs w:val="16"/>
        </w:rPr>
        <w:t xml:space="preserve">earning and </w:t>
      </w:r>
      <w:r>
        <w:rPr>
          <w:bCs/>
          <w:i/>
          <w:iCs/>
          <w:sz w:val="16"/>
          <w:szCs w:val="16"/>
        </w:rPr>
        <w:t>o</w:t>
      </w:r>
      <w:r w:rsidRPr="005434D2">
        <w:rPr>
          <w:bCs/>
          <w:i/>
          <w:iCs/>
          <w:sz w:val="16"/>
          <w:szCs w:val="16"/>
        </w:rPr>
        <w:t xml:space="preserve">ther </w:t>
      </w:r>
      <w:r>
        <w:rPr>
          <w:bCs/>
          <w:i/>
          <w:iCs/>
          <w:sz w:val="16"/>
          <w:szCs w:val="16"/>
        </w:rPr>
        <w:t>c</w:t>
      </w:r>
      <w:r w:rsidRPr="005434D2">
        <w:rPr>
          <w:bCs/>
          <w:i/>
          <w:iCs/>
          <w:sz w:val="16"/>
          <w:szCs w:val="16"/>
        </w:rPr>
        <w:t xml:space="preserve">urriculum </w:t>
      </w:r>
      <w:r>
        <w:rPr>
          <w:bCs/>
          <w:i/>
          <w:iCs/>
          <w:sz w:val="16"/>
          <w:szCs w:val="16"/>
        </w:rPr>
        <w:t>m</w:t>
      </w:r>
      <w:r w:rsidRPr="005434D2">
        <w:rPr>
          <w:bCs/>
          <w:i/>
          <w:iCs/>
          <w:sz w:val="16"/>
          <w:szCs w:val="16"/>
        </w:rPr>
        <w:t xml:space="preserve">odels for the </w:t>
      </w:r>
      <w:r>
        <w:rPr>
          <w:bCs/>
          <w:i/>
          <w:iCs/>
          <w:sz w:val="16"/>
          <w:szCs w:val="16"/>
        </w:rPr>
        <w:t>m</w:t>
      </w:r>
      <w:r w:rsidRPr="005434D2">
        <w:rPr>
          <w:bCs/>
          <w:i/>
          <w:iCs/>
          <w:sz w:val="16"/>
          <w:szCs w:val="16"/>
        </w:rPr>
        <w:t xml:space="preserve">ultiple </w:t>
      </w:r>
      <w:r>
        <w:rPr>
          <w:bCs/>
          <w:i/>
          <w:iCs/>
          <w:sz w:val="16"/>
          <w:szCs w:val="16"/>
        </w:rPr>
        <w:t>i</w:t>
      </w:r>
      <w:r w:rsidRPr="005434D2">
        <w:rPr>
          <w:bCs/>
          <w:i/>
          <w:iCs/>
          <w:sz w:val="16"/>
          <w:szCs w:val="16"/>
        </w:rPr>
        <w:t xml:space="preserve">ntelligences </w:t>
      </w:r>
      <w:r>
        <w:rPr>
          <w:bCs/>
          <w:i/>
          <w:iCs/>
          <w:sz w:val="16"/>
          <w:szCs w:val="16"/>
        </w:rPr>
        <w:t>c</w:t>
      </w:r>
      <w:r w:rsidRPr="005434D2">
        <w:rPr>
          <w:bCs/>
          <w:i/>
          <w:iCs/>
          <w:sz w:val="16"/>
          <w:szCs w:val="16"/>
        </w:rPr>
        <w:t>lassroom</w:t>
      </w:r>
      <w:r w:rsidRPr="005434D2">
        <w:rPr>
          <w:bCs/>
          <w:sz w:val="16"/>
          <w:szCs w:val="16"/>
        </w:rPr>
        <w:t>. Arlington Heights: IRI/Skylight Training and Publishing.</w:t>
      </w:r>
    </w:p>
    <w:p w:rsidR="0015711E" w:rsidRPr="005B2183" w:rsidRDefault="0015711E" w:rsidP="005B2183">
      <w:pPr>
        <w:ind w:left="426" w:hanging="426"/>
        <w:rPr>
          <w:bCs/>
          <w:iCs/>
          <w:sz w:val="16"/>
          <w:szCs w:val="16"/>
        </w:rPr>
      </w:pPr>
      <w:r w:rsidRPr="005B2183">
        <w:rPr>
          <w:bCs/>
          <w:iCs/>
          <w:sz w:val="16"/>
          <w:szCs w:val="16"/>
        </w:rPr>
        <w:t xml:space="preserve">Franzosi, R. (2004). Content analysis. In M. Lewis-Beck, A. E. Bryman, &amp; T. F. Liao (Eds.), </w:t>
      </w:r>
      <w:r w:rsidRPr="005B2183">
        <w:rPr>
          <w:bCs/>
          <w:i/>
          <w:iCs/>
          <w:sz w:val="16"/>
          <w:szCs w:val="16"/>
        </w:rPr>
        <w:t>The Sage encyclopedia of social science research methods</w:t>
      </w:r>
      <w:r w:rsidRPr="005B2183">
        <w:rPr>
          <w:bCs/>
          <w:iCs/>
          <w:sz w:val="16"/>
          <w:szCs w:val="16"/>
        </w:rPr>
        <w:t> (s. 186</w:t>
      </w:r>
      <w:r>
        <w:rPr>
          <w:bCs/>
          <w:iCs/>
          <w:sz w:val="16"/>
          <w:szCs w:val="16"/>
        </w:rPr>
        <w:t>–</w:t>
      </w:r>
      <w:r w:rsidRPr="005B2183">
        <w:rPr>
          <w:bCs/>
          <w:iCs/>
          <w:sz w:val="16"/>
          <w:szCs w:val="16"/>
        </w:rPr>
        <w:t>189). London: Sage.</w:t>
      </w:r>
    </w:p>
    <w:p w:rsidR="0015711E" w:rsidRPr="007C0E29" w:rsidRDefault="0015711E" w:rsidP="007C0E29">
      <w:pPr>
        <w:ind w:left="426" w:hanging="426"/>
        <w:rPr>
          <w:bCs/>
          <w:sz w:val="16"/>
          <w:szCs w:val="16"/>
        </w:rPr>
      </w:pPr>
      <w:r w:rsidRPr="007C0E29">
        <w:rPr>
          <w:bCs/>
          <w:sz w:val="16"/>
          <w:szCs w:val="16"/>
        </w:rPr>
        <w:t xml:space="preserve">Frensch, P. A., &amp; Funke, J. (1995). Definitions, traditions and a general framework for understanding complex problem solving. In P. A. Frensch &amp; J. Funke (Eds.), </w:t>
      </w:r>
      <w:r w:rsidRPr="007C0E29">
        <w:rPr>
          <w:bCs/>
          <w:i/>
          <w:iCs/>
          <w:sz w:val="16"/>
          <w:szCs w:val="16"/>
        </w:rPr>
        <w:t xml:space="preserve">Complex problem solving: The European perspective </w:t>
      </w:r>
      <w:r w:rsidRPr="007C0E29">
        <w:rPr>
          <w:bCs/>
          <w:iCs/>
          <w:sz w:val="16"/>
          <w:szCs w:val="16"/>
        </w:rPr>
        <w:t>(s. 3–25)</w:t>
      </w:r>
      <w:r w:rsidRPr="007C0E29">
        <w:rPr>
          <w:bCs/>
          <w:sz w:val="16"/>
          <w:szCs w:val="16"/>
        </w:rPr>
        <w:t xml:space="preserve">. Hillsdale: Lawrence Erlbaum Associates. </w:t>
      </w:r>
    </w:p>
    <w:p w:rsidR="0015711E" w:rsidRPr="00CE5E1B" w:rsidRDefault="0015711E" w:rsidP="005B2183">
      <w:pPr>
        <w:ind w:left="426" w:hanging="426"/>
        <w:rPr>
          <w:bCs/>
          <w:iCs/>
          <w:sz w:val="16"/>
          <w:szCs w:val="16"/>
        </w:rPr>
      </w:pPr>
      <w:r w:rsidRPr="005B2183">
        <w:rPr>
          <w:bCs/>
          <w:iCs/>
          <w:sz w:val="16"/>
          <w:szCs w:val="16"/>
        </w:rPr>
        <w:t xml:space="preserve">Früh, W. (2004). </w:t>
      </w:r>
      <w:r w:rsidRPr="005B2183">
        <w:rPr>
          <w:bCs/>
          <w:i/>
          <w:iCs/>
          <w:sz w:val="16"/>
          <w:szCs w:val="16"/>
        </w:rPr>
        <w:t>Inhaltsanalyse: Theorie und Praxis</w:t>
      </w:r>
      <w:r w:rsidRPr="005B2183">
        <w:rPr>
          <w:bCs/>
          <w:iCs/>
          <w:sz w:val="16"/>
          <w:szCs w:val="16"/>
        </w:rPr>
        <w:t xml:space="preserve">. Konstanz: UVK. </w:t>
      </w:r>
    </w:p>
    <w:p w:rsidR="0015711E" w:rsidRPr="004118DA" w:rsidRDefault="0015711E" w:rsidP="004118DA">
      <w:pPr>
        <w:ind w:left="426" w:hanging="426"/>
        <w:rPr>
          <w:bCs/>
          <w:sz w:val="16"/>
          <w:szCs w:val="16"/>
        </w:rPr>
      </w:pPr>
      <w:r w:rsidRPr="006E57E0">
        <w:rPr>
          <w:bCs/>
          <w:sz w:val="16"/>
          <w:szCs w:val="16"/>
        </w:rPr>
        <w:t xml:space="preserve">Funke, J. (1992). </w:t>
      </w:r>
      <w:r w:rsidRPr="000B0DDA">
        <w:rPr>
          <w:bCs/>
          <w:i/>
          <w:sz w:val="16"/>
          <w:szCs w:val="16"/>
        </w:rPr>
        <w:t>Wissen über dynamische Systeme. Erwerb, Repräsentation und Anwendung</w:t>
      </w:r>
      <w:r>
        <w:rPr>
          <w:bCs/>
          <w:sz w:val="16"/>
          <w:szCs w:val="16"/>
        </w:rPr>
        <w:t xml:space="preserve">. </w:t>
      </w:r>
      <w:r w:rsidRPr="006E57E0">
        <w:rPr>
          <w:bCs/>
          <w:sz w:val="16"/>
          <w:szCs w:val="16"/>
        </w:rPr>
        <w:t>Berlin: Springer.</w:t>
      </w:r>
    </w:p>
    <w:p w:rsidR="0015711E" w:rsidRPr="007C0E29" w:rsidRDefault="0015711E" w:rsidP="00057E96">
      <w:pPr>
        <w:ind w:left="426" w:hanging="426"/>
        <w:rPr>
          <w:bCs/>
          <w:sz w:val="16"/>
          <w:szCs w:val="16"/>
        </w:rPr>
      </w:pPr>
      <w:r w:rsidRPr="007C0E29">
        <w:rPr>
          <w:bCs/>
          <w:sz w:val="16"/>
          <w:szCs w:val="16"/>
        </w:rPr>
        <w:t xml:space="preserve">Funke, J. (1995). </w:t>
      </w:r>
      <w:r>
        <w:rPr>
          <w:bCs/>
          <w:sz w:val="16"/>
          <w:szCs w:val="16"/>
        </w:rPr>
        <w:t>Experimental research on problem solving</w:t>
      </w:r>
      <w:r w:rsidRPr="007C0E29">
        <w:rPr>
          <w:bCs/>
          <w:sz w:val="16"/>
          <w:szCs w:val="16"/>
        </w:rPr>
        <w:t xml:space="preserve">. In P. A. Frensch &amp; J. Funke (Eds.), </w:t>
      </w:r>
      <w:r w:rsidRPr="007C0E29">
        <w:rPr>
          <w:bCs/>
          <w:i/>
          <w:iCs/>
          <w:sz w:val="16"/>
          <w:szCs w:val="16"/>
        </w:rPr>
        <w:t>Complex problem solving: The Eur</w:t>
      </w:r>
      <w:r>
        <w:rPr>
          <w:bCs/>
          <w:i/>
          <w:iCs/>
          <w:sz w:val="16"/>
          <w:szCs w:val="16"/>
        </w:rPr>
        <w:t xml:space="preserve">opean </w:t>
      </w:r>
      <w:r w:rsidRPr="007C0E29">
        <w:rPr>
          <w:bCs/>
          <w:i/>
          <w:iCs/>
          <w:sz w:val="16"/>
          <w:szCs w:val="16"/>
        </w:rPr>
        <w:t xml:space="preserve">perspective </w:t>
      </w:r>
      <w:r w:rsidRPr="007C0E29">
        <w:rPr>
          <w:bCs/>
          <w:iCs/>
          <w:sz w:val="16"/>
          <w:szCs w:val="16"/>
        </w:rPr>
        <w:t xml:space="preserve">(s. </w:t>
      </w:r>
      <w:r>
        <w:rPr>
          <w:bCs/>
          <w:iCs/>
          <w:sz w:val="16"/>
          <w:szCs w:val="16"/>
        </w:rPr>
        <w:t>243</w:t>
      </w:r>
      <w:r w:rsidRPr="007C0E29">
        <w:rPr>
          <w:bCs/>
          <w:iCs/>
          <w:sz w:val="16"/>
          <w:szCs w:val="16"/>
        </w:rPr>
        <w:t>–</w:t>
      </w:r>
      <w:r>
        <w:rPr>
          <w:bCs/>
          <w:iCs/>
          <w:sz w:val="16"/>
          <w:szCs w:val="16"/>
        </w:rPr>
        <w:t>268</w:t>
      </w:r>
      <w:r w:rsidRPr="007C0E29">
        <w:rPr>
          <w:bCs/>
          <w:iCs/>
          <w:sz w:val="16"/>
          <w:szCs w:val="16"/>
        </w:rPr>
        <w:t>)</w:t>
      </w:r>
      <w:r w:rsidRPr="007C0E29">
        <w:rPr>
          <w:bCs/>
          <w:sz w:val="16"/>
          <w:szCs w:val="16"/>
        </w:rPr>
        <w:t>.</w:t>
      </w:r>
      <w:r>
        <w:rPr>
          <w:bCs/>
          <w:sz w:val="16"/>
          <w:szCs w:val="16"/>
        </w:rPr>
        <w:t xml:space="preserve"> </w:t>
      </w:r>
      <w:r w:rsidRPr="007C0E29">
        <w:rPr>
          <w:bCs/>
          <w:sz w:val="16"/>
          <w:szCs w:val="16"/>
        </w:rPr>
        <w:t>Hillsdale: Lawrence Erlbaum Associates.</w:t>
      </w:r>
    </w:p>
    <w:p w:rsidR="0015711E" w:rsidRDefault="0015711E" w:rsidP="00992F3B">
      <w:pPr>
        <w:ind w:left="426" w:hanging="426"/>
        <w:rPr>
          <w:sz w:val="16"/>
          <w:szCs w:val="16"/>
        </w:rPr>
      </w:pPr>
      <w:r w:rsidRPr="00992F3B">
        <w:rPr>
          <w:sz w:val="16"/>
          <w:szCs w:val="16"/>
        </w:rPr>
        <w:t xml:space="preserve">Funke, J. (2003). </w:t>
      </w:r>
      <w:r w:rsidRPr="00992F3B">
        <w:rPr>
          <w:i/>
          <w:iCs/>
          <w:sz w:val="16"/>
          <w:szCs w:val="16"/>
        </w:rPr>
        <w:t>Problemlösendes Denken</w:t>
      </w:r>
      <w:r w:rsidRPr="00992F3B">
        <w:rPr>
          <w:sz w:val="16"/>
          <w:szCs w:val="16"/>
        </w:rPr>
        <w:t>. Stuttgart: Kohlhammer.</w:t>
      </w:r>
    </w:p>
    <w:p w:rsidR="0015711E" w:rsidRDefault="0015711E" w:rsidP="006E57E0">
      <w:pPr>
        <w:ind w:left="426" w:hanging="426"/>
        <w:rPr>
          <w:bCs/>
          <w:sz w:val="16"/>
          <w:szCs w:val="16"/>
        </w:rPr>
      </w:pPr>
      <w:r w:rsidRPr="006E57E0">
        <w:rPr>
          <w:bCs/>
          <w:sz w:val="16"/>
          <w:szCs w:val="16"/>
        </w:rPr>
        <w:t xml:space="preserve">Funke, J., &amp; Müller, H. (1988). Eingreifen und prognostizieren als determinanten von systemidentifikation und systemsteuerung. </w:t>
      </w:r>
      <w:r w:rsidRPr="000B0DDA">
        <w:rPr>
          <w:bCs/>
          <w:i/>
          <w:sz w:val="16"/>
          <w:szCs w:val="16"/>
        </w:rPr>
        <w:t>Sprache &amp; Kognition, 7</w:t>
      </w:r>
      <w:r w:rsidRPr="006E57E0">
        <w:rPr>
          <w:bCs/>
          <w:sz w:val="16"/>
          <w:szCs w:val="16"/>
        </w:rPr>
        <w:t>(3), 176</w:t>
      </w:r>
      <w:r>
        <w:rPr>
          <w:bCs/>
          <w:sz w:val="16"/>
          <w:szCs w:val="16"/>
        </w:rPr>
        <w:t>–</w:t>
      </w:r>
      <w:r w:rsidRPr="006E57E0">
        <w:rPr>
          <w:bCs/>
          <w:sz w:val="16"/>
          <w:szCs w:val="16"/>
        </w:rPr>
        <w:t>186.</w:t>
      </w:r>
    </w:p>
    <w:p w:rsidR="0015711E" w:rsidRPr="005434D2" w:rsidRDefault="0015711E" w:rsidP="005434D2">
      <w:pPr>
        <w:ind w:left="426" w:hanging="426"/>
        <w:rPr>
          <w:bCs/>
          <w:sz w:val="16"/>
          <w:szCs w:val="16"/>
        </w:rPr>
      </w:pPr>
      <w:r w:rsidRPr="005434D2">
        <w:rPr>
          <w:bCs/>
          <w:sz w:val="16"/>
          <w:szCs w:val="16"/>
        </w:rPr>
        <w:t xml:space="preserve">Gagné, R. M. (1975). </w:t>
      </w:r>
      <w:r w:rsidRPr="005434D2">
        <w:rPr>
          <w:bCs/>
          <w:i/>
          <w:iCs/>
          <w:sz w:val="16"/>
          <w:szCs w:val="16"/>
        </w:rPr>
        <w:t>Podmínky učení</w:t>
      </w:r>
      <w:r w:rsidRPr="005434D2">
        <w:rPr>
          <w:bCs/>
          <w:sz w:val="16"/>
          <w:szCs w:val="16"/>
        </w:rPr>
        <w:t>. Praha: SPN.</w:t>
      </w:r>
    </w:p>
    <w:p w:rsidR="0015711E" w:rsidRPr="007E51DC" w:rsidRDefault="0015711E" w:rsidP="007E51DC">
      <w:pPr>
        <w:ind w:left="426" w:hanging="426"/>
        <w:rPr>
          <w:sz w:val="16"/>
          <w:szCs w:val="16"/>
        </w:rPr>
      </w:pPr>
      <w:r w:rsidRPr="007E51DC">
        <w:rPr>
          <w:sz w:val="16"/>
          <w:szCs w:val="16"/>
        </w:rPr>
        <w:t>Gagné, R. M. (1985).</w:t>
      </w:r>
      <w:r w:rsidRPr="007E51DC">
        <w:rPr>
          <w:i/>
          <w:iCs/>
          <w:sz w:val="16"/>
          <w:szCs w:val="16"/>
        </w:rPr>
        <w:t xml:space="preserve"> The conditions of learning and theory of instruction (4th Edition)</w:t>
      </w:r>
      <w:r w:rsidRPr="007E51DC">
        <w:rPr>
          <w:sz w:val="16"/>
          <w:szCs w:val="16"/>
        </w:rPr>
        <w:t>. New York: CBS College.</w:t>
      </w:r>
    </w:p>
    <w:p w:rsidR="0015711E" w:rsidRPr="007E51DC" w:rsidRDefault="0015711E" w:rsidP="007E51DC">
      <w:pPr>
        <w:ind w:left="426" w:hanging="426"/>
        <w:rPr>
          <w:sz w:val="16"/>
          <w:szCs w:val="16"/>
        </w:rPr>
      </w:pPr>
      <w:r w:rsidRPr="007E51DC">
        <w:rPr>
          <w:sz w:val="16"/>
          <w:szCs w:val="16"/>
        </w:rPr>
        <w:t xml:space="preserve">Gagné, R. M., Wager, W. W., Golas, K. C., &amp; Keller, J. M. (2005). </w:t>
      </w:r>
      <w:r w:rsidRPr="007E51DC">
        <w:rPr>
          <w:i/>
          <w:sz w:val="16"/>
          <w:szCs w:val="16"/>
        </w:rPr>
        <w:t xml:space="preserve">Principles of instructional design. </w:t>
      </w:r>
      <w:r w:rsidRPr="007E51DC">
        <w:rPr>
          <w:sz w:val="16"/>
          <w:szCs w:val="16"/>
        </w:rPr>
        <w:t>Belmont: Wadsworth.</w:t>
      </w:r>
    </w:p>
    <w:p w:rsidR="0015711E" w:rsidRPr="00387BD3" w:rsidRDefault="0015711E" w:rsidP="00387BD3">
      <w:pPr>
        <w:ind w:left="426" w:hanging="426"/>
        <w:rPr>
          <w:sz w:val="16"/>
          <w:szCs w:val="16"/>
          <w:lang w:val="en-GB"/>
        </w:rPr>
      </w:pPr>
      <w:r w:rsidRPr="00387BD3">
        <w:rPr>
          <w:sz w:val="16"/>
          <w:szCs w:val="16"/>
          <w:lang w:val="en-GB"/>
        </w:rPr>
        <w:t xml:space="preserve">Gall, M. D. (1984). Synthesis of research on teacher's questioning. </w:t>
      </w:r>
      <w:r w:rsidRPr="00387BD3">
        <w:rPr>
          <w:i/>
          <w:iCs/>
          <w:sz w:val="16"/>
          <w:szCs w:val="16"/>
          <w:lang w:val="en-GB"/>
        </w:rPr>
        <w:t xml:space="preserve">Educational Leadership, </w:t>
      </w:r>
      <w:r w:rsidRPr="00387BD3">
        <w:rPr>
          <w:i/>
          <w:sz w:val="16"/>
          <w:szCs w:val="16"/>
          <w:lang w:val="en-GB"/>
        </w:rPr>
        <w:t>42</w:t>
      </w:r>
      <w:r w:rsidRPr="00387BD3">
        <w:rPr>
          <w:sz w:val="16"/>
          <w:szCs w:val="16"/>
          <w:lang w:val="en-GB"/>
        </w:rPr>
        <w:t>(3), 40–47.</w:t>
      </w:r>
    </w:p>
    <w:p w:rsidR="0015711E" w:rsidRPr="001679A8" w:rsidRDefault="0015711E" w:rsidP="00475FF3">
      <w:pPr>
        <w:ind w:left="426" w:hanging="426"/>
        <w:rPr>
          <w:sz w:val="16"/>
          <w:szCs w:val="16"/>
        </w:rPr>
      </w:pPr>
      <w:r w:rsidRPr="001679A8">
        <w:rPr>
          <w:sz w:val="16"/>
          <w:szCs w:val="16"/>
        </w:rPr>
        <w:t xml:space="preserve">Gall, M. D., Ward, B. A., Berliner, D. C., Cahen, L. S., Winne, P. H., Elashoff, J. D., &amp; Stanton, G. C. (1978). Effects of questioning techniques and recitation on student learning. </w:t>
      </w:r>
      <w:r w:rsidRPr="001679A8">
        <w:rPr>
          <w:i/>
          <w:iCs/>
          <w:sz w:val="16"/>
          <w:szCs w:val="16"/>
        </w:rPr>
        <w:t>American Educational Research Journal</w:t>
      </w:r>
      <w:r w:rsidRPr="001679A8">
        <w:rPr>
          <w:sz w:val="16"/>
          <w:szCs w:val="16"/>
        </w:rPr>
        <w:t xml:space="preserve">, </w:t>
      </w:r>
      <w:r w:rsidRPr="001679A8">
        <w:rPr>
          <w:i/>
          <w:iCs/>
          <w:sz w:val="16"/>
          <w:szCs w:val="16"/>
        </w:rPr>
        <w:t>15</w:t>
      </w:r>
      <w:r w:rsidRPr="001679A8">
        <w:rPr>
          <w:sz w:val="16"/>
          <w:szCs w:val="16"/>
        </w:rPr>
        <w:t>(2), 175–199.</w:t>
      </w:r>
    </w:p>
    <w:p w:rsidR="0015711E" w:rsidRPr="00A32765" w:rsidRDefault="0015711E" w:rsidP="00A32765">
      <w:pPr>
        <w:ind w:left="426" w:hanging="426"/>
        <w:rPr>
          <w:sz w:val="16"/>
          <w:szCs w:val="16"/>
        </w:rPr>
      </w:pPr>
      <w:r w:rsidRPr="00A32765">
        <w:rPr>
          <w:sz w:val="16"/>
          <w:szCs w:val="16"/>
        </w:rPr>
        <w:t xml:space="preserve">Gamoran, A., Porter, A. C., Smithson, J., &amp; White, P. A. (1997). Upgrading high school mathematics instruction: Improving learning opportunities for low-achieving, low-income youth. </w:t>
      </w:r>
      <w:r w:rsidRPr="00A32765">
        <w:rPr>
          <w:i/>
          <w:sz w:val="16"/>
          <w:szCs w:val="16"/>
        </w:rPr>
        <w:t>Educational Evaluation and Policy Analysis, 19</w:t>
      </w:r>
      <w:r w:rsidRPr="00A32765">
        <w:rPr>
          <w:sz w:val="16"/>
          <w:szCs w:val="16"/>
        </w:rPr>
        <w:t>(4), 325</w:t>
      </w:r>
      <w:r>
        <w:rPr>
          <w:sz w:val="16"/>
          <w:szCs w:val="16"/>
        </w:rPr>
        <w:t>–</w:t>
      </w:r>
      <w:r w:rsidRPr="00A32765">
        <w:rPr>
          <w:sz w:val="16"/>
          <w:szCs w:val="16"/>
        </w:rPr>
        <w:t>338.</w:t>
      </w:r>
    </w:p>
    <w:p w:rsidR="0015711E" w:rsidRPr="005E1DC2" w:rsidRDefault="0015711E" w:rsidP="005E1DC2">
      <w:pPr>
        <w:ind w:left="426" w:hanging="426"/>
        <w:rPr>
          <w:sz w:val="16"/>
          <w:szCs w:val="16"/>
        </w:rPr>
      </w:pPr>
      <w:r w:rsidRPr="005E1DC2">
        <w:rPr>
          <w:sz w:val="16"/>
          <w:szCs w:val="16"/>
        </w:rPr>
        <w:t xml:space="preserve">Gehrmann, A., Hericks, U., &amp; Lüders, M. (Eds). (2010). </w:t>
      </w:r>
      <w:r w:rsidRPr="005E1DC2">
        <w:rPr>
          <w:i/>
          <w:sz w:val="16"/>
          <w:szCs w:val="16"/>
        </w:rPr>
        <w:t xml:space="preserve">Bildungsstandards und Kompetenzmodelle. Beiträge zu einer aktuellen Diskussion über Schule, Lehrerbildung und Unterricht. </w:t>
      </w:r>
      <w:r w:rsidRPr="005E1DC2">
        <w:rPr>
          <w:sz w:val="16"/>
          <w:szCs w:val="16"/>
        </w:rPr>
        <w:t>Bad Heilbrunn: Klinkhardt.</w:t>
      </w:r>
    </w:p>
    <w:p w:rsidR="0015711E" w:rsidRPr="00B94841" w:rsidRDefault="0015711E" w:rsidP="00B94841">
      <w:pPr>
        <w:ind w:left="426" w:hanging="426"/>
        <w:rPr>
          <w:sz w:val="16"/>
          <w:szCs w:val="16"/>
        </w:rPr>
      </w:pPr>
      <w:r w:rsidRPr="00B94841">
        <w:rPr>
          <w:sz w:val="16"/>
          <w:szCs w:val="16"/>
        </w:rPr>
        <w:t xml:space="preserve">Geographical Association. (2009). </w:t>
      </w:r>
      <w:r w:rsidRPr="00B94841">
        <w:rPr>
          <w:i/>
          <w:sz w:val="16"/>
          <w:szCs w:val="16"/>
        </w:rPr>
        <w:t>A Different View: A manifesto from the Geographical Association.</w:t>
      </w:r>
      <w:r w:rsidRPr="00B94841">
        <w:rPr>
          <w:sz w:val="16"/>
          <w:szCs w:val="16"/>
        </w:rPr>
        <w:t xml:space="preserve"> Sheffield: The Geographical Association.</w:t>
      </w:r>
    </w:p>
    <w:p w:rsidR="0015711E" w:rsidRPr="007C0E29" w:rsidRDefault="0015711E" w:rsidP="007C0E29">
      <w:pPr>
        <w:ind w:left="426" w:hanging="426"/>
        <w:rPr>
          <w:bCs/>
          <w:sz w:val="16"/>
          <w:szCs w:val="16"/>
        </w:rPr>
      </w:pPr>
      <w:r w:rsidRPr="007C0E29">
        <w:rPr>
          <w:bCs/>
          <w:sz w:val="16"/>
          <w:szCs w:val="16"/>
        </w:rPr>
        <w:t xml:space="preserve">Gersmehl, P. J., &amp; Gersmehl, C. A. (2007). Spatial thinking by young children: Neurologic evidence for early development and “educability”. </w:t>
      </w:r>
      <w:r w:rsidRPr="007C0E29">
        <w:rPr>
          <w:bCs/>
          <w:i/>
          <w:sz w:val="16"/>
          <w:szCs w:val="16"/>
        </w:rPr>
        <w:t>Journal of Geography, 106</w:t>
      </w:r>
      <w:r w:rsidRPr="007C0E29">
        <w:rPr>
          <w:bCs/>
          <w:sz w:val="16"/>
          <w:szCs w:val="16"/>
        </w:rPr>
        <w:t>(5), 181–191.</w:t>
      </w:r>
    </w:p>
    <w:p w:rsidR="0015711E" w:rsidRPr="006346E5" w:rsidRDefault="0015711E" w:rsidP="006346E5">
      <w:pPr>
        <w:ind w:left="426" w:hanging="426"/>
        <w:rPr>
          <w:sz w:val="16"/>
          <w:szCs w:val="16"/>
        </w:rPr>
      </w:pPr>
      <w:r w:rsidRPr="006346E5">
        <w:rPr>
          <w:sz w:val="16"/>
          <w:szCs w:val="16"/>
        </w:rPr>
        <w:t xml:space="preserve">Gick, M. L., &amp; Holyoak, K. J. (1980). Analogical problem solving. </w:t>
      </w:r>
      <w:r w:rsidRPr="007B2EA8">
        <w:rPr>
          <w:i/>
          <w:sz w:val="16"/>
          <w:szCs w:val="16"/>
        </w:rPr>
        <w:t>Cognitive Psychology, 12</w:t>
      </w:r>
      <w:r w:rsidRPr="006346E5">
        <w:rPr>
          <w:sz w:val="16"/>
          <w:szCs w:val="16"/>
        </w:rPr>
        <w:t>(3), 306</w:t>
      </w:r>
      <w:r>
        <w:rPr>
          <w:sz w:val="16"/>
          <w:szCs w:val="16"/>
        </w:rPr>
        <w:t>–</w:t>
      </w:r>
      <w:r w:rsidRPr="006346E5">
        <w:rPr>
          <w:sz w:val="16"/>
          <w:szCs w:val="16"/>
        </w:rPr>
        <w:t>355.</w:t>
      </w:r>
    </w:p>
    <w:p w:rsidR="0015711E" w:rsidRPr="006346E5" w:rsidRDefault="0015711E" w:rsidP="006346E5">
      <w:pPr>
        <w:ind w:left="426" w:hanging="426"/>
        <w:rPr>
          <w:sz w:val="16"/>
          <w:szCs w:val="16"/>
        </w:rPr>
      </w:pPr>
      <w:r w:rsidRPr="006346E5">
        <w:rPr>
          <w:sz w:val="16"/>
          <w:szCs w:val="16"/>
        </w:rPr>
        <w:t xml:space="preserve">Gick, M. L., &amp; Holyoak, K. J. (1983). Schema induction and analogical transfer. </w:t>
      </w:r>
      <w:r w:rsidRPr="000B0DDA">
        <w:rPr>
          <w:i/>
          <w:sz w:val="16"/>
          <w:szCs w:val="16"/>
        </w:rPr>
        <w:t>Cognitive Psychology, 15</w:t>
      </w:r>
      <w:r w:rsidRPr="006346E5">
        <w:rPr>
          <w:sz w:val="16"/>
          <w:szCs w:val="16"/>
        </w:rPr>
        <w:t>(1), 1</w:t>
      </w:r>
      <w:r>
        <w:rPr>
          <w:sz w:val="16"/>
          <w:szCs w:val="16"/>
        </w:rPr>
        <w:t>–</w:t>
      </w:r>
      <w:r w:rsidRPr="006346E5">
        <w:rPr>
          <w:sz w:val="16"/>
          <w:szCs w:val="16"/>
        </w:rPr>
        <w:t>38.</w:t>
      </w:r>
    </w:p>
    <w:p w:rsidR="0015711E" w:rsidRPr="00D1792D" w:rsidRDefault="0015711E" w:rsidP="00D1792D">
      <w:pPr>
        <w:ind w:left="426" w:hanging="426"/>
        <w:rPr>
          <w:bCs/>
          <w:sz w:val="16"/>
          <w:szCs w:val="16"/>
        </w:rPr>
      </w:pPr>
      <w:r w:rsidRPr="00D1792D">
        <w:rPr>
          <w:bCs/>
          <w:sz w:val="16"/>
          <w:szCs w:val="16"/>
        </w:rPr>
        <w:t>Gijbels, D., Dochy, F., Van den Bossche, P., &amp; Segers, M. (2005). Effects of problem-based learning: A meta-analysis from the angle of assessment. </w:t>
      </w:r>
      <w:r w:rsidRPr="00D1792D">
        <w:rPr>
          <w:bCs/>
          <w:i/>
          <w:iCs/>
          <w:sz w:val="16"/>
          <w:szCs w:val="16"/>
        </w:rPr>
        <w:t xml:space="preserve">Review of </w:t>
      </w:r>
      <w:r>
        <w:rPr>
          <w:bCs/>
          <w:i/>
          <w:iCs/>
          <w:sz w:val="16"/>
          <w:szCs w:val="16"/>
        </w:rPr>
        <w:t>E</w:t>
      </w:r>
      <w:r w:rsidRPr="00D1792D">
        <w:rPr>
          <w:bCs/>
          <w:i/>
          <w:iCs/>
          <w:sz w:val="16"/>
          <w:szCs w:val="16"/>
        </w:rPr>
        <w:t xml:space="preserve">ducational </w:t>
      </w:r>
      <w:r>
        <w:rPr>
          <w:bCs/>
          <w:i/>
          <w:iCs/>
          <w:sz w:val="16"/>
          <w:szCs w:val="16"/>
        </w:rPr>
        <w:t>R</w:t>
      </w:r>
      <w:r w:rsidRPr="00D1792D">
        <w:rPr>
          <w:bCs/>
          <w:i/>
          <w:iCs/>
          <w:sz w:val="16"/>
          <w:szCs w:val="16"/>
        </w:rPr>
        <w:t>esearch</w:t>
      </w:r>
      <w:r w:rsidRPr="00D1792D">
        <w:rPr>
          <w:bCs/>
          <w:sz w:val="16"/>
          <w:szCs w:val="16"/>
        </w:rPr>
        <w:t>, </w:t>
      </w:r>
      <w:r w:rsidRPr="00D1792D">
        <w:rPr>
          <w:bCs/>
          <w:i/>
          <w:iCs/>
          <w:sz w:val="16"/>
          <w:szCs w:val="16"/>
        </w:rPr>
        <w:t>75</w:t>
      </w:r>
      <w:r w:rsidRPr="00D1792D">
        <w:rPr>
          <w:bCs/>
          <w:sz w:val="16"/>
          <w:szCs w:val="16"/>
        </w:rPr>
        <w:t>(1), 27</w:t>
      </w:r>
      <w:r>
        <w:rPr>
          <w:bCs/>
          <w:sz w:val="16"/>
          <w:szCs w:val="16"/>
        </w:rPr>
        <w:t>–</w:t>
      </w:r>
      <w:r w:rsidRPr="00D1792D">
        <w:rPr>
          <w:bCs/>
          <w:sz w:val="16"/>
          <w:szCs w:val="16"/>
        </w:rPr>
        <w:t>61.</w:t>
      </w:r>
    </w:p>
    <w:p w:rsidR="0015711E" w:rsidRPr="006346E5" w:rsidRDefault="0015711E" w:rsidP="006346E5">
      <w:pPr>
        <w:ind w:left="426" w:hanging="426"/>
        <w:rPr>
          <w:sz w:val="16"/>
          <w:szCs w:val="16"/>
        </w:rPr>
      </w:pPr>
      <w:r w:rsidRPr="006346E5">
        <w:rPr>
          <w:sz w:val="16"/>
          <w:szCs w:val="16"/>
        </w:rPr>
        <w:t xml:space="preserve">Glaser, R., Schauble, L., Raghavan, K., &amp; Zeitz, C. (1992). </w:t>
      </w:r>
      <w:r w:rsidRPr="00C805EA">
        <w:rPr>
          <w:bCs/>
          <w:sz w:val="16"/>
          <w:szCs w:val="16"/>
        </w:rPr>
        <w:t>Scientific reasoning across different domains.</w:t>
      </w:r>
      <w:r>
        <w:rPr>
          <w:b/>
          <w:bCs/>
          <w:sz w:val="16"/>
          <w:szCs w:val="16"/>
        </w:rPr>
        <w:t xml:space="preserve"> </w:t>
      </w:r>
      <w:r w:rsidRPr="006346E5">
        <w:rPr>
          <w:sz w:val="16"/>
          <w:szCs w:val="16"/>
        </w:rPr>
        <w:t>In E. De Corte, M. C. Linn, H.</w:t>
      </w:r>
      <w:r>
        <w:rPr>
          <w:sz w:val="16"/>
          <w:szCs w:val="16"/>
        </w:rPr>
        <w:t xml:space="preserve"> Mandl,</w:t>
      </w:r>
      <w:r w:rsidRPr="006346E5">
        <w:rPr>
          <w:sz w:val="16"/>
          <w:szCs w:val="16"/>
        </w:rPr>
        <w:t xml:space="preserve"> &amp; </w:t>
      </w:r>
      <w:r>
        <w:rPr>
          <w:sz w:val="16"/>
          <w:szCs w:val="16"/>
        </w:rPr>
        <w:t xml:space="preserve">L. </w:t>
      </w:r>
      <w:r w:rsidRPr="006346E5">
        <w:rPr>
          <w:sz w:val="16"/>
          <w:szCs w:val="16"/>
        </w:rPr>
        <w:t xml:space="preserve">Verschaffel (Eds.), </w:t>
      </w:r>
      <w:r w:rsidRPr="006346E5">
        <w:rPr>
          <w:i/>
          <w:iCs/>
          <w:sz w:val="16"/>
          <w:szCs w:val="16"/>
        </w:rPr>
        <w:t>Scientific reasoning across different domains</w:t>
      </w:r>
      <w:r w:rsidRPr="006346E5">
        <w:rPr>
          <w:sz w:val="16"/>
          <w:szCs w:val="16"/>
        </w:rPr>
        <w:t xml:space="preserve"> (s. 345–371). Berlin: Springer. </w:t>
      </w:r>
    </w:p>
    <w:p w:rsidR="0015711E" w:rsidRPr="007E51DC" w:rsidRDefault="0015711E" w:rsidP="007E51DC">
      <w:pPr>
        <w:ind w:left="426" w:hanging="426"/>
        <w:rPr>
          <w:i/>
          <w:sz w:val="16"/>
          <w:szCs w:val="16"/>
        </w:rPr>
      </w:pPr>
      <w:r w:rsidRPr="007E51DC">
        <w:rPr>
          <w:sz w:val="16"/>
          <w:szCs w:val="16"/>
        </w:rPr>
        <w:t>Gläser-Zikuda, M., Stuchlíková, I., &amp; Janík, T. (2013). Emotional aspects of learning and teaching: Reviewing the field − discussing the issues.</w:t>
      </w:r>
      <w:r w:rsidRPr="007E51DC">
        <w:rPr>
          <w:i/>
          <w:sz w:val="16"/>
          <w:szCs w:val="16"/>
        </w:rPr>
        <w:t xml:space="preserve"> Orbis scholae, 2013, 7</w:t>
      </w:r>
      <w:r w:rsidRPr="007E51DC">
        <w:rPr>
          <w:sz w:val="16"/>
          <w:szCs w:val="16"/>
        </w:rPr>
        <w:t>(2), 7−22.</w:t>
      </w:r>
    </w:p>
    <w:p w:rsidR="0015711E" w:rsidRPr="007C0E29" w:rsidRDefault="0015711E" w:rsidP="007C0E29">
      <w:pPr>
        <w:ind w:left="426" w:hanging="426"/>
        <w:rPr>
          <w:bCs/>
          <w:sz w:val="16"/>
          <w:szCs w:val="16"/>
        </w:rPr>
      </w:pPr>
      <w:r w:rsidRPr="007C0E29">
        <w:rPr>
          <w:bCs/>
          <w:sz w:val="16"/>
          <w:szCs w:val="16"/>
        </w:rPr>
        <w:t xml:space="preserve">Golay, D., Rempfler, A. &amp; Vettiger, B. (2012). Die Qualität von Geographieunterricht optimieren. </w:t>
      </w:r>
      <w:r w:rsidRPr="007C0E29">
        <w:rPr>
          <w:bCs/>
          <w:i/>
          <w:sz w:val="16"/>
          <w:szCs w:val="16"/>
        </w:rPr>
        <w:t>Geographie und ihre Didaktik, 40</w:t>
      </w:r>
      <w:r w:rsidRPr="007C0E29">
        <w:rPr>
          <w:bCs/>
          <w:sz w:val="16"/>
          <w:szCs w:val="16"/>
        </w:rPr>
        <w:t>(1), 4</w:t>
      </w:r>
      <w:r w:rsidRPr="007C0E29">
        <w:rPr>
          <w:bCs/>
          <w:sz w:val="16"/>
          <w:szCs w:val="16"/>
        </w:rPr>
        <w:softHyphen/>
        <w:t>–22.</w:t>
      </w:r>
    </w:p>
    <w:p w:rsidR="0015711E" w:rsidRPr="00C12029" w:rsidRDefault="0015711E" w:rsidP="005B6399">
      <w:pPr>
        <w:ind w:left="426" w:hanging="426"/>
        <w:rPr>
          <w:sz w:val="16"/>
          <w:szCs w:val="16"/>
        </w:rPr>
      </w:pPr>
      <w:r w:rsidRPr="00C12029">
        <w:rPr>
          <w:sz w:val="16"/>
          <w:szCs w:val="16"/>
        </w:rPr>
        <w:t xml:space="preserve">Göldi, S. (2011). </w:t>
      </w:r>
      <w:r w:rsidRPr="00C12029">
        <w:rPr>
          <w:i/>
          <w:iCs/>
          <w:sz w:val="16"/>
          <w:szCs w:val="16"/>
        </w:rPr>
        <w:t>Von der bloomschen Taxonomy zu aktuellen Bildungsstandards: zur Entstehungs-und Rezeptionsgeschichte eines pädagogischen Bestsellers</w:t>
      </w:r>
      <w:r w:rsidRPr="00C12029">
        <w:rPr>
          <w:sz w:val="16"/>
          <w:szCs w:val="16"/>
        </w:rPr>
        <w:t>. Bern: Hep.</w:t>
      </w:r>
    </w:p>
    <w:p w:rsidR="0015711E" w:rsidRPr="00A14816" w:rsidRDefault="0015711E" w:rsidP="00A14816">
      <w:pPr>
        <w:ind w:left="426" w:hanging="426"/>
        <w:rPr>
          <w:sz w:val="16"/>
          <w:szCs w:val="16"/>
        </w:rPr>
      </w:pPr>
      <w:r w:rsidRPr="00A14816">
        <w:rPr>
          <w:sz w:val="16"/>
          <w:szCs w:val="16"/>
        </w:rPr>
        <w:t xml:space="preserve">Goody, J. (2001). Competencies in education: Contextual diversity. In D. S. Rychen &amp; L. H. Salganik (Eds.), </w:t>
      </w:r>
      <w:r w:rsidRPr="00A14816">
        <w:rPr>
          <w:i/>
          <w:sz w:val="16"/>
          <w:szCs w:val="16"/>
        </w:rPr>
        <w:t xml:space="preserve">Defining and </w:t>
      </w:r>
      <w:r>
        <w:rPr>
          <w:i/>
          <w:sz w:val="16"/>
          <w:szCs w:val="16"/>
        </w:rPr>
        <w:t>s</w:t>
      </w:r>
      <w:r w:rsidRPr="00A14816">
        <w:rPr>
          <w:i/>
          <w:sz w:val="16"/>
          <w:szCs w:val="16"/>
        </w:rPr>
        <w:t xml:space="preserve">electing </w:t>
      </w:r>
      <w:r>
        <w:rPr>
          <w:i/>
          <w:sz w:val="16"/>
          <w:szCs w:val="16"/>
        </w:rPr>
        <w:t>k</w:t>
      </w:r>
      <w:r w:rsidRPr="00A14816">
        <w:rPr>
          <w:i/>
          <w:sz w:val="16"/>
          <w:szCs w:val="16"/>
        </w:rPr>
        <w:t xml:space="preserve">ey </w:t>
      </w:r>
      <w:r>
        <w:rPr>
          <w:i/>
          <w:sz w:val="16"/>
          <w:szCs w:val="16"/>
        </w:rPr>
        <w:t>c</w:t>
      </w:r>
      <w:r w:rsidRPr="00A14816">
        <w:rPr>
          <w:i/>
          <w:sz w:val="16"/>
          <w:szCs w:val="16"/>
        </w:rPr>
        <w:t xml:space="preserve">ompetencies </w:t>
      </w:r>
      <w:r w:rsidRPr="00A14816">
        <w:rPr>
          <w:sz w:val="16"/>
          <w:szCs w:val="16"/>
        </w:rPr>
        <w:t>(s. 175–189). Seattle: Hogrefe &amp; Huber.</w:t>
      </w:r>
    </w:p>
    <w:p w:rsidR="0015711E" w:rsidRPr="00BA6C80" w:rsidRDefault="0015711E" w:rsidP="00BA6C80">
      <w:pPr>
        <w:ind w:left="426" w:hanging="426"/>
        <w:rPr>
          <w:bCs/>
          <w:iCs/>
          <w:sz w:val="16"/>
          <w:szCs w:val="16"/>
          <w:lang w:val="en-US"/>
        </w:rPr>
      </w:pPr>
      <w:r w:rsidRPr="00BF37DF">
        <w:rPr>
          <w:bCs/>
          <w:iCs/>
          <w:sz w:val="16"/>
          <w:szCs w:val="16"/>
          <w:lang w:val="de-DE"/>
        </w:rPr>
        <w:t>Gordon, E. S., Strykowski, B., Weinstein, T., &amp; Walberg, H. J. (1987).</w:t>
      </w:r>
      <w:r w:rsidRPr="00BF37DF">
        <w:rPr>
          <w:bCs/>
          <w:i/>
          <w:iCs/>
          <w:sz w:val="16"/>
          <w:szCs w:val="16"/>
          <w:lang w:val="de-DE"/>
        </w:rPr>
        <w:t xml:space="preserve"> </w:t>
      </w:r>
      <w:r w:rsidRPr="00BA6C80">
        <w:rPr>
          <w:bCs/>
          <w:iCs/>
          <w:sz w:val="16"/>
          <w:szCs w:val="16"/>
          <w:lang w:val="en-US"/>
        </w:rPr>
        <w:t>The effects of teacher questioning levels on student achievement: A quantitative synthesis.</w:t>
      </w:r>
      <w:r w:rsidRPr="00BA6C80">
        <w:rPr>
          <w:bCs/>
          <w:i/>
          <w:iCs/>
          <w:sz w:val="16"/>
          <w:szCs w:val="16"/>
          <w:lang w:val="en-US"/>
        </w:rPr>
        <w:t xml:space="preserve"> </w:t>
      </w:r>
      <w:r w:rsidRPr="00BA6C80">
        <w:rPr>
          <w:bCs/>
          <w:i/>
          <w:sz w:val="16"/>
          <w:szCs w:val="16"/>
          <w:lang w:val="en-US"/>
        </w:rPr>
        <w:t>The Journal of Educational Research</w:t>
      </w:r>
      <w:r w:rsidRPr="00BA6C80">
        <w:rPr>
          <w:bCs/>
          <w:i/>
          <w:iCs/>
          <w:sz w:val="16"/>
          <w:szCs w:val="16"/>
          <w:lang w:val="en-US"/>
        </w:rPr>
        <w:t>, 80</w:t>
      </w:r>
      <w:r w:rsidRPr="00BA6C80">
        <w:rPr>
          <w:bCs/>
          <w:iCs/>
          <w:sz w:val="16"/>
          <w:szCs w:val="16"/>
          <w:lang w:val="en-US"/>
        </w:rPr>
        <w:t>(5), 290</w:t>
      </w:r>
      <w:r w:rsidRPr="007A49C9">
        <w:rPr>
          <w:sz w:val="16"/>
          <w:szCs w:val="16"/>
        </w:rPr>
        <w:t>–</w:t>
      </w:r>
      <w:r w:rsidRPr="00BA6C80">
        <w:rPr>
          <w:bCs/>
          <w:iCs/>
          <w:sz w:val="16"/>
          <w:szCs w:val="16"/>
          <w:lang w:val="en-US"/>
        </w:rPr>
        <w:t>295.</w:t>
      </w:r>
    </w:p>
    <w:p w:rsidR="0015711E" w:rsidRPr="00A532A1" w:rsidRDefault="0015711E" w:rsidP="00A532A1">
      <w:pPr>
        <w:ind w:left="426" w:hanging="426"/>
        <w:rPr>
          <w:sz w:val="16"/>
          <w:szCs w:val="16"/>
        </w:rPr>
      </w:pPr>
      <w:r w:rsidRPr="00A532A1">
        <w:rPr>
          <w:sz w:val="16"/>
          <w:szCs w:val="16"/>
        </w:rPr>
        <w:t xml:space="preserve">Graves, N. (1997). Textbooks and textbook research in geographical education: Some international views. </w:t>
      </w:r>
      <w:r w:rsidRPr="00402176">
        <w:rPr>
          <w:i/>
          <w:sz w:val="16"/>
          <w:szCs w:val="16"/>
        </w:rPr>
        <w:t>International Research in Geographical and Environmental Education, 6</w:t>
      </w:r>
      <w:r w:rsidRPr="00A532A1">
        <w:rPr>
          <w:sz w:val="16"/>
          <w:szCs w:val="16"/>
        </w:rPr>
        <w:t>(1), 60</w:t>
      </w:r>
      <w:r>
        <w:rPr>
          <w:sz w:val="16"/>
          <w:szCs w:val="16"/>
        </w:rPr>
        <w:t>–</w:t>
      </w:r>
      <w:r w:rsidRPr="00A532A1">
        <w:rPr>
          <w:sz w:val="16"/>
          <w:szCs w:val="16"/>
        </w:rPr>
        <w:t>62.</w:t>
      </w:r>
    </w:p>
    <w:p w:rsidR="0015711E" w:rsidRPr="00A532A1" w:rsidRDefault="0015711E" w:rsidP="00A532A1">
      <w:pPr>
        <w:ind w:left="426" w:hanging="426"/>
        <w:rPr>
          <w:sz w:val="16"/>
          <w:szCs w:val="16"/>
        </w:rPr>
      </w:pPr>
      <w:r w:rsidRPr="00A532A1">
        <w:rPr>
          <w:sz w:val="16"/>
          <w:szCs w:val="16"/>
        </w:rPr>
        <w:t xml:space="preserve">Graves, N., &amp; Murphy, B. (2000). Research into geography textbooks. In A. Kent (Ed.), </w:t>
      </w:r>
      <w:r w:rsidRPr="00402176">
        <w:rPr>
          <w:i/>
          <w:sz w:val="16"/>
          <w:szCs w:val="16"/>
        </w:rPr>
        <w:t>Reflective practice in geography teaching</w:t>
      </w:r>
      <w:r w:rsidRPr="00A532A1">
        <w:rPr>
          <w:sz w:val="16"/>
          <w:szCs w:val="16"/>
        </w:rPr>
        <w:t xml:space="preserve"> (228–237). London: Sage.</w:t>
      </w:r>
    </w:p>
    <w:p w:rsidR="0015711E" w:rsidRPr="006346E5" w:rsidRDefault="0015711E" w:rsidP="006346E5">
      <w:pPr>
        <w:ind w:left="426" w:hanging="426"/>
        <w:rPr>
          <w:sz w:val="16"/>
          <w:szCs w:val="16"/>
        </w:rPr>
      </w:pPr>
      <w:r w:rsidRPr="006346E5">
        <w:rPr>
          <w:sz w:val="16"/>
          <w:szCs w:val="16"/>
        </w:rPr>
        <w:t xml:space="preserve">Greeno, J. G. (1991). A view of mathematical problem solving in school. In M. U. Smith (Ed.). </w:t>
      </w:r>
      <w:r w:rsidRPr="006346E5">
        <w:rPr>
          <w:i/>
          <w:iCs/>
          <w:sz w:val="16"/>
          <w:szCs w:val="16"/>
        </w:rPr>
        <w:t>Toward a unified theory of problem solving. Views from the content domains</w:t>
      </w:r>
      <w:r w:rsidRPr="006346E5">
        <w:rPr>
          <w:sz w:val="16"/>
          <w:szCs w:val="16"/>
        </w:rPr>
        <w:t xml:space="preserve"> (</w:t>
      </w:r>
      <w:r>
        <w:rPr>
          <w:sz w:val="16"/>
          <w:szCs w:val="16"/>
        </w:rPr>
        <w:t xml:space="preserve">s. </w:t>
      </w:r>
      <w:r w:rsidRPr="006346E5">
        <w:rPr>
          <w:sz w:val="16"/>
          <w:szCs w:val="16"/>
        </w:rPr>
        <w:t>69</w:t>
      </w:r>
      <w:r>
        <w:rPr>
          <w:sz w:val="16"/>
          <w:szCs w:val="16"/>
        </w:rPr>
        <w:t>–</w:t>
      </w:r>
      <w:r w:rsidRPr="006346E5">
        <w:rPr>
          <w:sz w:val="16"/>
          <w:szCs w:val="16"/>
        </w:rPr>
        <w:t>98). Hillsdale: Lawrence Erlbaum Associates.</w:t>
      </w:r>
    </w:p>
    <w:p w:rsidR="0015711E" w:rsidRPr="00FB56A8" w:rsidRDefault="0015711E" w:rsidP="00FB56A8">
      <w:pPr>
        <w:ind w:left="426" w:hanging="426"/>
        <w:rPr>
          <w:bCs/>
          <w:iCs/>
          <w:sz w:val="16"/>
          <w:szCs w:val="16"/>
        </w:rPr>
      </w:pPr>
      <w:r w:rsidRPr="00FB56A8">
        <w:rPr>
          <w:bCs/>
          <w:iCs/>
          <w:sz w:val="16"/>
          <w:szCs w:val="16"/>
        </w:rPr>
        <w:t xml:space="preserve">Gregory, D., Johnston, R., Pratt, G., Watts, M., &amp; Whatmore, S. (Eds.). (2009). </w:t>
      </w:r>
      <w:r w:rsidRPr="00FB56A8">
        <w:rPr>
          <w:bCs/>
          <w:i/>
          <w:iCs/>
          <w:sz w:val="16"/>
          <w:szCs w:val="16"/>
        </w:rPr>
        <w:t>The dictionary of human geography</w:t>
      </w:r>
      <w:r w:rsidRPr="00FB56A8">
        <w:rPr>
          <w:bCs/>
          <w:iCs/>
          <w:sz w:val="16"/>
          <w:szCs w:val="16"/>
        </w:rPr>
        <w:t xml:space="preserve">. </w:t>
      </w:r>
      <w:r>
        <w:rPr>
          <w:bCs/>
          <w:iCs/>
          <w:sz w:val="16"/>
          <w:szCs w:val="16"/>
        </w:rPr>
        <w:t xml:space="preserve">Chichester: </w:t>
      </w:r>
      <w:r w:rsidRPr="00FB56A8">
        <w:rPr>
          <w:bCs/>
          <w:iCs/>
          <w:sz w:val="16"/>
          <w:szCs w:val="16"/>
        </w:rPr>
        <w:t>John Wiley &amp; Sons.</w:t>
      </w:r>
    </w:p>
    <w:p w:rsidR="0015711E" w:rsidRPr="006320FD" w:rsidRDefault="0015711E" w:rsidP="006320FD">
      <w:pPr>
        <w:ind w:left="426" w:hanging="426"/>
        <w:rPr>
          <w:bCs/>
          <w:iCs/>
          <w:sz w:val="16"/>
          <w:szCs w:val="16"/>
        </w:rPr>
      </w:pPr>
      <w:r w:rsidRPr="006320FD">
        <w:rPr>
          <w:bCs/>
          <w:iCs/>
          <w:sz w:val="16"/>
          <w:szCs w:val="16"/>
        </w:rPr>
        <w:t xml:space="preserve">Gregory, K. J. (2000). </w:t>
      </w:r>
      <w:r w:rsidRPr="00651015">
        <w:rPr>
          <w:bCs/>
          <w:i/>
          <w:iCs/>
          <w:sz w:val="16"/>
          <w:szCs w:val="16"/>
        </w:rPr>
        <w:t>The changing nature of physical geography.</w:t>
      </w:r>
      <w:r w:rsidRPr="006320FD">
        <w:rPr>
          <w:bCs/>
          <w:iCs/>
          <w:sz w:val="16"/>
          <w:szCs w:val="16"/>
        </w:rPr>
        <w:t xml:space="preserve"> London: Arnold.</w:t>
      </w:r>
    </w:p>
    <w:p w:rsidR="0015711E" w:rsidRPr="00BC6E9A" w:rsidRDefault="0015711E" w:rsidP="00BC6E9A">
      <w:pPr>
        <w:ind w:left="426" w:hanging="426"/>
        <w:rPr>
          <w:bCs/>
          <w:iCs/>
          <w:sz w:val="16"/>
          <w:szCs w:val="16"/>
        </w:rPr>
      </w:pPr>
      <w:r w:rsidRPr="00BC6E9A">
        <w:rPr>
          <w:bCs/>
          <w:iCs/>
          <w:sz w:val="16"/>
          <w:szCs w:val="16"/>
        </w:rPr>
        <w:t>Gregory, S. (1978). The role of physical geography in the curriculum.</w:t>
      </w:r>
      <w:r>
        <w:rPr>
          <w:bCs/>
          <w:iCs/>
          <w:sz w:val="16"/>
          <w:szCs w:val="16"/>
        </w:rPr>
        <w:t xml:space="preserve"> </w:t>
      </w:r>
      <w:r w:rsidRPr="00BC6E9A">
        <w:rPr>
          <w:bCs/>
          <w:i/>
          <w:iCs/>
          <w:sz w:val="16"/>
          <w:szCs w:val="16"/>
        </w:rPr>
        <w:t>Geography</w:t>
      </w:r>
      <w:r w:rsidRPr="00BC6E9A">
        <w:rPr>
          <w:bCs/>
          <w:iCs/>
          <w:sz w:val="16"/>
          <w:szCs w:val="16"/>
        </w:rPr>
        <w:t xml:space="preserve">, </w:t>
      </w:r>
      <w:r w:rsidRPr="00651015">
        <w:rPr>
          <w:bCs/>
          <w:i/>
          <w:iCs/>
          <w:sz w:val="16"/>
          <w:szCs w:val="16"/>
        </w:rPr>
        <w:t>63</w:t>
      </w:r>
      <w:r w:rsidRPr="00BC6E9A">
        <w:rPr>
          <w:bCs/>
          <w:iCs/>
          <w:sz w:val="16"/>
          <w:szCs w:val="16"/>
        </w:rPr>
        <w:t>(4), 251</w:t>
      </w:r>
      <w:r>
        <w:rPr>
          <w:bCs/>
          <w:iCs/>
          <w:sz w:val="16"/>
          <w:szCs w:val="16"/>
        </w:rPr>
        <w:t>–</w:t>
      </w:r>
      <w:r w:rsidRPr="00BC6E9A">
        <w:rPr>
          <w:bCs/>
          <w:iCs/>
          <w:sz w:val="16"/>
          <w:szCs w:val="16"/>
        </w:rPr>
        <w:t>264.</w:t>
      </w:r>
    </w:p>
    <w:p w:rsidR="0015711E" w:rsidRPr="00992F3B" w:rsidRDefault="0015711E" w:rsidP="00992F3B">
      <w:pPr>
        <w:ind w:left="426" w:hanging="426"/>
        <w:rPr>
          <w:sz w:val="16"/>
          <w:szCs w:val="16"/>
        </w:rPr>
      </w:pPr>
      <w:r w:rsidRPr="00992F3B">
        <w:rPr>
          <w:sz w:val="16"/>
          <w:szCs w:val="16"/>
        </w:rPr>
        <w:t xml:space="preserve">Greiff, S. (2012). </w:t>
      </w:r>
      <w:r w:rsidRPr="00992F3B">
        <w:rPr>
          <w:i/>
          <w:sz w:val="16"/>
          <w:szCs w:val="16"/>
        </w:rPr>
        <w:t>Individualdiagnostik komplexer Problemlösefähigkeit.</w:t>
      </w:r>
      <w:r w:rsidRPr="00992F3B">
        <w:rPr>
          <w:sz w:val="16"/>
          <w:szCs w:val="16"/>
        </w:rPr>
        <w:t xml:space="preserve"> Münster: Waxmann.</w:t>
      </w:r>
    </w:p>
    <w:p w:rsidR="0015711E" w:rsidRPr="007C0E29" w:rsidRDefault="0015711E" w:rsidP="007C0E29">
      <w:pPr>
        <w:ind w:left="426" w:hanging="426"/>
        <w:rPr>
          <w:bCs/>
          <w:sz w:val="16"/>
          <w:szCs w:val="16"/>
        </w:rPr>
      </w:pPr>
      <w:r w:rsidRPr="007C0E29">
        <w:rPr>
          <w:bCs/>
          <w:sz w:val="16"/>
          <w:szCs w:val="16"/>
        </w:rPr>
        <w:t xml:space="preserve">Grob, U., &amp; Maag Merki, K. (2001). </w:t>
      </w:r>
      <w:r w:rsidRPr="007C0E29">
        <w:rPr>
          <w:bCs/>
          <w:i/>
          <w:sz w:val="16"/>
          <w:szCs w:val="16"/>
        </w:rPr>
        <w:t>Überfachliche Kompetenzen. Theoretische Grundlegung und empirische Erprobung eines Indikatorensystems.</w:t>
      </w:r>
      <w:r w:rsidRPr="007C0E29">
        <w:rPr>
          <w:bCs/>
          <w:sz w:val="16"/>
          <w:szCs w:val="16"/>
        </w:rPr>
        <w:t xml:space="preserve"> Frankfurt: Peter Lang.</w:t>
      </w:r>
    </w:p>
    <w:p w:rsidR="0015711E" w:rsidRPr="005E1DC2" w:rsidRDefault="0015711E" w:rsidP="005E1DC2">
      <w:pPr>
        <w:ind w:left="426" w:hanging="426"/>
        <w:rPr>
          <w:sz w:val="16"/>
          <w:szCs w:val="16"/>
        </w:rPr>
      </w:pPr>
      <w:r w:rsidRPr="005E1DC2">
        <w:rPr>
          <w:sz w:val="16"/>
          <w:szCs w:val="16"/>
        </w:rPr>
        <w:t>Gryl, I., &amp; Kanwischer, D. (2011).</w:t>
      </w:r>
      <w:r w:rsidRPr="005E1DC2">
        <w:rPr>
          <w:i/>
          <w:sz w:val="16"/>
          <w:szCs w:val="16"/>
        </w:rPr>
        <w:t xml:space="preserve"> </w:t>
      </w:r>
      <w:r w:rsidRPr="006723EE">
        <w:rPr>
          <w:sz w:val="16"/>
          <w:szCs w:val="16"/>
        </w:rPr>
        <w:t xml:space="preserve">Geomedien und Kompetenzentwicklung. </w:t>
      </w:r>
      <w:r w:rsidRPr="006723EE">
        <w:rPr>
          <w:iCs/>
          <w:sz w:val="16"/>
          <w:szCs w:val="16"/>
        </w:rPr>
        <w:t>Ein Modell zur reflexiven Kartenarbeit</w:t>
      </w:r>
      <w:r w:rsidRPr="006723EE">
        <w:rPr>
          <w:sz w:val="16"/>
          <w:szCs w:val="16"/>
        </w:rPr>
        <w:t>.</w:t>
      </w:r>
      <w:r w:rsidRPr="005E1DC2">
        <w:rPr>
          <w:sz w:val="16"/>
          <w:szCs w:val="16"/>
        </w:rPr>
        <w:t xml:space="preserve"> </w:t>
      </w:r>
      <w:r w:rsidRPr="006723EE">
        <w:rPr>
          <w:i/>
          <w:sz w:val="16"/>
          <w:szCs w:val="16"/>
        </w:rPr>
        <w:t xml:space="preserve">Zeitschrift für Didaktik der Naturwissenschaften, </w:t>
      </w:r>
      <w:r w:rsidRPr="00114602">
        <w:rPr>
          <w:i/>
          <w:sz w:val="16"/>
          <w:szCs w:val="16"/>
          <w:highlight w:val="green"/>
        </w:rPr>
        <w:t>17</w:t>
      </w:r>
      <w:r w:rsidRPr="00114602">
        <w:rPr>
          <w:sz w:val="16"/>
          <w:szCs w:val="16"/>
          <w:highlight w:val="green"/>
        </w:rPr>
        <w:t>,</w:t>
      </w:r>
      <w:r w:rsidRPr="005E1DC2">
        <w:rPr>
          <w:sz w:val="16"/>
          <w:szCs w:val="16"/>
        </w:rPr>
        <w:t xml:space="preserve"> 177</w:t>
      </w:r>
      <w:r>
        <w:rPr>
          <w:sz w:val="16"/>
          <w:szCs w:val="16"/>
        </w:rPr>
        <w:t>–</w:t>
      </w:r>
      <w:r w:rsidRPr="005E1DC2">
        <w:rPr>
          <w:sz w:val="16"/>
          <w:szCs w:val="16"/>
        </w:rPr>
        <w:t>202.</w:t>
      </w:r>
    </w:p>
    <w:p w:rsidR="0015711E" w:rsidRDefault="0015711E" w:rsidP="00B67F9E">
      <w:pPr>
        <w:ind w:left="426" w:hanging="426"/>
        <w:rPr>
          <w:sz w:val="16"/>
          <w:szCs w:val="16"/>
        </w:rPr>
      </w:pPr>
      <w:r w:rsidRPr="00155DB5">
        <w:rPr>
          <w:sz w:val="16"/>
          <w:szCs w:val="16"/>
        </w:rPr>
        <w:t xml:space="preserve">Gunzelmann, G., &amp; Lyon, D. R. (2011). Representations and processes of human spatial competence. </w:t>
      </w:r>
      <w:r w:rsidRPr="00155DB5">
        <w:rPr>
          <w:i/>
          <w:iCs/>
          <w:sz w:val="16"/>
          <w:szCs w:val="16"/>
        </w:rPr>
        <w:t>Topics in Cognitive Science, 3</w:t>
      </w:r>
      <w:r w:rsidRPr="00155DB5">
        <w:rPr>
          <w:sz w:val="16"/>
          <w:szCs w:val="16"/>
        </w:rPr>
        <w:t>(4), 741</w:t>
      </w:r>
      <w:r>
        <w:rPr>
          <w:sz w:val="16"/>
          <w:szCs w:val="16"/>
        </w:rPr>
        <w:t>–</w:t>
      </w:r>
      <w:r w:rsidRPr="00155DB5">
        <w:rPr>
          <w:sz w:val="16"/>
          <w:szCs w:val="16"/>
        </w:rPr>
        <w:t xml:space="preserve">759. </w:t>
      </w:r>
    </w:p>
    <w:p w:rsidR="0015711E" w:rsidRPr="00812D01" w:rsidRDefault="0015711E" w:rsidP="00812D01">
      <w:pPr>
        <w:ind w:left="426" w:hanging="426"/>
        <w:rPr>
          <w:bCs/>
          <w:iCs/>
          <w:sz w:val="16"/>
          <w:szCs w:val="16"/>
        </w:rPr>
      </w:pPr>
      <w:r w:rsidRPr="00812D01">
        <w:rPr>
          <w:bCs/>
          <w:iCs/>
          <w:sz w:val="16"/>
          <w:szCs w:val="16"/>
        </w:rPr>
        <w:t xml:space="preserve">Gwet, K. H. (2008). Intrarater reliability. </w:t>
      </w:r>
      <w:r w:rsidRPr="00812D01">
        <w:rPr>
          <w:bCs/>
          <w:i/>
          <w:iCs/>
          <w:sz w:val="16"/>
          <w:szCs w:val="16"/>
        </w:rPr>
        <w:t>Wiley encyclopedia of clinical trials</w:t>
      </w:r>
      <w:r w:rsidRPr="00812D01">
        <w:rPr>
          <w:bCs/>
          <w:iCs/>
          <w:sz w:val="16"/>
          <w:szCs w:val="16"/>
        </w:rPr>
        <w:t>. Dostupné z http://www.agreestat.com/research_papers/wiley_encyclopedia2008_eoct631.pdf</w:t>
      </w:r>
    </w:p>
    <w:p w:rsidR="0015711E" w:rsidRDefault="0015711E" w:rsidP="00710DB7">
      <w:pPr>
        <w:ind w:left="426" w:hanging="426"/>
        <w:rPr>
          <w:bCs/>
          <w:sz w:val="16"/>
          <w:szCs w:val="16"/>
        </w:rPr>
      </w:pPr>
      <w:r>
        <w:rPr>
          <w:bCs/>
          <w:iCs/>
          <w:sz w:val="16"/>
          <w:szCs w:val="16"/>
        </w:rPr>
        <w:t>Haggett</w:t>
      </w:r>
      <w:r w:rsidR="00E56967">
        <w:rPr>
          <w:bCs/>
          <w:iCs/>
          <w:sz w:val="16"/>
          <w:szCs w:val="16"/>
        </w:rPr>
        <w:t>, P.</w:t>
      </w:r>
      <w:r>
        <w:rPr>
          <w:bCs/>
          <w:iCs/>
          <w:sz w:val="16"/>
          <w:szCs w:val="16"/>
        </w:rPr>
        <w:t xml:space="preserve"> (1972/1979). </w:t>
      </w:r>
      <w:r>
        <w:rPr>
          <w:bCs/>
          <w:i/>
          <w:iCs/>
          <w:sz w:val="16"/>
          <w:szCs w:val="16"/>
        </w:rPr>
        <w:t xml:space="preserve">Geography: A </w:t>
      </w:r>
      <w:r w:rsidRPr="005A5117">
        <w:rPr>
          <w:bCs/>
          <w:i/>
          <w:iCs/>
          <w:sz w:val="16"/>
          <w:szCs w:val="16"/>
        </w:rPr>
        <w:t>modern synthesis</w:t>
      </w:r>
      <w:r w:rsidRPr="005A5117">
        <w:rPr>
          <w:bCs/>
          <w:sz w:val="16"/>
          <w:szCs w:val="16"/>
        </w:rPr>
        <w:t>.</w:t>
      </w:r>
      <w:r>
        <w:rPr>
          <w:bCs/>
          <w:sz w:val="16"/>
          <w:szCs w:val="16"/>
        </w:rPr>
        <w:t xml:space="preserve"> New York: Harper &amp; Row.</w:t>
      </w:r>
    </w:p>
    <w:p w:rsidR="0015711E" w:rsidRPr="00045EE9" w:rsidRDefault="0015711E" w:rsidP="00045EE9">
      <w:pPr>
        <w:ind w:left="426" w:hanging="426"/>
        <w:rPr>
          <w:bCs/>
          <w:iCs/>
          <w:sz w:val="16"/>
          <w:szCs w:val="16"/>
        </w:rPr>
      </w:pPr>
      <w:r w:rsidRPr="00045EE9">
        <w:rPr>
          <w:bCs/>
          <w:iCs/>
          <w:sz w:val="16"/>
          <w:szCs w:val="16"/>
        </w:rPr>
        <w:t xml:space="preserve">Haggett, P. (2001). </w:t>
      </w:r>
      <w:r w:rsidRPr="00045EE9">
        <w:rPr>
          <w:bCs/>
          <w:i/>
          <w:iCs/>
          <w:sz w:val="16"/>
          <w:szCs w:val="16"/>
        </w:rPr>
        <w:t>Geography: A global synthesis</w:t>
      </w:r>
      <w:r w:rsidRPr="00045EE9">
        <w:rPr>
          <w:bCs/>
          <w:iCs/>
          <w:sz w:val="16"/>
          <w:szCs w:val="16"/>
        </w:rPr>
        <w:t>. Harlow: Prentice Hall.</w:t>
      </w:r>
    </w:p>
    <w:p w:rsidR="0015711E" w:rsidRPr="004C410F" w:rsidRDefault="0015711E" w:rsidP="004C410F">
      <w:pPr>
        <w:ind w:left="426" w:hanging="426"/>
        <w:rPr>
          <w:rStyle w:val="reference-text"/>
          <w:sz w:val="16"/>
          <w:szCs w:val="16"/>
          <w:lang w:val="en-US"/>
        </w:rPr>
      </w:pPr>
      <w:r w:rsidRPr="004C410F">
        <w:rPr>
          <w:sz w:val="16"/>
          <w:szCs w:val="16"/>
          <w:lang w:val="en-US"/>
        </w:rPr>
        <w:t xml:space="preserve">Hammersley, M. (Ed.). (2007). </w:t>
      </w:r>
      <w:r w:rsidRPr="004C410F">
        <w:rPr>
          <w:i/>
          <w:sz w:val="16"/>
          <w:szCs w:val="16"/>
          <w:lang w:val="en-US"/>
        </w:rPr>
        <w:t>Educational research and evidence-based practice.</w:t>
      </w:r>
      <w:r w:rsidRPr="004C410F">
        <w:rPr>
          <w:sz w:val="16"/>
          <w:szCs w:val="16"/>
          <w:lang w:val="en-US"/>
        </w:rPr>
        <w:t xml:space="preserve"> Los Angeles: Sage.</w:t>
      </w:r>
    </w:p>
    <w:p w:rsidR="0015711E" w:rsidRPr="001D60CE" w:rsidRDefault="0015711E" w:rsidP="001D60CE">
      <w:pPr>
        <w:ind w:left="426" w:hanging="426"/>
        <w:rPr>
          <w:bCs/>
          <w:sz w:val="16"/>
          <w:szCs w:val="16"/>
        </w:rPr>
      </w:pPr>
      <w:r w:rsidRPr="001D60CE">
        <w:rPr>
          <w:bCs/>
          <w:sz w:val="16"/>
          <w:szCs w:val="16"/>
        </w:rPr>
        <w:t xml:space="preserve">Hanus, M., &amp; Marada, M. (2013). Mapové dovednosti v českých a zahraničních kurikulárních dokumentech: srovnávací studie. </w:t>
      </w:r>
      <w:r w:rsidRPr="001D60CE">
        <w:rPr>
          <w:bCs/>
          <w:i/>
          <w:sz w:val="16"/>
          <w:szCs w:val="16"/>
        </w:rPr>
        <w:t>Geografie, 118</w:t>
      </w:r>
      <w:r>
        <w:rPr>
          <w:bCs/>
          <w:sz w:val="16"/>
          <w:szCs w:val="16"/>
        </w:rPr>
        <w:t>(2)</w:t>
      </w:r>
      <w:r w:rsidRPr="001D60CE">
        <w:rPr>
          <w:bCs/>
          <w:sz w:val="16"/>
          <w:szCs w:val="16"/>
        </w:rPr>
        <w:t>, 158</w:t>
      </w:r>
      <w:r>
        <w:rPr>
          <w:bCs/>
          <w:sz w:val="16"/>
          <w:szCs w:val="16"/>
        </w:rPr>
        <w:t>–</w:t>
      </w:r>
      <w:r w:rsidRPr="001D60CE">
        <w:rPr>
          <w:bCs/>
          <w:sz w:val="16"/>
          <w:szCs w:val="16"/>
        </w:rPr>
        <w:t>178.</w:t>
      </w:r>
    </w:p>
    <w:p w:rsidR="0015711E" w:rsidRPr="0096491F" w:rsidRDefault="0015711E" w:rsidP="00BF123C">
      <w:pPr>
        <w:ind w:left="426" w:hanging="426"/>
        <w:rPr>
          <w:bCs/>
          <w:sz w:val="16"/>
          <w:szCs w:val="16"/>
          <w:lang w:val="en-US"/>
        </w:rPr>
      </w:pPr>
      <w:r w:rsidRPr="00BF123C">
        <w:rPr>
          <w:bCs/>
          <w:sz w:val="16"/>
          <w:szCs w:val="16"/>
          <w:lang w:val="de-DE"/>
        </w:rPr>
        <w:t xml:space="preserve">Hartig, J., &amp; Klieme, E. (Eds.). (2006). </w:t>
      </w:r>
      <w:r w:rsidRPr="00BF123C">
        <w:rPr>
          <w:bCs/>
          <w:i/>
          <w:iCs/>
          <w:sz w:val="16"/>
          <w:szCs w:val="16"/>
          <w:lang w:val="de-DE"/>
        </w:rPr>
        <w:t xml:space="preserve">Möglichkeiten und Voraussetzungen technologiebasierter Kompetenzdiagnostik. </w:t>
      </w:r>
      <w:r w:rsidRPr="0096491F">
        <w:rPr>
          <w:bCs/>
          <w:sz w:val="16"/>
          <w:szCs w:val="16"/>
          <w:lang w:val="en-US"/>
        </w:rPr>
        <w:t>Berlin: Springer.</w:t>
      </w:r>
    </w:p>
    <w:p w:rsidR="0015711E" w:rsidRPr="00BF123C" w:rsidRDefault="0015711E" w:rsidP="00BF123C">
      <w:pPr>
        <w:ind w:left="426" w:hanging="426"/>
        <w:rPr>
          <w:bCs/>
          <w:sz w:val="16"/>
          <w:szCs w:val="16"/>
          <w:lang w:val="en-GB"/>
        </w:rPr>
      </w:pPr>
      <w:r w:rsidRPr="00BF37DF">
        <w:rPr>
          <w:bCs/>
          <w:sz w:val="16"/>
          <w:szCs w:val="16"/>
          <w:lang w:val="de-DE"/>
        </w:rPr>
        <w:t xml:space="preserve">Hartig, J., Klieme, E., &amp; Leutner, D. (Eds.). </w:t>
      </w:r>
      <w:r w:rsidRPr="0096491F">
        <w:rPr>
          <w:bCs/>
          <w:sz w:val="16"/>
          <w:szCs w:val="16"/>
          <w:lang w:val="en-US"/>
        </w:rPr>
        <w:t xml:space="preserve">(2008). </w:t>
      </w:r>
      <w:r w:rsidRPr="00BF123C">
        <w:rPr>
          <w:bCs/>
          <w:i/>
          <w:iCs/>
          <w:sz w:val="16"/>
          <w:szCs w:val="16"/>
          <w:lang w:val="en-GB"/>
        </w:rPr>
        <w:t xml:space="preserve">Assessment of competencies in educational contexts. </w:t>
      </w:r>
      <w:r w:rsidRPr="00BF123C">
        <w:rPr>
          <w:bCs/>
          <w:sz w:val="16"/>
          <w:szCs w:val="16"/>
          <w:lang w:val="en-GB"/>
        </w:rPr>
        <w:t>Göttingen: Hogrefe.</w:t>
      </w:r>
    </w:p>
    <w:p w:rsidR="0015711E" w:rsidRPr="007C0E29" w:rsidRDefault="0015711E" w:rsidP="007C0E29">
      <w:pPr>
        <w:ind w:left="426" w:hanging="426"/>
        <w:rPr>
          <w:i/>
          <w:sz w:val="16"/>
          <w:szCs w:val="16"/>
        </w:rPr>
      </w:pPr>
      <w:r w:rsidRPr="007C0E29">
        <w:rPr>
          <w:sz w:val="16"/>
          <w:szCs w:val="16"/>
        </w:rPr>
        <w:t xml:space="preserve">Hattie, J. A. C. (2009). </w:t>
      </w:r>
      <w:r w:rsidRPr="007C0E29">
        <w:rPr>
          <w:i/>
          <w:sz w:val="16"/>
          <w:szCs w:val="16"/>
        </w:rPr>
        <w:t>Visible learning: A synthesis of over 800 meta-analyses relating to achievement.</w:t>
      </w:r>
      <w:r w:rsidRPr="007C0E29">
        <w:rPr>
          <w:sz w:val="16"/>
          <w:szCs w:val="16"/>
        </w:rPr>
        <w:t xml:space="preserve"> London: Routledge.</w:t>
      </w:r>
    </w:p>
    <w:p w:rsidR="0015711E" w:rsidRPr="00CF0784" w:rsidRDefault="0015711E" w:rsidP="00CF0784">
      <w:pPr>
        <w:ind w:left="426" w:hanging="426"/>
        <w:rPr>
          <w:sz w:val="16"/>
          <w:szCs w:val="16"/>
        </w:rPr>
      </w:pPr>
      <w:r w:rsidRPr="00CF0784">
        <w:rPr>
          <w:sz w:val="16"/>
          <w:szCs w:val="16"/>
        </w:rPr>
        <w:t xml:space="preserve">Haubrich, H. (Ed.). (1994). </w:t>
      </w:r>
      <w:r w:rsidRPr="00CF0784">
        <w:rPr>
          <w:i/>
          <w:iCs/>
          <w:sz w:val="16"/>
          <w:szCs w:val="16"/>
        </w:rPr>
        <w:t xml:space="preserve">International Charter on Geographical Education. </w:t>
      </w:r>
      <w:r w:rsidRPr="00CF0784">
        <w:rPr>
          <w:iCs/>
          <w:sz w:val="16"/>
          <w:szCs w:val="16"/>
        </w:rPr>
        <w:t xml:space="preserve">Freiburg: </w:t>
      </w:r>
      <w:r w:rsidRPr="00CF0784">
        <w:rPr>
          <w:sz w:val="16"/>
          <w:szCs w:val="16"/>
        </w:rPr>
        <w:t xml:space="preserve">CGU IGU. </w:t>
      </w:r>
    </w:p>
    <w:p w:rsidR="0015711E" w:rsidRPr="007C0E29" w:rsidRDefault="0015711E" w:rsidP="007C0E29">
      <w:pPr>
        <w:ind w:left="426" w:hanging="426"/>
        <w:rPr>
          <w:bCs/>
          <w:sz w:val="16"/>
          <w:szCs w:val="16"/>
        </w:rPr>
      </w:pPr>
      <w:r w:rsidRPr="007C0E29">
        <w:rPr>
          <w:bCs/>
          <w:sz w:val="16"/>
          <w:szCs w:val="16"/>
        </w:rPr>
        <w:t xml:space="preserve">Haubrich, H., Reinfried, S., &amp; Schleicher, Y. (2007). Lucerne Declaration on Geographical Education for </w:t>
      </w:r>
      <w:r>
        <w:rPr>
          <w:bCs/>
          <w:sz w:val="16"/>
          <w:szCs w:val="16"/>
        </w:rPr>
        <w:t>S</w:t>
      </w:r>
      <w:r w:rsidRPr="007C0E29">
        <w:rPr>
          <w:bCs/>
          <w:sz w:val="16"/>
          <w:szCs w:val="16"/>
        </w:rPr>
        <w:t xml:space="preserve">ustainable </w:t>
      </w:r>
      <w:r>
        <w:rPr>
          <w:bCs/>
          <w:sz w:val="16"/>
          <w:szCs w:val="16"/>
        </w:rPr>
        <w:t>D</w:t>
      </w:r>
      <w:r w:rsidRPr="007C0E29">
        <w:rPr>
          <w:bCs/>
          <w:sz w:val="16"/>
          <w:szCs w:val="16"/>
        </w:rPr>
        <w:t xml:space="preserve">evelopment. In S. Reinfried, Y. Schleicher, &amp; A. Rempfler (Eds.), </w:t>
      </w:r>
      <w:r w:rsidRPr="007C0E29">
        <w:rPr>
          <w:bCs/>
          <w:i/>
          <w:sz w:val="16"/>
          <w:szCs w:val="16"/>
        </w:rPr>
        <w:t>Geographical views on education for sustainable development</w:t>
      </w:r>
      <w:r w:rsidRPr="007C0E29">
        <w:rPr>
          <w:bCs/>
          <w:sz w:val="16"/>
          <w:szCs w:val="16"/>
        </w:rPr>
        <w:t xml:space="preserve"> (s. 243–250). Weingarten: HGD.</w:t>
      </w:r>
    </w:p>
    <w:p w:rsidR="0015711E" w:rsidRPr="007C0E29" w:rsidRDefault="0015711E" w:rsidP="007C0E29">
      <w:pPr>
        <w:ind w:left="426" w:hanging="426"/>
        <w:rPr>
          <w:bCs/>
          <w:sz w:val="16"/>
          <w:szCs w:val="16"/>
        </w:rPr>
      </w:pPr>
      <w:r w:rsidRPr="007C0E29">
        <w:rPr>
          <w:bCs/>
          <w:sz w:val="16"/>
          <w:szCs w:val="16"/>
        </w:rPr>
        <w:t xml:space="preserve">Heffron, S. G. (2012). GFL2! The Updated Geography for Life: National Geography Standards. </w:t>
      </w:r>
      <w:r w:rsidRPr="007C0E29">
        <w:rPr>
          <w:bCs/>
          <w:i/>
          <w:iCs/>
          <w:sz w:val="16"/>
          <w:szCs w:val="16"/>
        </w:rPr>
        <w:t>The Geography Teacher</w:t>
      </w:r>
      <w:r w:rsidRPr="007C0E29">
        <w:rPr>
          <w:bCs/>
          <w:sz w:val="16"/>
          <w:szCs w:val="16"/>
        </w:rPr>
        <w:t xml:space="preserve">, </w:t>
      </w:r>
      <w:r w:rsidRPr="007C0E29">
        <w:rPr>
          <w:bCs/>
          <w:i/>
          <w:iCs/>
          <w:sz w:val="16"/>
          <w:szCs w:val="16"/>
        </w:rPr>
        <w:t>9</w:t>
      </w:r>
      <w:r w:rsidRPr="007C0E29">
        <w:rPr>
          <w:bCs/>
          <w:sz w:val="16"/>
          <w:szCs w:val="16"/>
        </w:rPr>
        <w:t>(2), 43–48.</w:t>
      </w:r>
    </w:p>
    <w:p w:rsidR="0015711E" w:rsidRPr="007C0E29" w:rsidRDefault="0015711E" w:rsidP="007C0E29">
      <w:pPr>
        <w:ind w:left="426" w:hanging="426"/>
        <w:rPr>
          <w:bCs/>
          <w:sz w:val="16"/>
          <w:szCs w:val="16"/>
        </w:rPr>
      </w:pPr>
      <w:r w:rsidRPr="007C0E29">
        <w:rPr>
          <w:bCs/>
          <w:sz w:val="16"/>
          <w:szCs w:val="16"/>
        </w:rPr>
        <w:t xml:space="preserve">Heffron, S. G., &amp; Downs, R. M. </w:t>
      </w:r>
      <w:r w:rsidR="00BB3E80">
        <w:rPr>
          <w:bCs/>
          <w:sz w:val="16"/>
          <w:szCs w:val="16"/>
        </w:rPr>
        <w:t xml:space="preserve">(Eds.). </w:t>
      </w:r>
      <w:r w:rsidRPr="007C0E29">
        <w:rPr>
          <w:bCs/>
          <w:sz w:val="16"/>
          <w:szCs w:val="16"/>
        </w:rPr>
        <w:t xml:space="preserve">(2012). </w:t>
      </w:r>
      <w:r w:rsidRPr="007C0E29">
        <w:rPr>
          <w:bCs/>
          <w:i/>
          <w:sz w:val="16"/>
          <w:szCs w:val="16"/>
        </w:rPr>
        <w:t xml:space="preserve">Geography for </w:t>
      </w:r>
      <w:r>
        <w:rPr>
          <w:bCs/>
          <w:i/>
          <w:sz w:val="16"/>
          <w:szCs w:val="16"/>
        </w:rPr>
        <w:t>L</w:t>
      </w:r>
      <w:r w:rsidRPr="007C0E29">
        <w:rPr>
          <w:bCs/>
          <w:i/>
          <w:sz w:val="16"/>
          <w:szCs w:val="16"/>
        </w:rPr>
        <w:t>ife: National Geography Standards, second edition</w:t>
      </w:r>
      <w:r w:rsidRPr="007C0E29">
        <w:rPr>
          <w:bCs/>
          <w:sz w:val="16"/>
          <w:szCs w:val="16"/>
        </w:rPr>
        <w:t>. Washington: National Council for Geographic Education.</w:t>
      </w:r>
    </w:p>
    <w:p w:rsidR="0015711E" w:rsidRPr="001D60CE" w:rsidRDefault="0015711E" w:rsidP="001D60CE">
      <w:pPr>
        <w:ind w:left="426" w:hanging="426"/>
        <w:rPr>
          <w:bCs/>
          <w:sz w:val="16"/>
          <w:szCs w:val="16"/>
        </w:rPr>
      </w:pPr>
      <w:r w:rsidRPr="001D60CE">
        <w:rPr>
          <w:bCs/>
          <w:sz w:val="16"/>
          <w:szCs w:val="16"/>
        </w:rPr>
        <w:t xml:space="preserve">Hejný, M., &amp; Kuřina, F. (2001). </w:t>
      </w:r>
      <w:r w:rsidRPr="001D60CE">
        <w:rPr>
          <w:bCs/>
          <w:i/>
          <w:sz w:val="16"/>
          <w:szCs w:val="16"/>
        </w:rPr>
        <w:t>Dítě, škola a matematika.</w:t>
      </w:r>
      <w:r w:rsidRPr="001D60CE">
        <w:rPr>
          <w:bCs/>
          <w:sz w:val="16"/>
          <w:szCs w:val="16"/>
        </w:rPr>
        <w:t xml:space="preserve"> </w:t>
      </w:r>
      <w:r w:rsidRPr="001D60CE">
        <w:rPr>
          <w:bCs/>
          <w:iCs/>
          <w:sz w:val="16"/>
          <w:szCs w:val="16"/>
        </w:rPr>
        <w:t>Praha: Portál.</w:t>
      </w:r>
    </w:p>
    <w:p w:rsidR="0015711E" w:rsidRPr="007C0E29" w:rsidRDefault="0015711E" w:rsidP="007C0E29">
      <w:pPr>
        <w:ind w:left="426" w:hanging="426"/>
        <w:rPr>
          <w:bCs/>
          <w:sz w:val="16"/>
          <w:szCs w:val="16"/>
        </w:rPr>
      </w:pPr>
      <w:r w:rsidRPr="007C0E29">
        <w:rPr>
          <w:bCs/>
          <w:sz w:val="16"/>
          <w:szCs w:val="16"/>
        </w:rPr>
        <w:t xml:space="preserve">Helm, F., Pohlmann, B., Heckt, M., Gienke, F., May, P., &amp; Möller, J. (2012). Entwicklung eines Fragebogens zur Einschätzung überfachlicher Schülerkompetenzen. </w:t>
      </w:r>
      <w:r w:rsidRPr="007C0E29">
        <w:rPr>
          <w:bCs/>
          <w:i/>
          <w:sz w:val="16"/>
          <w:szCs w:val="16"/>
        </w:rPr>
        <w:t>Unterrichtswissenschaft, 40</w:t>
      </w:r>
      <w:r w:rsidRPr="007C0E29">
        <w:rPr>
          <w:bCs/>
          <w:sz w:val="16"/>
          <w:szCs w:val="16"/>
        </w:rPr>
        <w:t xml:space="preserve">(3), 235–258. </w:t>
      </w:r>
    </w:p>
    <w:p w:rsidR="0015711E" w:rsidRPr="00523E0F" w:rsidRDefault="0015711E" w:rsidP="00523E0F">
      <w:pPr>
        <w:ind w:left="426" w:hanging="426"/>
        <w:rPr>
          <w:sz w:val="16"/>
          <w:szCs w:val="16"/>
        </w:rPr>
      </w:pPr>
      <w:r w:rsidRPr="00523E0F">
        <w:rPr>
          <w:sz w:val="16"/>
          <w:szCs w:val="16"/>
        </w:rPr>
        <w:t xml:space="preserve">Helmke, A. (2007). </w:t>
      </w:r>
      <w:r w:rsidRPr="00523E0F">
        <w:rPr>
          <w:i/>
          <w:sz w:val="16"/>
          <w:szCs w:val="16"/>
        </w:rPr>
        <w:t>Unterrichtsqualität erfassen, bewerten, verbessern</w:t>
      </w:r>
      <w:r w:rsidRPr="00523E0F">
        <w:rPr>
          <w:sz w:val="16"/>
          <w:szCs w:val="16"/>
        </w:rPr>
        <w:t>. Seelze: Kallmeyer.</w:t>
      </w:r>
    </w:p>
    <w:p w:rsidR="0015711E" w:rsidRDefault="0015711E" w:rsidP="00523E0F">
      <w:pPr>
        <w:ind w:left="426" w:hanging="426"/>
        <w:rPr>
          <w:sz w:val="16"/>
          <w:szCs w:val="16"/>
        </w:rPr>
      </w:pPr>
      <w:r w:rsidRPr="00523E0F">
        <w:rPr>
          <w:sz w:val="16"/>
          <w:szCs w:val="16"/>
        </w:rPr>
        <w:t xml:space="preserve">Helmke, A. (2009). </w:t>
      </w:r>
      <w:r w:rsidRPr="00523E0F">
        <w:rPr>
          <w:i/>
          <w:sz w:val="16"/>
          <w:szCs w:val="16"/>
        </w:rPr>
        <w:t>Unterrichtsqualität und Lehrerprofessionalisierung. Diagnose, Evaluation und Verbesserung des Unterrichts.</w:t>
      </w:r>
      <w:r w:rsidRPr="00523E0F">
        <w:rPr>
          <w:sz w:val="16"/>
          <w:szCs w:val="16"/>
        </w:rPr>
        <w:t xml:space="preserve"> Seelze: Klett Verlag.</w:t>
      </w:r>
    </w:p>
    <w:p w:rsidR="0015711E" w:rsidRPr="00FB7088" w:rsidRDefault="0015711E" w:rsidP="00FB7088">
      <w:pPr>
        <w:ind w:left="426" w:hanging="426"/>
        <w:rPr>
          <w:bCs/>
          <w:sz w:val="16"/>
          <w:szCs w:val="16"/>
        </w:rPr>
      </w:pPr>
      <w:r w:rsidRPr="00FB7088">
        <w:rPr>
          <w:bCs/>
          <w:sz w:val="16"/>
          <w:szCs w:val="16"/>
        </w:rPr>
        <w:t xml:space="preserve">Helus, Z. (2009). Čím je, může být a mělo by být vzdělávání. In T. Janík, &amp; V. Švec (Eds.), </w:t>
      </w:r>
      <w:r w:rsidRPr="00FB7088">
        <w:rPr>
          <w:bCs/>
          <w:i/>
          <w:sz w:val="16"/>
          <w:szCs w:val="16"/>
        </w:rPr>
        <w:t xml:space="preserve">K perspektivám školního vzdělávání </w:t>
      </w:r>
      <w:r w:rsidRPr="00FB7088">
        <w:rPr>
          <w:bCs/>
          <w:sz w:val="16"/>
          <w:szCs w:val="16"/>
        </w:rPr>
        <w:t>(s. 29–34).</w:t>
      </w:r>
      <w:r w:rsidRPr="00FB7088">
        <w:rPr>
          <w:bCs/>
          <w:i/>
          <w:sz w:val="16"/>
          <w:szCs w:val="16"/>
        </w:rPr>
        <w:t xml:space="preserve"> </w:t>
      </w:r>
      <w:r w:rsidRPr="00FB7088">
        <w:rPr>
          <w:bCs/>
          <w:sz w:val="16"/>
          <w:szCs w:val="16"/>
        </w:rPr>
        <w:t>Brno: Paido.</w:t>
      </w:r>
    </w:p>
    <w:p w:rsidR="0015711E" w:rsidRPr="007C0E29" w:rsidRDefault="0015711E" w:rsidP="007C0E29">
      <w:pPr>
        <w:ind w:left="426" w:hanging="426"/>
        <w:rPr>
          <w:sz w:val="16"/>
          <w:szCs w:val="16"/>
          <w:lang w:eastAsia="en-US"/>
        </w:rPr>
      </w:pPr>
      <w:r w:rsidRPr="007C0E29">
        <w:rPr>
          <w:sz w:val="16"/>
          <w:szCs w:val="16"/>
          <w:lang w:eastAsia="en-US"/>
        </w:rPr>
        <w:t xml:space="preserve">Herink, J. </w:t>
      </w:r>
      <w:r>
        <w:rPr>
          <w:sz w:val="16"/>
          <w:szCs w:val="16"/>
          <w:lang w:eastAsia="en-US"/>
        </w:rPr>
        <w:t xml:space="preserve">(2009). </w:t>
      </w:r>
      <w:r w:rsidRPr="00B364F4">
        <w:rPr>
          <w:i/>
          <w:sz w:val="16"/>
          <w:szCs w:val="16"/>
          <w:lang w:eastAsia="en-US"/>
        </w:rPr>
        <w:t>Geografie: její postavení a pojetí v národních kurikulech ve světě.</w:t>
      </w:r>
      <w:r w:rsidRPr="007C0E29">
        <w:rPr>
          <w:sz w:val="16"/>
          <w:szCs w:val="16"/>
          <w:lang w:eastAsia="en-US"/>
        </w:rPr>
        <w:t xml:space="preserve"> Dostupné z http://clanky.rvp.cz/clanek/c/Z/2920/geografie-jeji-postaveni-a-pojeti-v-narodnich-kurikulech-ve-svete-shrnuti-zavery-a-doporuceni.html/</w:t>
      </w:r>
    </w:p>
    <w:p w:rsidR="0015711E" w:rsidRPr="00A32765" w:rsidRDefault="0015711E" w:rsidP="00A32765">
      <w:pPr>
        <w:ind w:left="426" w:hanging="426"/>
        <w:rPr>
          <w:sz w:val="16"/>
          <w:szCs w:val="16"/>
        </w:rPr>
      </w:pPr>
      <w:r w:rsidRPr="00A32765">
        <w:rPr>
          <w:sz w:val="16"/>
          <w:szCs w:val="16"/>
        </w:rPr>
        <w:t>Hieber, U. (2011</w:t>
      </w:r>
      <w:r>
        <w:rPr>
          <w:sz w:val="16"/>
          <w:szCs w:val="16"/>
        </w:rPr>
        <w:t>a</w:t>
      </w:r>
      <w:r w:rsidRPr="00A32765">
        <w:rPr>
          <w:sz w:val="16"/>
          <w:szCs w:val="16"/>
        </w:rPr>
        <w:t xml:space="preserve">). Aufgabentypen – die Vielfalt macht's. Abwechslungsreiche Aufgabenstellung im Geographieunterricht. </w:t>
      </w:r>
      <w:r w:rsidRPr="00A32765">
        <w:rPr>
          <w:i/>
          <w:sz w:val="16"/>
          <w:szCs w:val="16"/>
        </w:rPr>
        <w:t>Geographie heute, 291/292</w:t>
      </w:r>
      <w:r w:rsidRPr="00A32765">
        <w:rPr>
          <w:sz w:val="16"/>
          <w:szCs w:val="16"/>
        </w:rPr>
        <w:t>, 16</w:t>
      </w:r>
      <w:r>
        <w:rPr>
          <w:sz w:val="16"/>
          <w:szCs w:val="16"/>
        </w:rPr>
        <w:t>–</w:t>
      </w:r>
      <w:r w:rsidRPr="00A32765">
        <w:rPr>
          <w:sz w:val="16"/>
          <w:szCs w:val="16"/>
        </w:rPr>
        <w:t>19.</w:t>
      </w:r>
    </w:p>
    <w:p w:rsidR="0015711E" w:rsidRPr="00C1088A" w:rsidRDefault="0015711E" w:rsidP="00FB56A8">
      <w:pPr>
        <w:ind w:left="426" w:hanging="426"/>
        <w:rPr>
          <w:bCs/>
          <w:iCs/>
          <w:sz w:val="16"/>
          <w:szCs w:val="16"/>
        </w:rPr>
      </w:pPr>
      <w:r w:rsidRPr="00C1088A">
        <w:rPr>
          <w:bCs/>
          <w:iCs/>
          <w:sz w:val="16"/>
          <w:szCs w:val="16"/>
        </w:rPr>
        <w:t>Hieber, U. (2011</w:t>
      </w:r>
      <w:r>
        <w:rPr>
          <w:bCs/>
          <w:iCs/>
          <w:sz w:val="16"/>
          <w:szCs w:val="16"/>
        </w:rPr>
        <w:t>b</w:t>
      </w:r>
      <w:r w:rsidRPr="00C1088A">
        <w:rPr>
          <w:bCs/>
          <w:iCs/>
          <w:sz w:val="16"/>
          <w:szCs w:val="16"/>
        </w:rPr>
        <w:t xml:space="preserve">). Operatoren anwenden. </w:t>
      </w:r>
      <w:r w:rsidRPr="00651015">
        <w:rPr>
          <w:bCs/>
          <w:i/>
          <w:iCs/>
          <w:sz w:val="16"/>
          <w:szCs w:val="16"/>
        </w:rPr>
        <w:t>Geographie heute, 291/292</w:t>
      </w:r>
      <w:r w:rsidRPr="00C1088A">
        <w:rPr>
          <w:bCs/>
          <w:iCs/>
          <w:sz w:val="16"/>
          <w:szCs w:val="16"/>
        </w:rPr>
        <w:t>, 12</w:t>
      </w:r>
      <w:r>
        <w:rPr>
          <w:bCs/>
          <w:iCs/>
          <w:sz w:val="16"/>
          <w:szCs w:val="16"/>
        </w:rPr>
        <w:t>–</w:t>
      </w:r>
      <w:r w:rsidRPr="00C1088A">
        <w:rPr>
          <w:bCs/>
          <w:iCs/>
          <w:sz w:val="16"/>
          <w:szCs w:val="16"/>
        </w:rPr>
        <w:t>14.</w:t>
      </w:r>
    </w:p>
    <w:p w:rsidR="0015711E" w:rsidRPr="001843D4" w:rsidRDefault="0015711E" w:rsidP="00FA3441">
      <w:pPr>
        <w:ind w:left="426" w:hanging="426"/>
        <w:rPr>
          <w:bCs/>
          <w:iCs/>
          <w:sz w:val="16"/>
          <w:szCs w:val="16"/>
        </w:rPr>
      </w:pPr>
      <w:r w:rsidRPr="001843D4">
        <w:rPr>
          <w:bCs/>
          <w:iCs/>
          <w:sz w:val="16"/>
          <w:szCs w:val="16"/>
        </w:rPr>
        <w:t>Hieber,</w:t>
      </w:r>
      <w:r>
        <w:rPr>
          <w:bCs/>
          <w:iCs/>
          <w:sz w:val="16"/>
          <w:szCs w:val="16"/>
        </w:rPr>
        <w:t xml:space="preserve"> </w:t>
      </w:r>
      <w:r w:rsidRPr="001843D4">
        <w:rPr>
          <w:bCs/>
          <w:iCs/>
          <w:sz w:val="16"/>
          <w:szCs w:val="16"/>
        </w:rPr>
        <w:t xml:space="preserve">U., Stengelin, M., </w:t>
      </w:r>
      <w:r>
        <w:rPr>
          <w:bCs/>
          <w:iCs/>
          <w:sz w:val="16"/>
          <w:szCs w:val="16"/>
        </w:rPr>
        <w:t>&amp; Lenz, T. (2011).</w:t>
      </w:r>
      <w:r w:rsidRPr="001843D4">
        <w:rPr>
          <w:bCs/>
          <w:iCs/>
          <w:sz w:val="16"/>
          <w:szCs w:val="16"/>
        </w:rPr>
        <w:t xml:space="preserve"> (Sich) geographische Aufgaben stellen. Neue Aufgabenkultur im kompetenzori</w:t>
      </w:r>
      <w:r>
        <w:rPr>
          <w:bCs/>
          <w:iCs/>
          <w:sz w:val="16"/>
          <w:szCs w:val="16"/>
        </w:rPr>
        <w:t xml:space="preserve">entierten Geographieunterricht. </w:t>
      </w:r>
      <w:r w:rsidRPr="00FA3441">
        <w:rPr>
          <w:bCs/>
          <w:i/>
          <w:iCs/>
          <w:sz w:val="16"/>
          <w:szCs w:val="16"/>
        </w:rPr>
        <w:t>Geographie heute, 291/292</w:t>
      </w:r>
      <w:r>
        <w:rPr>
          <w:bCs/>
          <w:iCs/>
          <w:sz w:val="16"/>
          <w:szCs w:val="16"/>
        </w:rPr>
        <w:t>, 2–</w:t>
      </w:r>
      <w:r w:rsidRPr="001843D4">
        <w:rPr>
          <w:bCs/>
          <w:iCs/>
          <w:sz w:val="16"/>
          <w:szCs w:val="16"/>
        </w:rPr>
        <w:t>9.</w:t>
      </w:r>
    </w:p>
    <w:p w:rsidR="0015711E" w:rsidRPr="007C0E29" w:rsidRDefault="0015711E" w:rsidP="007C0E29">
      <w:pPr>
        <w:autoSpaceDE w:val="0"/>
        <w:autoSpaceDN w:val="0"/>
        <w:adjustRightInd w:val="0"/>
        <w:ind w:left="426" w:hanging="426"/>
        <w:jc w:val="both"/>
        <w:rPr>
          <w:sz w:val="16"/>
          <w:szCs w:val="16"/>
        </w:rPr>
      </w:pPr>
      <w:r w:rsidRPr="007C0E29">
        <w:rPr>
          <w:sz w:val="16"/>
          <w:szCs w:val="16"/>
        </w:rPr>
        <w:t>Hiebert, J., &amp; Grouws, D. A. (2007). The effects of classroom mathematics teaching on students’ learning. In F. K. Lester (</w:t>
      </w:r>
      <w:r>
        <w:rPr>
          <w:sz w:val="16"/>
          <w:szCs w:val="16"/>
        </w:rPr>
        <w:t>E</w:t>
      </w:r>
      <w:r w:rsidRPr="007C0E29">
        <w:rPr>
          <w:sz w:val="16"/>
          <w:szCs w:val="16"/>
        </w:rPr>
        <w:t xml:space="preserve">d.), </w:t>
      </w:r>
      <w:r w:rsidRPr="007C0E29">
        <w:rPr>
          <w:i/>
          <w:sz w:val="16"/>
          <w:szCs w:val="16"/>
        </w:rPr>
        <w:t xml:space="preserve">Second handbook of research on mathematics teaching and learning </w:t>
      </w:r>
      <w:r w:rsidRPr="007C0E29">
        <w:rPr>
          <w:sz w:val="16"/>
          <w:szCs w:val="16"/>
        </w:rPr>
        <w:t>(s. 371–404). Charlotte: Information Age.</w:t>
      </w:r>
    </w:p>
    <w:p w:rsidR="0015711E" w:rsidRPr="0015711E" w:rsidRDefault="0015711E" w:rsidP="0015711E">
      <w:pPr>
        <w:ind w:left="426" w:hanging="426"/>
        <w:rPr>
          <w:sz w:val="16"/>
          <w:szCs w:val="16"/>
          <w:lang w:val="en-US"/>
        </w:rPr>
      </w:pPr>
      <w:r w:rsidRPr="0015711E">
        <w:rPr>
          <w:sz w:val="16"/>
          <w:szCs w:val="16"/>
        </w:rPr>
        <w:t xml:space="preserve">Hiebert, J., Gallimore, R., Garnier, H., Givvin, K. B., Hollingsworth, H., Jacobs, J., … &amp; Stigler, J. (2003). </w:t>
      </w:r>
      <w:r w:rsidRPr="0015711E">
        <w:rPr>
          <w:i/>
          <w:iCs/>
          <w:sz w:val="16"/>
          <w:szCs w:val="16"/>
          <w:lang w:val="en-US"/>
        </w:rPr>
        <w:t>Teaching mathematics in seven countries: Results from the TIMSS 1999 Video Study</w:t>
      </w:r>
      <w:r w:rsidRPr="0015711E">
        <w:rPr>
          <w:sz w:val="16"/>
          <w:szCs w:val="16"/>
          <w:lang w:val="en-US"/>
        </w:rPr>
        <w:t>. Washington: National Center for Education Statistics.</w:t>
      </w:r>
    </w:p>
    <w:p w:rsidR="0015711E" w:rsidRPr="00B02089" w:rsidRDefault="0015711E" w:rsidP="00B02089">
      <w:pPr>
        <w:ind w:left="426" w:hanging="426"/>
        <w:rPr>
          <w:bCs/>
          <w:iCs/>
          <w:sz w:val="16"/>
          <w:szCs w:val="16"/>
        </w:rPr>
      </w:pPr>
      <w:bookmarkStart w:id="129" w:name="_ENREF_23"/>
      <w:r w:rsidRPr="00B02089">
        <w:rPr>
          <w:bCs/>
          <w:iCs/>
          <w:sz w:val="16"/>
          <w:szCs w:val="16"/>
        </w:rPr>
        <w:t xml:space="preserve">Hofmann, E. (1999). </w:t>
      </w:r>
      <w:r>
        <w:rPr>
          <w:bCs/>
          <w:i/>
          <w:iCs/>
          <w:sz w:val="16"/>
          <w:szCs w:val="16"/>
        </w:rPr>
        <w:t>Jedovnice a okolí</w:t>
      </w:r>
      <w:r w:rsidRPr="00B02089">
        <w:rPr>
          <w:bCs/>
          <w:i/>
          <w:iCs/>
          <w:sz w:val="16"/>
          <w:szCs w:val="16"/>
        </w:rPr>
        <w:t>: modelová olast pro terénní vyučování</w:t>
      </w:r>
      <w:r w:rsidRPr="00B02089">
        <w:rPr>
          <w:bCs/>
          <w:iCs/>
          <w:sz w:val="16"/>
          <w:szCs w:val="16"/>
        </w:rPr>
        <w:t>. Brno: CERM.</w:t>
      </w:r>
      <w:bookmarkEnd w:id="129"/>
    </w:p>
    <w:p w:rsidR="0015711E" w:rsidRPr="00402C6A" w:rsidRDefault="0015711E" w:rsidP="00402C6A">
      <w:pPr>
        <w:ind w:left="426" w:hanging="426"/>
        <w:rPr>
          <w:bCs/>
          <w:iCs/>
          <w:sz w:val="16"/>
          <w:szCs w:val="16"/>
        </w:rPr>
      </w:pPr>
      <w:r w:rsidRPr="00402C6A">
        <w:rPr>
          <w:bCs/>
          <w:iCs/>
          <w:sz w:val="16"/>
          <w:szCs w:val="16"/>
        </w:rPr>
        <w:t xml:space="preserve">Holyoak, K. J. (1990). Problem solving. In D. N. Osherson &amp; E. E. Smith (Eds.), </w:t>
      </w:r>
      <w:r w:rsidRPr="00AA6590">
        <w:rPr>
          <w:bCs/>
          <w:i/>
          <w:iCs/>
          <w:sz w:val="16"/>
          <w:szCs w:val="16"/>
        </w:rPr>
        <w:t>An invitation to cognitive science: Thinking. Vol. 3.</w:t>
      </w:r>
      <w:r w:rsidRPr="00402C6A">
        <w:rPr>
          <w:bCs/>
          <w:iCs/>
          <w:sz w:val="16"/>
          <w:szCs w:val="16"/>
        </w:rPr>
        <w:t xml:space="preserve"> (s. 267–296). Cambridge: MIT Press.</w:t>
      </w:r>
    </w:p>
    <w:p w:rsidR="0015711E" w:rsidRPr="008D7206" w:rsidRDefault="0015711E" w:rsidP="008D7206">
      <w:pPr>
        <w:ind w:left="426" w:hanging="426"/>
        <w:rPr>
          <w:bCs/>
          <w:iCs/>
          <w:sz w:val="16"/>
          <w:szCs w:val="16"/>
        </w:rPr>
      </w:pPr>
      <w:r w:rsidRPr="008D7206">
        <w:rPr>
          <w:bCs/>
          <w:iCs/>
          <w:sz w:val="16"/>
          <w:szCs w:val="16"/>
        </w:rPr>
        <w:t xml:space="preserve">Hooghuis, F., Van der Schee, J., Van der Velde, M., Imants, J., </w:t>
      </w:r>
      <w:r>
        <w:rPr>
          <w:bCs/>
          <w:iCs/>
          <w:sz w:val="16"/>
          <w:szCs w:val="16"/>
        </w:rPr>
        <w:t xml:space="preserve">&amp; </w:t>
      </w:r>
      <w:r w:rsidRPr="008D7206">
        <w:rPr>
          <w:bCs/>
          <w:iCs/>
          <w:sz w:val="16"/>
          <w:szCs w:val="16"/>
        </w:rPr>
        <w:t xml:space="preserve">Volman, M. (2014). The adoption of Thinking Through Geography strategies and their impact on teaching geographical reasoning in Dutch secondary schools. </w:t>
      </w:r>
      <w:r w:rsidRPr="008D7206">
        <w:rPr>
          <w:bCs/>
          <w:i/>
          <w:iCs/>
          <w:sz w:val="16"/>
          <w:szCs w:val="16"/>
        </w:rPr>
        <w:t>International Research in Geographical and Environmental Education, 23</w:t>
      </w:r>
      <w:r w:rsidRPr="008D7206">
        <w:rPr>
          <w:bCs/>
          <w:iCs/>
          <w:sz w:val="16"/>
          <w:szCs w:val="16"/>
        </w:rPr>
        <w:t>(3), 242</w:t>
      </w:r>
      <w:r>
        <w:rPr>
          <w:bCs/>
          <w:iCs/>
          <w:sz w:val="16"/>
          <w:szCs w:val="16"/>
        </w:rPr>
        <w:t>–</w:t>
      </w:r>
      <w:r w:rsidRPr="008D7206">
        <w:rPr>
          <w:bCs/>
          <w:iCs/>
          <w:sz w:val="16"/>
          <w:szCs w:val="16"/>
        </w:rPr>
        <w:t xml:space="preserve">258. </w:t>
      </w:r>
    </w:p>
    <w:p w:rsidR="0015711E" w:rsidRDefault="0015711E" w:rsidP="00B544D7">
      <w:pPr>
        <w:ind w:left="426" w:hanging="426"/>
        <w:rPr>
          <w:bCs/>
          <w:iCs/>
          <w:sz w:val="16"/>
          <w:szCs w:val="16"/>
        </w:rPr>
      </w:pPr>
      <w:r w:rsidRPr="00B544D7">
        <w:rPr>
          <w:bCs/>
          <w:iCs/>
          <w:sz w:val="16"/>
          <w:szCs w:val="16"/>
        </w:rPr>
        <w:t xml:space="preserve">Hopkin, J. (2013). Framing the geography national curriculum. </w:t>
      </w:r>
      <w:r w:rsidRPr="00AA6590">
        <w:rPr>
          <w:bCs/>
          <w:i/>
          <w:iCs/>
          <w:sz w:val="16"/>
          <w:szCs w:val="16"/>
        </w:rPr>
        <w:t>Geography, 98</w:t>
      </w:r>
      <w:r w:rsidRPr="00B544D7">
        <w:rPr>
          <w:bCs/>
          <w:iCs/>
          <w:sz w:val="16"/>
          <w:szCs w:val="16"/>
        </w:rPr>
        <w:t>(2), 60–67.</w:t>
      </w:r>
    </w:p>
    <w:p w:rsidR="0015711E" w:rsidRPr="001D60CE" w:rsidRDefault="0015711E" w:rsidP="001D60CE">
      <w:pPr>
        <w:ind w:left="426" w:hanging="426"/>
        <w:rPr>
          <w:bCs/>
          <w:sz w:val="16"/>
          <w:szCs w:val="16"/>
        </w:rPr>
      </w:pPr>
      <w:r w:rsidRPr="001D60CE">
        <w:rPr>
          <w:bCs/>
          <w:sz w:val="16"/>
          <w:szCs w:val="16"/>
        </w:rPr>
        <w:t xml:space="preserve">Hübelová, D., Janík, T., &amp; Najvar, P. (2008). Pohledy na výuku zeměpisu na 2. stupni základní školy: souhrnné výsledky CPV videostudie zeměpisu. </w:t>
      </w:r>
      <w:r w:rsidRPr="001D60CE">
        <w:rPr>
          <w:bCs/>
          <w:i/>
          <w:iCs/>
          <w:sz w:val="16"/>
          <w:szCs w:val="16"/>
        </w:rPr>
        <w:t>Orbis scholae</w:t>
      </w:r>
      <w:r w:rsidRPr="001D60CE">
        <w:rPr>
          <w:bCs/>
          <w:sz w:val="16"/>
          <w:szCs w:val="16"/>
        </w:rPr>
        <w:t xml:space="preserve">, </w:t>
      </w:r>
      <w:r w:rsidRPr="00EC520C">
        <w:rPr>
          <w:bCs/>
          <w:i/>
          <w:sz w:val="16"/>
          <w:szCs w:val="16"/>
        </w:rPr>
        <w:t>2</w:t>
      </w:r>
      <w:r>
        <w:rPr>
          <w:bCs/>
          <w:sz w:val="16"/>
          <w:szCs w:val="16"/>
        </w:rPr>
        <w:t>(1)</w:t>
      </w:r>
      <w:r w:rsidRPr="001D60CE">
        <w:rPr>
          <w:bCs/>
          <w:sz w:val="16"/>
          <w:szCs w:val="16"/>
        </w:rPr>
        <w:t>, 53–72.</w:t>
      </w:r>
    </w:p>
    <w:p w:rsidR="0015711E" w:rsidRPr="001D60CE" w:rsidRDefault="0015711E" w:rsidP="001D60CE">
      <w:pPr>
        <w:ind w:left="426" w:hanging="426"/>
        <w:rPr>
          <w:bCs/>
          <w:sz w:val="16"/>
          <w:szCs w:val="16"/>
        </w:rPr>
      </w:pPr>
      <w:r w:rsidRPr="001D60CE">
        <w:rPr>
          <w:bCs/>
          <w:sz w:val="16"/>
          <w:szCs w:val="16"/>
        </w:rPr>
        <w:t xml:space="preserve">Hübelová, D., Najvarová, V., &amp; Chárová, D. (2008). Uplatnění didaktických prostředků a médií ve výuce zeměpisu. P. Knecht &amp; T. Janík (Eds.), </w:t>
      </w:r>
      <w:r w:rsidRPr="00EC520C">
        <w:rPr>
          <w:bCs/>
          <w:i/>
          <w:sz w:val="16"/>
          <w:szCs w:val="16"/>
        </w:rPr>
        <w:t>Učebnice z pohledu pedagogického výzkumu</w:t>
      </w:r>
      <w:r w:rsidRPr="001D60CE">
        <w:rPr>
          <w:bCs/>
          <w:sz w:val="16"/>
          <w:szCs w:val="16"/>
        </w:rPr>
        <w:t xml:space="preserve"> (s. 147–163). Brno: Paido. </w:t>
      </w:r>
    </w:p>
    <w:p w:rsidR="0015711E" w:rsidRDefault="0015711E" w:rsidP="00057E96">
      <w:pPr>
        <w:ind w:left="426" w:hanging="426"/>
        <w:rPr>
          <w:bCs/>
          <w:sz w:val="16"/>
          <w:szCs w:val="16"/>
        </w:rPr>
      </w:pPr>
      <w:r>
        <w:rPr>
          <w:bCs/>
          <w:sz w:val="16"/>
          <w:szCs w:val="16"/>
        </w:rPr>
        <w:t xml:space="preserve">Huber, O. (1995). Complex problem solving as multistage decision making. </w:t>
      </w:r>
      <w:r w:rsidRPr="007C0E29">
        <w:rPr>
          <w:bCs/>
          <w:sz w:val="16"/>
          <w:szCs w:val="16"/>
        </w:rPr>
        <w:t xml:space="preserve">In P. A. Frensch &amp; J. Funke (Eds.), </w:t>
      </w:r>
      <w:r w:rsidRPr="007C0E29">
        <w:rPr>
          <w:bCs/>
          <w:i/>
          <w:iCs/>
          <w:sz w:val="16"/>
          <w:szCs w:val="16"/>
        </w:rPr>
        <w:t>Complex problem solving: The Eur</w:t>
      </w:r>
      <w:r>
        <w:rPr>
          <w:bCs/>
          <w:i/>
          <w:iCs/>
          <w:sz w:val="16"/>
          <w:szCs w:val="16"/>
        </w:rPr>
        <w:t xml:space="preserve">opean </w:t>
      </w:r>
      <w:r w:rsidRPr="007C0E29">
        <w:rPr>
          <w:bCs/>
          <w:i/>
          <w:iCs/>
          <w:sz w:val="16"/>
          <w:szCs w:val="16"/>
        </w:rPr>
        <w:t xml:space="preserve">perspective </w:t>
      </w:r>
      <w:r w:rsidRPr="007C0E29">
        <w:rPr>
          <w:bCs/>
          <w:iCs/>
          <w:sz w:val="16"/>
          <w:szCs w:val="16"/>
        </w:rPr>
        <w:t xml:space="preserve">(s. </w:t>
      </w:r>
      <w:r>
        <w:rPr>
          <w:bCs/>
          <w:iCs/>
          <w:sz w:val="16"/>
          <w:szCs w:val="16"/>
        </w:rPr>
        <w:t>151</w:t>
      </w:r>
      <w:r w:rsidRPr="007C0E29">
        <w:rPr>
          <w:bCs/>
          <w:iCs/>
          <w:sz w:val="16"/>
          <w:szCs w:val="16"/>
        </w:rPr>
        <w:t>–</w:t>
      </w:r>
      <w:r>
        <w:rPr>
          <w:bCs/>
          <w:iCs/>
          <w:sz w:val="16"/>
          <w:szCs w:val="16"/>
        </w:rPr>
        <w:t>176</w:t>
      </w:r>
      <w:r w:rsidRPr="007C0E29">
        <w:rPr>
          <w:bCs/>
          <w:iCs/>
          <w:sz w:val="16"/>
          <w:szCs w:val="16"/>
        </w:rPr>
        <w:t>)</w:t>
      </w:r>
      <w:r w:rsidRPr="007C0E29">
        <w:rPr>
          <w:bCs/>
          <w:sz w:val="16"/>
          <w:szCs w:val="16"/>
        </w:rPr>
        <w:t>.</w:t>
      </w:r>
      <w:r>
        <w:rPr>
          <w:bCs/>
          <w:sz w:val="16"/>
          <w:szCs w:val="16"/>
        </w:rPr>
        <w:t xml:space="preserve"> </w:t>
      </w:r>
      <w:r w:rsidRPr="007C0E29">
        <w:rPr>
          <w:bCs/>
          <w:sz w:val="16"/>
          <w:szCs w:val="16"/>
        </w:rPr>
        <w:t>Hillsdale: Lawrence Erlbaum Associates.</w:t>
      </w:r>
    </w:p>
    <w:p w:rsidR="0015711E" w:rsidRPr="005A6958" w:rsidRDefault="0015711E" w:rsidP="005A6958">
      <w:pPr>
        <w:ind w:left="426" w:hanging="426"/>
        <w:rPr>
          <w:bCs/>
          <w:sz w:val="16"/>
          <w:szCs w:val="16"/>
        </w:rPr>
      </w:pPr>
      <w:r w:rsidRPr="005A6958">
        <w:rPr>
          <w:bCs/>
          <w:sz w:val="16"/>
          <w:szCs w:val="16"/>
        </w:rPr>
        <w:t xml:space="preserve">Hynek, A. (2002). Výzvy helsinského sympozia IGU pro české geografické vzdělávání. </w:t>
      </w:r>
      <w:r w:rsidRPr="005A6958">
        <w:rPr>
          <w:bCs/>
          <w:i/>
          <w:sz w:val="16"/>
          <w:szCs w:val="16"/>
        </w:rPr>
        <w:t>Geografie, 107</w:t>
      </w:r>
      <w:r w:rsidRPr="005A6958">
        <w:rPr>
          <w:bCs/>
          <w:sz w:val="16"/>
          <w:szCs w:val="16"/>
        </w:rPr>
        <w:t>(4), 396</w:t>
      </w:r>
      <w:r w:rsidRPr="005A6958">
        <w:rPr>
          <w:sz w:val="16"/>
          <w:szCs w:val="16"/>
        </w:rPr>
        <w:t xml:space="preserve"> </w:t>
      </w:r>
      <w:r w:rsidRPr="007A49C9">
        <w:rPr>
          <w:sz w:val="16"/>
          <w:szCs w:val="16"/>
        </w:rPr>
        <w:t>–</w:t>
      </w:r>
      <w:r w:rsidRPr="005A6958">
        <w:rPr>
          <w:bCs/>
          <w:sz w:val="16"/>
          <w:szCs w:val="16"/>
        </w:rPr>
        <w:t xml:space="preserve">406. </w:t>
      </w:r>
    </w:p>
    <w:p w:rsidR="0015711E" w:rsidRDefault="0015711E" w:rsidP="007C0E29">
      <w:pPr>
        <w:ind w:left="426" w:hanging="426"/>
        <w:rPr>
          <w:bCs/>
          <w:sz w:val="16"/>
          <w:szCs w:val="16"/>
        </w:rPr>
      </w:pPr>
      <w:r w:rsidRPr="007C0E29">
        <w:rPr>
          <w:bCs/>
          <w:sz w:val="16"/>
          <w:szCs w:val="16"/>
        </w:rPr>
        <w:t>Hynek, A. (2011</w:t>
      </w:r>
      <w:r>
        <w:rPr>
          <w:bCs/>
          <w:sz w:val="16"/>
          <w:szCs w:val="16"/>
        </w:rPr>
        <w:t>a</w:t>
      </w:r>
      <w:r w:rsidRPr="007C0E29">
        <w:rPr>
          <w:bCs/>
          <w:sz w:val="16"/>
          <w:szCs w:val="16"/>
        </w:rPr>
        <w:t xml:space="preserve">). Geografie, geograficita – prostorovosti. In H. Svobodová (Ed.), </w:t>
      </w:r>
      <w:r w:rsidRPr="007C0E29">
        <w:rPr>
          <w:bCs/>
          <w:i/>
          <w:iCs/>
          <w:sz w:val="16"/>
          <w:szCs w:val="16"/>
        </w:rPr>
        <w:t>Prostorovost</w:t>
      </w:r>
      <w:r w:rsidRPr="007C0E29">
        <w:rPr>
          <w:bCs/>
          <w:i/>
          <w:sz w:val="16"/>
          <w:szCs w:val="16"/>
        </w:rPr>
        <w:t>: místa, území, krajiny, regiony, globiony</w:t>
      </w:r>
      <w:r w:rsidRPr="007C0E29">
        <w:rPr>
          <w:bCs/>
          <w:sz w:val="16"/>
          <w:szCs w:val="16"/>
        </w:rPr>
        <w:t xml:space="preserve"> (s. 6–50). Brno: GaREP. </w:t>
      </w:r>
    </w:p>
    <w:p w:rsidR="0015711E" w:rsidRPr="005A6958" w:rsidRDefault="0015711E" w:rsidP="005A6958">
      <w:pPr>
        <w:ind w:left="426" w:hanging="426"/>
        <w:rPr>
          <w:bCs/>
          <w:sz w:val="16"/>
          <w:szCs w:val="16"/>
        </w:rPr>
      </w:pPr>
      <w:bookmarkStart w:id="130" w:name="_ENREF_26"/>
      <w:r w:rsidRPr="005A6958">
        <w:rPr>
          <w:bCs/>
          <w:sz w:val="16"/>
          <w:szCs w:val="16"/>
        </w:rPr>
        <w:t>Hynek, A. (2011</w:t>
      </w:r>
      <w:r>
        <w:rPr>
          <w:bCs/>
          <w:sz w:val="16"/>
          <w:szCs w:val="16"/>
        </w:rPr>
        <w:t>b</w:t>
      </w:r>
      <w:r w:rsidRPr="005A6958">
        <w:rPr>
          <w:bCs/>
          <w:sz w:val="16"/>
          <w:szCs w:val="16"/>
        </w:rPr>
        <w:t xml:space="preserve">). Disciplinarita geografie. In H. Svobodová (Ed.), </w:t>
      </w:r>
      <w:r w:rsidRPr="005A6958">
        <w:rPr>
          <w:bCs/>
          <w:i/>
          <w:sz w:val="16"/>
          <w:szCs w:val="16"/>
        </w:rPr>
        <w:t>Prostorovosti: místa, území, krajiny, regiony, globiony. Sborník příspěvků z</w:t>
      </w:r>
      <w:r>
        <w:rPr>
          <w:bCs/>
          <w:i/>
          <w:sz w:val="16"/>
          <w:szCs w:val="16"/>
        </w:rPr>
        <w:t> </w:t>
      </w:r>
      <w:r w:rsidRPr="005A6958">
        <w:rPr>
          <w:bCs/>
          <w:i/>
          <w:sz w:val="16"/>
          <w:szCs w:val="16"/>
        </w:rPr>
        <w:t>konference</w:t>
      </w:r>
      <w:r>
        <w:rPr>
          <w:bCs/>
          <w:i/>
          <w:sz w:val="16"/>
          <w:szCs w:val="16"/>
        </w:rPr>
        <w:t xml:space="preserve"> </w:t>
      </w:r>
      <w:r w:rsidRPr="005A6958">
        <w:rPr>
          <w:bCs/>
          <w:sz w:val="16"/>
          <w:szCs w:val="16"/>
        </w:rPr>
        <w:t>(</w:t>
      </w:r>
      <w:r>
        <w:rPr>
          <w:bCs/>
          <w:sz w:val="16"/>
          <w:szCs w:val="16"/>
        </w:rPr>
        <w:t>s</w:t>
      </w:r>
      <w:r w:rsidRPr="005A6958">
        <w:rPr>
          <w:bCs/>
          <w:sz w:val="16"/>
          <w:szCs w:val="16"/>
        </w:rPr>
        <w:t>. 66</w:t>
      </w:r>
      <w:r w:rsidRPr="005A6958">
        <w:rPr>
          <w:sz w:val="16"/>
          <w:szCs w:val="16"/>
        </w:rPr>
        <w:t xml:space="preserve"> </w:t>
      </w:r>
      <w:r w:rsidRPr="007A49C9">
        <w:rPr>
          <w:sz w:val="16"/>
          <w:szCs w:val="16"/>
        </w:rPr>
        <w:t>–</w:t>
      </w:r>
      <w:r w:rsidRPr="005A6958">
        <w:rPr>
          <w:bCs/>
          <w:sz w:val="16"/>
          <w:szCs w:val="16"/>
        </w:rPr>
        <w:t>72). Brno: GaREP.</w:t>
      </w:r>
      <w:bookmarkEnd w:id="130"/>
    </w:p>
    <w:p w:rsidR="0015711E" w:rsidRPr="007C0E29" w:rsidRDefault="0015711E" w:rsidP="00B02089">
      <w:pPr>
        <w:ind w:left="426" w:hanging="426"/>
        <w:rPr>
          <w:bCs/>
          <w:sz w:val="16"/>
          <w:szCs w:val="16"/>
        </w:rPr>
      </w:pPr>
      <w:r w:rsidRPr="00B02089">
        <w:rPr>
          <w:bCs/>
          <w:sz w:val="16"/>
          <w:szCs w:val="16"/>
        </w:rPr>
        <w:t xml:space="preserve">Hynek, A., </w:t>
      </w:r>
      <w:r>
        <w:rPr>
          <w:bCs/>
          <w:sz w:val="16"/>
          <w:szCs w:val="16"/>
        </w:rPr>
        <w:t xml:space="preserve">&amp; </w:t>
      </w:r>
      <w:r w:rsidRPr="00B02089">
        <w:rPr>
          <w:bCs/>
          <w:sz w:val="16"/>
          <w:szCs w:val="16"/>
        </w:rPr>
        <w:t>Svozil, B. (</w:t>
      </w:r>
      <w:r>
        <w:rPr>
          <w:bCs/>
          <w:sz w:val="16"/>
          <w:szCs w:val="16"/>
        </w:rPr>
        <w:t>E</w:t>
      </w:r>
      <w:r w:rsidRPr="00B02089">
        <w:rPr>
          <w:bCs/>
          <w:sz w:val="16"/>
          <w:szCs w:val="16"/>
        </w:rPr>
        <w:t xml:space="preserve">ds.). (2011). </w:t>
      </w:r>
      <w:r w:rsidRPr="00B02089">
        <w:rPr>
          <w:bCs/>
          <w:i/>
          <w:sz w:val="16"/>
          <w:szCs w:val="16"/>
        </w:rPr>
        <w:t>Deblínsko: na cestě k trvalé udržitelnosti.</w:t>
      </w:r>
      <w:r w:rsidRPr="00B02089">
        <w:rPr>
          <w:bCs/>
          <w:sz w:val="16"/>
          <w:szCs w:val="16"/>
        </w:rPr>
        <w:t xml:space="preserve"> Debl</w:t>
      </w:r>
      <w:r>
        <w:rPr>
          <w:bCs/>
          <w:sz w:val="16"/>
          <w:szCs w:val="16"/>
        </w:rPr>
        <w:t>í</w:t>
      </w:r>
      <w:r w:rsidRPr="00B02089">
        <w:rPr>
          <w:bCs/>
          <w:sz w:val="16"/>
          <w:szCs w:val="16"/>
        </w:rPr>
        <w:t>n: Základní škola a Mateřská škola Deblín</w:t>
      </w:r>
      <w:r>
        <w:rPr>
          <w:bCs/>
          <w:sz w:val="16"/>
          <w:szCs w:val="16"/>
        </w:rPr>
        <w:t>.</w:t>
      </w:r>
    </w:p>
    <w:p w:rsidR="0015711E" w:rsidRPr="00015FB5" w:rsidRDefault="0015711E" w:rsidP="00015FB5">
      <w:pPr>
        <w:ind w:left="426" w:hanging="426"/>
        <w:rPr>
          <w:sz w:val="16"/>
          <w:szCs w:val="16"/>
        </w:rPr>
      </w:pPr>
      <w:r w:rsidRPr="00015FB5">
        <w:rPr>
          <w:sz w:val="16"/>
          <w:szCs w:val="16"/>
        </w:rPr>
        <w:t xml:space="preserve">Chi, M. T., Feltovich, P. J., &amp; Glaser, R. (1981). Categorization and representation of physics problems by experts and novices. </w:t>
      </w:r>
      <w:r w:rsidRPr="007C0E29">
        <w:rPr>
          <w:i/>
          <w:sz w:val="16"/>
          <w:szCs w:val="16"/>
        </w:rPr>
        <w:t xml:space="preserve">Cognitive </w:t>
      </w:r>
      <w:r>
        <w:rPr>
          <w:i/>
          <w:sz w:val="16"/>
          <w:szCs w:val="16"/>
        </w:rPr>
        <w:t>S</w:t>
      </w:r>
      <w:r w:rsidRPr="007C0E29">
        <w:rPr>
          <w:i/>
          <w:sz w:val="16"/>
          <w:szCs w:val="16"/>
        </w:rPr>
        <w:t>cience, 5</w:t>
      </w:r>
      <w:r w:rsidRPr="00015FB5">
        <w:rPr>
          <w:sz w:val="16"/>
          <w:szCs w:val="16"/>
        </w:rPr>
        <w:t>(2), 121</w:t>
      </w:r>
      <w:r>
        <w:rPr>
          <w:sz w:val="16"/>
          <w:szCs w:val="16"/>
        </w:rPr>
        <w:t>–</w:t>
      </w:r>
      <w:r w:rsidRPr="00015FB5">
        <w:rPr>
          <w:sz w:val="16"/>
          <w:szCs w:val="16"/>
        </w:rPr>
        <w:t>152.</w:t>
      </w:r>
    </w:p>
    <w:p w:rsidR="0015711E" w:rsidRPr="007C0E29" w:rsidRDefault="0015711E" w:rsidP="007C0E29">
      <w:pPr>
        <w:ind w:left="426" w:hanging="426"/>
        <w:rPr>
          <w:sz w:val="16"/>
          <w:szCs w:val="16"/>
        </w:rPr>
      </w:pPr>
      <w:r>
        <w:rPr>
          <w:rStyle w:val="reference-text"/>
          <w:sz w:val="16"/>
          <w:szCs w:val="16"/>
        </w:rPr>
        <w:t>Chomsky, N</w:t>
      </w:r>
      <w:r w:rsidRPr="007C0E29">
        <w:rPr>
          <w:rStyle w:val="reference-text"/>
          <w:sz w:val="16"/>
          <w:szCs w:val="16"/>
        </w:rPr>
        <w:t xml:space="preserve">. (1965). </w:t>
      </w:r>
      <w:r w:rsidRPr="007C0E29">
        <w:rPr>
          <w:rStyle w:val="reference-text"/>
          <w:i/>
          <w:iCs/>
          <w:sz w:val="16"/>
          <w:szCs w:val="16"/>
        </w:rPr>
        <w:t>Aspects of the theory of syntax</w:t>
      </w:r>
      <w:r w:rsidRPr="007C0E29">
        <w:rPr>
          <w:rStyle w:val="reference-text"/>
          <w:sz w:val="16"/>
          <w:szCs w:val="16"/>
        </w:rPr>
        <w:t>. Cambridge: MIT Press.</w:t>
      </w:r>
    </w:p>
    <w:p w:rsidR="0015711E" w:rsidRDefault="0015711E" w:rsidP="008E1CDD">
      <w:pPr>
        <w:ind w:left="426" w:hanging="426"/>
        <w:rPr>
          <w:sz w:val="16"/>
          <w:szCs w:val="16"/>
        </w:rPr>
      </w:pPr>
      <w:r w:rsidRPr="008E1CDD">
        <w:rPr>
          <w:sz w:val="16"/>
          <w:szCs w:val="16"/>
        </w:rPr>
        <w:t xml:space="preserve">Chvál, M., &amp; Kasíková, H. (2011). Příležitosti k rozvíjení kompetence k učení ve výuce: srovnání základních škol a víceletých gymnázií. </w:t>
      </w:r>
      <w:r w:rsidRPr="008E1CDD">
        <w:rPr>
          <w:i/>
          <w:iCs/>
          <w:sz w:val="16"/>
          <w:szCs w:val="16"/>
        </w:rPr>
        <w:t>Pedagogika, 61</w:t>
      </w:r>
      <w:r w:rsidRPr="008E1CDD">
        <w:rPr>
          <w:sz w:val="16"/>
          <w:szCs w:val="16"/>
        </w:rPr>
        <w:t>(2), 144–153.</w:t>
      </w:r>
    </w:p>
    <w:p w:rsidR="0015711E" w:rsidRPr="008E1CDD" w:rsidRDefault="0015711E" w:rsidP="004A0EBA">
      <w:pPr>
        <w:ind w:left="426" w:hanging="426"/>
        <w:rPr>
          <w:sz w:val="16"/>
          <w:szCs w:val="16"/>
        </w:rPr>
      </w:pPr>
      <w:r w:rsidRPr="004A0EBA">
        <w:rPr>
          <w:sz w:val="16"/>
          <w:szCs w:val="16"/>
        </w:rPr>
        <w:t xml:space="preserve">Chvál, M., Kasíková, H., &amp; Valenta, J. (2012). </w:t>
      </w:r>
      <w:r w:rsidRPr="004A0EBA">
        <w:rPr>
          <w:i/>
          <w:iCs/>
          <w:sz w:val="16"/>
          <w:szCs w:val="16"/>
        </w:rPr>
        <w:t>Posuzování rozvoje kompetence k učení ve výuce</w:t>
      </w:r>
      <w:r w:rsidRPr="004A0EBA">
        <w:rPr>
          <w:sz w:val="16"/>
          <w:szCs w:val="16"/>
        </w:rPr>
        <w:t xml:space="preserve">. </w:t>
      </w:r>
      <w:r>
        <w:rPr>
          <w:sz w:val="16"/>
          <w:szCs w:val="16"/>
        </w:rPr>
        <w:t xml:space="preserve">Praha: </w:t>
      </w:r>
      <w:r w:rsidRPr="004A0EBA">
        <w:rPr>
          <w:sz w:val="16"/>
          <w:szCs w:val="16"/>
        </w:rPr>
        <w:t>Karolinum.</w:t>
      </w:r>
    </w:p>
    <w:p w:rsidR="0015711E" w:rsidRPr="00492BA1" w:rsidRDefault="0015711E" w:rsidP="00492BA1">
      <w:pPr>
        <w:ind w:left="426" w:hanging="426"/>
        <w:rPr>
          <w:bCs/>
          <w:iCs/>
          <w:sz w:val="16"/>
          <w:szCs w:val="16"/>
        </w:rPr>
      </w:pPr>
      <w:r w:rsidRPr="00492BA1">
        <w:rPr>
          <w:bCs/>
          <w:iCs/>
          <w:sz w:val="16"/>
          <w:szCs w:val="16"/>
        </w:rPr>
        <w:t xml:space="preserve">Iser, W. (2009). </w:t>
      </w:r>
      <w:r w:rsidRPr="00FA3441">
        <w:rPr>
          <w:bCs/>
          <w:i/>
          <w:iCs/>
          <w:sz w:val="16"/>
          <w:szCs w:val="16"/>
        </w:rPr>
        <w:t>Jak se dělá teorie.</w:t>
      </w:r>
      <w:r w:rsidRPr="00492BA1">
        <w:rPr>
          <w:bCs/>
          <w:iCs/>
          <w:sz w:val="16"/>
          <w:szCs w:val="16"/>
        </w:rPr>
        <w:t xml:space="preserve"> Praha: Karolinum.</w:t>
      </w:r>
    </w:p>
    <w:p w:rsidR="0015711E" w:rsidRPr="007C0E29" w:rsidRDefault="0015711E" w:rsidP="007C0E29">
      <w:pPr>
        <w:ind w:left="426" w:hanging="426"/>
        <w:rPr>
          <w:sz w:val="16"/>
          <w:szCs w:val="16"/>
        </w:rPr>
      </w:pPr>
      <w:r w:rsidRPr="007C0E29">
        <w:rPr>
          <w:sz w:val="16"/>
          <w:szCs w:val="16"/>
        </w:rPr>
        <w:t xml:space="preserve">Jackson, P. (2006). Thinking geographically. </w:t>
      </w:r>
      <w:r w:rsidRPr="007C0E29">
        <w:rPr>
          <w:i/>
          <w:sz w:val="16"/>
          <w:szCs w:val="16"/>
        </w:rPr>
        <w:t>Geography, 91</w:t>
      </w:r>
      <w:r w:rsidRPr="007C0E29">
        <w:rPr>
          <w:sz w:val="16"/>
          <w:szCs w:val="16"/>
        </w:rPr>
        <w:t>(3), 199–204.</w:t>
      </w:r>
      <w:r w:rsidRPr="007C0E29">
        <w:rPr>
          <w:sz w:val="16"/>
          <w:szCs w:val="16"/>
        </w:rPr>
        <w:tab/>
      </w:r>
    </w:p>
    <w:p w:rsidR="0015711E" w:rsidRPr="007C0E29" w:rsidRDefault="0015711E" w:rsidP="007C0E29">
      <w:pPr>
        <w:autoSpaceDE w:val="0"/>
        <w:autoSpaceDN w:val="0"/>
        <w:adjustRightInd w:val="0"/>
        <w:ind w:left="426" w:hanging="426"/>
        <w:rPr>
          <w:sz w:val="16"/>
          <w:szCs w:val="16"/>
        </w:rPr>
      </w:pPr>
      <w:r w:rsidRPr="007C0E29">
        <w:rPr>
          <w:sz w:val="16"/>
          <w:szCs w:val="16"/>
        </w:rPr>
        <w:t xml:space="preserve">Janík, T. (2012). Kvalita výuky: Vymezení pojmu a způsobů jeho užívání. </w:t>
      </w:r>
      <w:r w:rsidRPr="007C0E29">
        <w:rPr>
          <w:i/>
          <w:iCs/>
          <w:sz w:val="16"/>
          <w:szCs w:val="16"/>
        </w:rPr>
        <w:t>Pedagogika, 62</w:t>
      </w:r>
      <w:r w:rsidRPr="007C0E29">
        <w:rPr>
          <w:sz w:val="16"/>
          <w:szCs w:val="16"/>
        </w:rPr>
        <w:t>(3), 244–261.</w:t>
      </w:r>
    </w:p>
    <w:p w:rsidR="0015711E" w:rsidRPr="007C0E29" w:rsidRDefault="0015711E" w:rsidP="007C0E29">
      <w:pPr>
        <w:ind w:left="426" w:hanging="426"/>
        <w:rPr>
          <w:sz w:val="16"/>
          <w:szCs w:val="16"/>
        </w:rPr>
      </w:pPr>
      <w:r w:rsidRPr="007C0E29">
        <w:rPr>
          <w:sz w:val="16"/>
          <w:szCs w:val="16"/>
        </w:rPr>
        <w:t xml:space="preserve">Janík, T. (2013). Od reformy kurikula k produktivní kultuře vyučování a učení. </w:t>
      </w:r>
      <w:r w:rsidRPr="007C0E29">
        <w:rPr>
          <w:i/>
          <w:sz w:val="16"/>
          <w:szCs w:val="16"/>
        </w:rPr>
        <w:t>Pedagogická orientace, 23</w:t>
      </w:r>
      <w:r w:rsidRPr="007C0E29">
        <w:rPr>
          <w:sz w:val="16"/>
          <w:szCs w:val="16"/>
        </w:rPr>
        <w:t xml:space="preserve">(5), 634–663. </w:t>
      </w:r>
    </w:p>
    <w:p w:rsidR="0015711E" w:rsidRPr="00665AFE" w:rsidRDefault="0015711E" w:rsidP="00665AFE">
      <w:pPr>
        <w:ind w:left="426" w:hanging="426"/>
        <w:rPr>
          <w:sz w:val="16"/>
          <w:szCs w:val="16"/>
        </w:rPr>
      </w:pPr>
      <w:r w:rsidRPr="00665AFE">
        <w:rPr>
          <w:sz w:val="16"/>
          <w:szCs w:val="16"/>
        </w:rPr>
        <w:t xml:space="preserve">Janík, T., Knecht, P., Najvar, P., Pavlas, T., Slavík, J., &amp; Solnička, D. (2010). </w:t>
      </w:r>
      <w:r w:rsidRPr="00665AFE">
        <w:rPr>
          <w:i/>
          <w:sz w:val="16"/>
          <w:szCs w:val="16"/>
        </w:rPr>
        <w:t>Kurikulární reforma na gymnáziích v rozhovorech s koordinátory pilotních a partnerských škol</w:t>
      </w:r>
      <w:r w:rsidRPr="00665AFE">
        <w:rPr>
          <w:sz w:val="16"/>
          <w:szCs w:val="16"/>
        </w:rPr>
        <w:t>. Praha: Výzkumný ústav pedagogický v Praze.</w:t>
      </w:r>
    </w:p>
    <w:p w:rsidR="0015711E" w:rsidRPr="001D60CE" w:rsidRDefault="0015711E" w:rsidP="001D60CE">
      <w:pPr>
        <w:ind w:left="426" w:hanging="426"/>
        <w:rPr>
          <w:bCs/>
          <w:sz w:val="16"/>
          <w:szCs w:val="16"/>
        </w:rPr>
      </w:pPr>
      <w:r w:rsidRPr="001D60CE">
        <w:rPr>
          <w:bCs/>
          <w:sz w:val="16"/>
          <w:szCs w:val="16"/>
        </w:rPr>
        <w:t xml:space="preserve">Janík, T., Lokajíčková, V., &amp; Janko, T. (2012). Komponenty a charakteristiky zakládající kvalitu výuky: přehled výzkumných zjištění. </w:t>
      </w:r>
      <w:r w:rsidRPr="001D60CE">
        <w:rPr>
          <w:bCs/>
          <w:i/>
          <w:iCs/>
          <w:sz w:val="16"/>
          <w:szCs w:val="16"/>
        </w:rPr>
        <w:t>Orbis scholae</w:t>
      </w:r>
      <w:r w:rsidRPr="001D60CE">
        <w:rPr>
          <w:bCs/>
          <w:sz w:val="16"/>
          <w:szCs w:val="16"/>
        </w:rPr>
        <w:t xml:space="preserve">, </w:t>
      </w:r>
      <w:r w:rsidRPr="001D60CE">
        <w:rPr>
          <w:bCs/>
          <w:i/>
          <w:iCs/>
          <w:sz w:val="16"/>
          <w:szCs w:val="16"/>
        </w:rPr>
        <w:t>6</w:t>
      </w:r>
      <w:r w:rsidRPr="001D60CE">
        <w:rPr>
          <w:bCs/>
          <w:sz w:val="16"/>
          <w:szCs w:val="16"/>
        </w:rPr>
        <w:t>(1), 27–55.</w:t>
      </w:r>
    </w:p>
    <w:p w:rsidR="0015711E" w:rsidRPr="00A14816" w:rsidRDefault="0015711E" w:rsidP="00A14816">
      <w:pPr>
        <w:ind w:left="426" w:hanging="426"/>
        <w:rPr>
          <w:sz w:val="16"/>
          <w:szCs w:val="16"/>
        </w:rPr>
      </w:pPr>
      <w:r w:rsidRPr="00A14816">
        <w:rPr>
          <w:sz w:val="16"/>
          <w:szCs w:val="16"/>
        </w:rPr>
        <w:t xml:space="preserve">Janík, T., Maňák. J., &amp; Knecht, P. (2009). </w:t>
      </w:r>
      <w:r w:rsidRPr="00A14816">
        <w:rPr>
          <w:i/>
          <w:sz w:val="16"/>
          <w:szCs w:val="16"/>
        </w:rPr>
        <w:t>Cíle a obsahy školního vzdělávání a metodologie jejich utváření.</w:t>
      </w:r>
      <w:r w:rsidRPr="00A14816">
        <w:rPr>
          <w:sz w:val="16"/>
          <w:szCs w:val="16"/>
        </w:rPr>
        <w:t xml:space="preserve"> Brno: Paido.</w:t>
      </w:r>
    </w:p>
    <w:p w:rsidR="0015711E" w:rsidRPr="001D60CE" w:rsidRDefault="0015711E" w:rsidP="001D60CE">
      <w:pPr>
        <w:ind w:left="426" w:hanging="426"/>
        <w:rPr>
          <w:bCs/>
          <w:sz w:val="16"/>
          <w:szCs w:val="16"/>
        </w:rPr>
      </w:pPr>
      <w:r w:rsidRPr="001D60CE">
        <w:rPr>
          <w:bCs/>
          <w:sz w:val="16"/>
          <w:szCs w:val="16"/>
        </w:rPr>
        <w:t xml:space="preserve">Janík, T., Slavík, J., Mužík, V., Trna, J., Janko, T., Lokajíčková, V., ... &amp; Zlatníček, P. (2013). </w:t>
      </w:r>
      <w:r w:rsidRPr="001D60CE">
        <w:rPr>
          <w:bCs/>
          <w:i/>
          <w:iCs/>
          <w:sz w:val="16"/>
          <w:szCs w:val="16"/>
        </w:rPr>
        <w:t>Kvalita (ve) vzdělávání: obsahově zaměřený přístup ke zkoumání a zlepšování výuky</w:t>
      </w:r>
      <w:r w:rsidRPr="001D60CE">
        <w:rPr>
          <w:bCs/>
          <w:sz w:val="16"/>
          <w:szCs w:val="16"/>
        </w:rPr>
        <w:t>. Brno: Masarykova univerzita.</w:t>
      </w:r>
    </w:p>
    <w:p w:rsidR="0015711E" w:rsidRPr="0096491F" w:rsidRDefault="0015711E" w:rsidP="00BA6C80">
      <w:pPr>
        <w:ind w:left="426" w:hanging="426"/>
        <w:rPr>
          <w:sz w:val="16"/>
          <w:szCs w:val="16"/>
        </w:rPr>
      </w:pPr>
      <w:r w:rsidRPr="00B717AE">
        <w:rPr>
          <w:sz w:val="16"/>
          <w:szCs w:val="16"/>
        </w:rPr>
        <w:t xml:space="preserve">Janík, T., Slavík, J., Najvar, P., Hajdušková, L., Hesová, A., Lukavský, J. … </w:t>
      </w:r>
      <w:r w:rsidRPr="0096491F">
        <w:rPr>
          <w:sz w:val="16"/>
          <w:szCs w:val="16"/>
        </w:rPr>
        <w:t xml:space="preserve">&amp; Švecová, Z. (2011). </w:t>
      </w:r>
      <w:r w:rsidRPr="0096491F">
        <w:rPr>
          <w:i/>
          <w:iCs/>
          <w:sz w:val="16"/>
          <w:szCs w:val="16"/>
        </w:rPr>
        <w:t xml:space="preserve">Kurikulární reforma na gymnáziích: od virtuálních hospitací k videostudiím. </w:t>
      </w:r>
      <w:r w:rsidRPr="0096491F">
        <w:rPr>
          <w:sz w:val="16"/>
          <w:szCs w:val="16"/>
        </w:rPr>
        <w:t xml:space="preserve">Praha: VÚP. </w:t>
      </w:r>
    </w:p>
    <w:p w:rsidR="0015711E" w:rsidRPr="001D60CE" w:rsidRDefault="0015711E" w:rsidP="001D60CE">
      <w:pPr>
        <w:ind w:left="426" w:hanging="426"/>
        <w:rPr>
          <w:bCs/>
          <w:sz w:val="16"/>
          <w:szCs w:val="16"/>
        </w:rPr>
      </w:pPr>
      <w:r w:rsidRPr="001D60CE">
        <w:rPr>
          <w:bCs/>
          <w:sz w:val="16"/>
          <w:szCs w:val="16"/>
        </w:rPr>
        <w:t>Janko, T. (201</w:t>
      </w:r>
      <w:r w:rsidR="009E0B7C">
        <w:rPr>
          <w:bCs/>
          <w:sz w:val="16"/>
          <w:szCs w:val="16"/>
        </w:rPr>
        <w:t>2</w:t>
      </w:r>
      <w:r w:rsidRPr="001D60CE">
        <w:rPr>
          <w:bCs/>
          <w:sz w:val="16"/>
          <w:szCs w:val="16"/>
        </w:rPr>
        <w:t xml:space="preserve">). </w:t>
      </w:r>
      <w:r w:rsidRPr="001D60CE">
        <w:rPr>
          <w:bCs/>
          <w:i/>
          <w:iCs/>
          <w:sz w:val="16"/>
          <w:szCs w:val="16"/>
        </w:rPr>
        <w:t>Nonverbální prvky v učebnicích zeměpisu jako nástroj didaktické transformace</w:t>
      </w:r>
      <w:r w:rsidRPr="001D60CE">
        <w:rPr>
          <w:bCs/>
          <w:sz w:val="16"/>
          <w:szCs w:val="16"/>
        </w:rPr>
        <w:t>. Brno: Masarykova univerzita.</w:t>
      </w:r>
    </w:p>
    <w:p w:rsidR="009E0B7C" w:rsidRDefault="009E0B7C" w:rsidP="00A32765">
      <w:pPr>
        <w:ind w:left="426" w:hanging="426"/>
        <w:rPr>
          <w:sz w:val="16"/>
          <w:szCs w:val="16"/>
        </w:rPr>
      </w:pPr>
      <w:r w:rsidRPr="009E0B7C">
        <w:rPr>
          <w:sz w:val="16"/>
          <w:szCs w:val="16"/>
        </w:rPr>
        <w:t xml:space="preserve">Janko, T. (2013). Program zvyšování efektivnosti matematické a přírodovědné výuky (SINUS) jako inspirace pro českou vzdělávací politiku, výzkum a praxi. In T. Janík, P. Najvar, &amp; M. Jireček (Eds.), </w:t>
      </w:r>
      <w:r w:rsidRPr="009E0B7C">
        <w:rPr>
          <w:i/>
          <w:iCs/>
          <w:sz w:val="16"/>
          <w:szCs w:val="16"/>
        </w:rPr>
        <w:t xml:space="preserve">Výzkum školního vzdělávání: poznatky a výzvy </w:t>
      </w:r>
      <w:r w:rsidRPr="009E0B7C">
        <w:rPr>
          <w:sz w:val="16"/>
          <w:szCs w:val="16"/>
        </w:rPr>
        <w:t>(s. 93</w:t>
      </w:r>
      <w:r>
        <w:rPr>
          <w:sz w:val="16"/>
          <w:szCs w:val="16"/>
        </w:rPr>
        <w:t>–</w:t>
      </w:r>
      <w:r w:rsidRPr="009E0B7C">
        <w:rPr>
          <w:sz w:val="16"/>
          <w:szCs w:val="16"/>
        </w:rPr>
        <w:t>105). Brno: Masarykova univerzita.</w:t>
      </w:r>
    </w:p>
    <w:p w:rsidR="0015711E" w:rsidRDefault="0015711E" w:rsidP="00A32765">
      <w:pPr>
        <w:ind w:left="426" w:hanging="426"/>
        <w:rPr>
          <w:sz w:val="16"/>
          <w:szCs w:val="16"/>
        </w:rPr>
      </w:pPr>
      <w:r w:rsidRPr="0017738C">
        <w:rPr>
          <w:sz w:val="16"/>
          <w:szCs w:val="16"/>
        </w:rPr>
        <w:t xml:space="preserve">Janoušková, E. (2009). Vztah úrovně didaktické vybavenosti a míry obtížnosti textu současných učebnic. </w:t>
      </w:r>
      <w:r>
        <w:rPr>
          <w:sz w:val="16"/>
          <w:szCs w:val="16"/>
        </w:rPr>
        <w:t xml:space="preserve">Analýza učebnic zeměpisu pro střední školy. </w:t>
      </w:r>
      <w:r w:rsidRPr="0017738C">
        <w:rPr>
          <w:i/>
          <w:iCs/>
          <w:sz w:val="16"/>
          <w:szCs w:val="16"/>
        </w:rPr>
        <w:t>Pedagogická orientace, 19</w:t>
      </w:r>
      <w:r w:rsidRPr="0017738C">
        <w:rPr>
          <w:sz w:val="16"/>
          <w:szCs w:val="16"/>
        </w:rPr>
        <w:t>(1), 56–72.</w:t>
      </w:r>
    </w:p>
    <w:p w:rsidR="0015711E" w:rsidRPr="00A32765" w:rsidRDefault="0015711E" w:rsidP="00A32765">
      <w:pPr>
        <w:ind w:left="426" w:hanging="426"/>
        <w:rPr>
          <w:sz w:val="16"/>
          <w:szCs w:val="16"/>
        </w:rPr>
      </w:pPr>
      <w:r w:rsidRPr="00A32765">
        <w:rPr>
          <w:sz w:val="16"/>
          <w:szCs w:val="16"/>
        </w:rPr>
        <w:t xml:space="preserve">Jelemenská, P. (2009): Prepojenosť výberu učebných obsahov, zisťovania výkonov žiakov a predstáv učiteľov. </w:t>
      </w:r>
      <w:r w:rsidRPr="000B2B2B">
        <w:rPr>
          <w:i/>
          <w:sz w:val="16"/>
          <w:szCs w:val="16"/>
        </w:rPr>
        <w:t>Pedagogika, 59</w:t>
      </w:r>
      <w:r>
        <w:rPr>
          <w:sz w:val="16"/>
          <w:szCs w:val="16"/>
        </w:rPr>
        <w:t>(</w:t>
      </w:r>
      <w:r w:rsidRPr="00A32765">
        <w:rPr>
          <w:sz w:val="16"/>
          <w:szCs w:val="16"/>
        </w:rPr>
        <w:t>2</w:t>
      </w:r>
      <w:r>
        <w:rPr>
          <w:sz w:val="16"/>
          <w:szCs w:val="16"/>
        </w:rPr>
        <w:t>)</w:t>
      </w:r>
      <w:r w:rsidRPr="00A32765">
        <w:rPr>
          <w:sz w:val="16"/>
          <w:szCs w:val="16"/>
        </w:rPr>
        <w:t xml:space="preserve">, 164–181. </w:t>
      </w:r>
    </w:p>
    <w:p w:rsidR="0015711E" w:rsidRPr="007C44C5" w:rsidRDefault="0015711E" w:rsidP="007C44C5">
      <w:pPr>
        <w:ind w:left="426" w:hanging="426"/>
        <w:rPr>
          <w:bCs/>
          <w:sz w:val="16"/>
          <w:szCs w:val="16"/>
          <w:lang w:val="en-US"/>
        </w:rPr>
      </w:pPr>
      <w:r w:rsidRPr="00CE5865">
        <w:rPr>
          <w:bCs/>
          <w:sz w:val="16"/>
          <w:szCs w:val="16"/>
          <w:lang w:val="de-DE"/>
        </w:rPr>
        <w:t xml:space="preserve">Jo, I., &amp; Bednarz, S. W. (2009). </w:t>
      </w:r>
      <w:r w:rsidRPr="007C44C5">
        <w:rPr>
          <w:bCs/>
          <w:sz w:val="16"/>
          <w:szCs w:val="16"/>
          <w:lang w:val="en-US"/>
        </w:rPr>
        <w:t xml:space="preserve">Evaluating geography textbook questions from a spatial perspective: Using concepts of space, tools of representation, and cognitive processes to evaluate spatiality. </w:t>
      </w:r>
      <w:r w:rsidRPr="007C44C5">
        <w:rPr>
          <w:bCs/>
          <w:i/>
          <w:iCs/>
          <w:sz w:val="16"/>
          <w:szCs w:val="16"/>
          <w:lang w:val="en-US"/>
        </w:rPr>
        <w:t>Journal of Geography</w:t>
      </w:r>
      <w:r w:rsidRPr="007C44C5">
        <w:rPr>
          <w:bCs/>
          <w:sz w:val="16"/>
          <w:szCs w:val="16"/>
          <w:lang w:val="en-US"/>
        </w:rPr>
        <w:t xml:space="preserve">, </w:t>
      </w:r>
      <w:r w:rsidRPr="007C44C5">
        <w:rPr>
          <w:bCs/>
          <w:i/>
          <w:sz w:val="16"/>
          <w:szCs w:val="16"/>
          <w:lang w:val="en-US"/>
        </w:rPr>
        <w:t>108</w:t>
      </w:r>
      <w:r w:rsidRPr="007C44C5">
        <w:rPr>
          <w:bCs/>
          <w:sz w:val="16"/>
          <w:szCs w:val="16"/>
          <w:lang w:val="en-US"/>
        </w:rPr>
        <w:t>(1), 4</w:t>
      </w:r>
      <w:r>
        <w:rPr>
          <w:bCs/>
          <w:sz w:val="16"/>
          <w:szCs w:val="16"/>
          <w:lang w:val="en-US"/>
        </w:rPr>
        <w:t>–</w:t>
      </w:r>
      <w:r w:rsidRPr="007C44C5">
        <w:rPr>
          <w:bCs/>
          <w:sz w:val="16"/>
          <w:szCs w:val="16"/>
          <w:lang w:val="en-US"/>
        </w:rPr>
        <w:t>13</w:t>
      </w:r>
      <w:r w:rsidRPr="007C44C5">
        <w:rPr>
          <w:bCs/>
          <w:i/>
          <w:iCs/>
          <w:sz w:val="16"/>
          <w:szCs w:val="16"/>
          <w:lang w:val="en-US"/>
        </w:rPr>
        <w:t>.</w:t>
      </w:r>
    </w:p>
    <w:p w:rsidR="0015711E" w:rsidRPr="007E51DC" w:rsidRDefault="0015711E" w:rsidP="007E51DC">
      <w:pPr>
        <w:ind w:left="426" w:hanging="426"/>
        <w:rPr>
          <w:sz w:val="16"/>
          <w:szCs w:val="16"/>
        </w:rPr>
      </w:pPr>
      <w:r w:rsidRPr="007E51DC">
        <w:rPr>
          <w:sz w:val="16"/>
          <w:szCs w:val="16"/>
        </w:rPr>
        <w:t xml:space="preserve">Jonassen, D. H. (1997). Instructional design models for well-structured and ill-structured problem-solving learning outcomes. </w:t>
      </w:r>
      <w:r w:rsidRPr="007E51DC">
        <w:rPr>
          <w:i/>
          <w:sz w:val="16"/>
          <w:szCs w:val="16"/>
        </w:rPr>
        <w:t>Educational Technology Research and Development, 45</w:t>
      </w:r>
      <w:r w:rsidRPr="007E51DC">
        <w:rPr>
          <w:sz w:val="16"/>
          <w:szCs w:val="16"/>
        </w:rPr>
        <w:t>(1), 65</w:t>
      </w:r>
      <w:r>
        <w:rPr>
          <w:sz w:val="16"/>
          <w:szCs w:val="16"/>
        </w:rPr>
        <w:t>–</w:t>
      </w:r>
      <w:r w:rsidRPr="007E51DC">
        <w:rPr>
          <w:sz w:val="16"/>
          <w:szCs w:val="16"/>
        </w:rPr>
        <w:t>94.</w:t>
      </w:r>
    </w:p>
    <w:p w:rsidR="0015711E" w:rsidRPr="00015FB5" w:rsidRDefault="0015711E" w:rsidP="00015FB5">
      <w:pPr>
        <w:ind w:left="426" w:hanging="426"/>
        <w:rPr>
          <w:sz w:val="16"/>
          <w:szCs w:val="16"/>
        </w:rPr>
      </w:pPr>
      <w:r w:rsidRPr="00015FB5">
        <w:rPr>
          <w:sz w:val="16"/>
          <w:szCs w:val="16"/>
        </w:rPr>
        <w:t xml:space="preserve">Jonassen, D. H. (2000). Toward a design theory of problem solving. </w:t>
      </w:r>
      <w:r w:rsidRPr="00015FB5">
        <w:rPr>
          <w:i/>
          <w:sz w:val="16"/>
          <w:szCs w:val="16"/>
        </w:rPr>
        <w:t xml:space="preserve">Educational </w:t>
      </w:r>
      <w:r>
        <w:rPr>
          <w:i/>
          <w:sz w:val="16"/>
          <w:szCs w:val="16"/>
        </w:rPr>
        <w:t>T</w:t>
      </w:r>
      <w:r w:rsidRPr="00015FB5">
        <w:rPr>
          <w:i/>
          <w:sz w:val="16"/>
          <w:szCs w:val="16"/>
        </w:rPr>
        <w:t xml:space="preserve">echnology </w:t>
      </w:r>
      <w:r>
        <w:rPr>
          <w:i/>
          <w:sz w:val="16"/>
          <w:szCs w:val="16"/>
        </w:rPr>
        <w:t>R</w:t>
      </w:r>
      <w:r w:rsidRPr="00015FB5">
        <w:rPr>
          <w:i/>
          <w:sz w:val="16"/>
          <w:szCs w:val="16"/>
        </w:rPr>
        <w:t xml:space="preserve">esearch and </w:t>
      </w:r>
      <w:r>
        <w:rPr>
          <w:i/>
          <w:sz w:val="16"/>
          <w:szCs w:val="16"/>
        </w:rPr>
        <w:t>D</w:t>
      </w:r>
      <w:r w:rsidRPr="00015FB5">
        <w:rPr>
          <w:i/>
          <w:sz w:val="16"/>
          <w:szCs w:val="16"/>
        </w:rPr>
        <w:t>evelopment, 48</w:t>
      </w:r>
      <w:r w:rsidRPr="00015FB5">
        <w:rPr>
          <w:sz w:val="16"/>
          <w:szCs w:val="16"/>
        </w:rPr>
        <w:t xml:space="preserve">(4), 63–85. </w:t>
      </w:r>
    </w:p>
    <w:p w:rsidR="0015711E" w:rsidRPr="00136891" w:rsidRDefault="0015711E" w:rsidP="00136891">
      <w:pPr>
        <w:ind w:left="426" w:hanging="426"/>
        <w:rPr>
          <w:bCs/>
          <w:sz w:val="16"/>
          <w:szCs w:val="16"/>
        </w:rPr>
      </w:pPr>
      <w:r w:rsidRPr="00136891">
        <w:rPr>
          <w:bCs/>
          <w:sz w:val="16"/>
          <w:szCs w:val="16"/>
        </w:rPr>
        <w:t>Jonassen, D. H. (2011</w:t>
      </w:r>
      <w:r>
        <w:rPr>
          <w:bCs/>
          <w:sz w:val="16"/>
          <w:szCs w:val="16"/>
        </w:rPr>
        <w:t>a</w:t>
      </w:r>
      <w:r w:rsidRPr="00136891">
        <w:rPr>
          <w:bCs/>
          <w:sz w:val="16"/>
          <w:szCs w:val="16"/>
        </w:rPr>
        <w:t xml:space="preserve">). </w:t>
      </w:r>
      <w:r w:rsidRPr="00136891">
        <w:rPr>
          <w:bCs/>
          <w:i/>
          <w:iCs/>
          <w:sz w:val="16"/>
          <w:szCs w:val="16"/>
        </w:rPr>
        <w:t>Learning to solve problems: A handbook for designing problem-solving learning environments</w:t>
      </w:r>
      <w:r w:rsidRPr="00136891">
        <w:rPr>
          <w:bCs/>
          <w:sz w:val="16"/>
          <w:szCs w:val="16"/>
        </w:rPr>
        <w:t>. New York: Routledge.</w:t>
      </w:r>
    </w:p>
    <w:p w:rsidR="0015711E" w:rsidRPr="00015FB5" w:rsidRDefault="0015711E" w:rsidP="00015FB5">
      <w:pPr>
        <w:ind w:left="426" w:hanging="426"/>
        <w:rPr>
          <w:sz w:val="16"/>
          <w:szCs w:val="16"/>
        </w:rPr>
      </w:pPr>
      <w:r w:rsidRPr="00015FB5">
        <w:rPr>
          <w:sz w:val="16"/>
          <w:szCs w:val="16"/>
        </w:rPr>
        <w:t xml:space="preserve">Jonassen, D. </w:t>
      </w:r>
      <w:r>
        <w:rPr>
          <w:sz w:val="16"/>
          <w:szCs w:val="16"/>
        </w:rPr>
        <w:t xml:space="preserve">H. </w:t>
      </w:r>
      <w:r w:rsidRPr="00015FB5">
        <w:rPr>
          <w:sz w:val="16"/>
          <w:szCs w:val="16"/>
        </w:rPr>
        <w:t>(2011</w:t>
      </w:r>
      <w:r>
        <w:rPr>
          <w:sz w:val="16"/>
          <w:szCs w:val="16"/>
        </w:rPr>
        <w:t>b</w:t>
      </w:r>
      <w:r w:rsidRPr="00015FB5">
        <w:rPr>
          <w:sz w:val="16"/>
          <w:szCs w:val="16"/>
        </w:rPr>
        <w:t xml:space="preserve">). Supporting problem solving in PBL. </w:t>
      </w:r>
      <w:r w:rsidRPr="00015FB5">
        <w:rPr>
          <w:i/>
          <w:iCs/>
          <w:sz w:val="16"/>
          <w:szCs w:val="16"/>
        </w:rPr>
        <w:t>Interdisciplinary Journal of Problem-based Learning</w:t>
      </w:r>
      <w:r w:rsidRPr="00015FB5">
        <w:rPr>
          <w:sz w:val="16"/>
          <w:szCs w:val="16"/>
        </w:rPr>
        <w:t xml:space="preserve">, </w:t>
      </w:r>
      <w:r w:rsidRPr="00015FB5">
        <w:rPr>
          <w:i/>
          <w:iCs/>
          <w:sz w:val="16"/>
          <w:szCs w:val="16"/>
        </w:rPr>
        <w:t>5</w:t>
      </w:r>
      <w:r w:rsidRPr="00015FB5">
        <w:rPr>
          <w:sz w:val="16"/>
          <w:szCs w:val="16"/>
        </w:rPr>
        <w:t>(2), 95–119.</w:t>
      </w:r>
    </w:p>
    <w:p w:rsidR="0015711E" w:rsidRPr="00A32765" w:rsidRDefault="0015711E" w:rsidP="00A32765">
      <w:pPr>
        <w:ind w:left="426" w:hanging="426"/>
        <w:rPr>
          <w:sz w:val="16"/>
          <w:szCs w:val="16"/>
        </w:rPr>
      </w:pPr>
      <w:bookmarkStart w:id="131" w:name="_ENREF_35"/>
      <w:r w:rsidRPr="00A32765">
        <w:rPr>
          <w:sz w:val="16"/>
          <w:szCs w:val="16"/>
        </w:rPr>
        <w:t xml:space="preserve">Kanwischer, D., Köhler, P., Oertel, H., Rhode-Jüchtern, T., &amp; Uhlemann, K. (2004). </w:t>
      </w:r>
      <w:r w:rsidRPr="00A32765">
        <w:rPr>
          <w:i/>
          <w:sz w:val="16"/>
          <w:szCs w:val="16"/>
        </w:rPr>
        <w:t>Der Lehrer ist das Curriculum!? – Eine Studie zu Fortbildungsverhalten, Fachverständnis und Lehrstilen Thüringer Geographielehrer.</w:t>
      </w:r>
      <w:r w:rsidRPr="00A32765">
        <w:rPr>
          <w:sz w:val="16"/>
          <w:szCs w:val="16"/>
        </w:rPr>
        <w:t xml:space="preserve"> Bad Berka: ThILLM.</w:t>
      </w:r>
      <w:bookmarkEnd w:id="131"/>
    </w:p>
    <w:p w:rsidR="0015711E" w:rsidRPr="00714E41" w:rsidRDefault="0015711E" w:rsidP="00714E41">
      <w:pPr>
        <w:ind w:left="426" w:hanging="426"/>
        <w:rPr>
          <w:sz w:val="16"/>
          <w:szCs w:val="16"/>
        </w:rPr>
      </w:pPr>
      <w:r w:rsidRPr="00714E41">
        <w:rPr>
          <w:sz w:val="16"/>
          <w:szCs w:val="16"/>
        </w:rPr>
        <w:t>Kaščák, O., &amp; Pupala, B. (2012). </w:t>
      </w:r>
      <w:r w:rsidRPr="00714E41">
        <w:rPr>
          <w:i/>
          <w:iCs/>
          <w:sz w:val="16"/>
          <w:szCs w:val="16"/>
        </w:rPr>
        <w:t>Škola zlatých golierov: vzdelávanie v ére neoliberalizmu</w:t>
      </w:r>
      <w:r w:rsidRPr="00714E41">
        <w:rPr>
          <w:sz w:val="16"/>
          <w:szCs w:val="16"/>
        </w:rPr>
        <w:t>. Praha: Sociologické nakladatelství (SLON).</w:t>
      </w:r>
    </w:p>
    <w:p w:rsidR="0015711E" w:rsidRPr="006B2AFF" w:rsidRDefault="0015711E" w:rsidP="006B2AFF">
      <w:pPr>
        <w:ind w:left="426" w:hanging="426"/>
        <w:rPr>
          <w:sz w:val="16"/>
          <w:szCs w:val="16"/>
        </w:rPr>
      </w:pPr>
      <w:r w:rsidRPr="000574E2">
        <w:rPr>
          <w:sz w:val="16"/>
          <w:szCs w:val="16"/>
        </w:rPr>
        <w:t xml:space="preserve">Kegan, R. (2001). Competencies as working epistemologies: Ways we want adults to know. In D. S. Rychen &amp; L. H. Salganik (Eds.), </w:t>
      </w:r>
      <w:r w:rsidRPr="005A6958">
        <w:rPr>
          <w:i/>
          <w:sz w:val="16"/>
          <w:szCs w:val="16"/>
        </w:rPr>
        <w:t>Defining and selecting key competencies</w:t>
      </w:r>
      <w:r w:rsidRPr="000574E2">
        <w:rPr>
          <w:sz w:val="16"/>
          <w:szCs w:val="16"/>
        </w:rPr>
        <w:t xml:space="preserve"> (s. 192–204). Seattle: Hogrefe &amp; Huber.</w:t>
      </w:r>
    </w:p>
    <w:p w:rsidR="00B5279B" w:rsidRDefault="00B5279B" w:rsidP="008473B0">
      <w:pPr>
        <w:ind w:left="426" w:hanging="426"/>
        <w:rPr>
          <w:sz w:val="16"/>
          <w:szCs w:val="16"/>
        </w:rPr>
      </w:pPr>
      <w:r w:rsidRPr="008473B0">
        <w:rPr>
          <w:sz w:val="16"/>
          <w:szCs w:val="16"/>
        </w:rPr>
        <w:t xml:space="preserve">Keller, J., &amp; Tvrdý, L. (2008). </w:t>
      </w:r>
      <w:r w:rsidRPr="008473B0">
        <w:rPr>
          <w:i/>
          <w:sz w:val="16"/>
          <w:szCs w:val="16"/>
        </w:rPr>
        <w:t xml:space="preserve">Vzdělanostní společnost? Chrám, výtah a pojišťovna. </w:t>
      </w:r>
      <w:r w:rsidRPr="008473B0">
        <w:rPr>
          <w:sz w:val="16"/>
          <w:szCs w:val="16"/>
        </w:rPr>
        <w:t>Praha: SLON.</w:t>
      </w:r>
    </w:p>
    <w:p w:rsidR="00B5279B" w:rsidRPr="005C45D2" w:rsidRDefault="00B5279B" w:rsidP="005C45D2">
      <w:pPr>
        <w:ind w:left="426" w:hanging="426"/>
        <w:rPr>
          <w:bCs/>
          <w:iCs/>
          <w:sz w:val="16"/>
          <w:szCs w:val="16"/>
        </w:rPr>
      </w:pPr>
      <w:r w:rsidRPr="005C45D2">
        <w:rPr>
          <w:bCs/>
          <w:iCs/>
          <w:sz w:val="16"/>
          <w:szCs w:val="16"/>
        </w:rPr>
        <w:t xml:space="preserve">Keller, L. (2009). Leistungsüberprüfung im GW-Unterricht – von der W-frage zum transparenten Testformat. </w:t>
      </w:r>
      <w:r>
        <w:rPr>
          <w:bCs/>
          <w:iCs/>
          <w:sz w:val="16"/>
          <w:szCs w:val="16"/>
        </w:rPr>
        <w:t>Teil 1/</w:t>
      </w:r>
      <w:r w:rsidRPr="005C45D2">
        <w:rPr>
          <w:bCs/>
          <w:iCs/>
          <w:sz w:val="16"/>
          <w:szCs w:val="16"/>
        </w:rPr>
        <w:t xml:space="preserve">Teil </w:t>
      </w:r>
      <w:r>
        <w:rPr>
          <w:bCs/>
          <w:iCs/>
          <w:sz w:val="16"/>
          <w:szCs w:val="16"/>
        </w:rPr>
        <w:t>2</w:t>
      </w:r>
      <w:r w:rsidRPr="005C45D2">
        <w:rPr>
          <w:bCs/>
          <w:iCs/>
          <w:sz w:val="16"/>
          <w:szCs w:val="16"/>
        </w:rPr>
        <w:t xml:space="preserve">. </w:t>
      </w:r>
      <w:r w:rsidRPr="00563165">
        <w:rPr>
          <w:bCs/>
          <w:i/>
          <w:iCs/>
          <w:sz w:val="16"/>
          <w:szCs w:val="16"/>
        </w:rPr>
        <w:t>GW Unterricht, 114</w:t>
      </w:r>
      <w:r w:rsidRPr="005C45D2">
        <w:rPr>
          <w:bCs/>
          <w:iCs/>
          <w:sz w:val="16"/>
          <w:szCs w:val="16"/>
        </w:rPr>
        <w:t xml:space="preserve">, </w:t>
      </w:r>
      <w:r w:rsidRPr="005C45D2">
        <w:rPr>
          <w:bCs/>
          <w:iCs/>
          <w:sz w:val="16"/>
          <w:szCs w:val="16"/>
          <w:lang w:val="de-DE"/>
        </w:rPr>
        <w:t>11–18</w:t>
      </w:r>
      <w:r>
        <w:rPr>
          <w:bCs/>
          <w:iCs/>
          <w:sz w:val="16"/>
          <w:szCs w:val="16"/>
          <w:lang w:val="de-DE"/>
        </w:rPr>
        <w:t xml:space="preserve">; </w:t>
      </w:r>
      <w:r w:rsidR="00E56967" w:rsidRPr="00563165">
        <w:rPr>
          <w:bCs/>
          <w:i/>
          <w:iCs/>
          <w:sz w:val="16"/>
          <w:szCs w:val="16"/>
        </w:rPr>
        <w:t>11</w:t>
      </w:r>
      <w:r w:rsidR="00E56967">
        <w:rPr>
          <w:bCs/>
          <w:i/>
          <w:iCs/>
          <w:sz w:val="16"/>
          <w:szCs w:val="16"/>
        </w:rPr>
        <w:t xml:space="preserve">5, </w:t>
      </w:r>
      <w:r w:rsidRPr="005C45D2">
        <w:rPr>
          <w:bCs/>
          <w:iCs/>
          <w:sz w:val="16"/>
          <w:szCs w:val="16"/>
        </w:rPr>
        <w:t>25</w:t>
      </w:r>
      <w:r>
        <w:rPr>
          <w:bCs/>
          <w:iCs/>
          <w:sz w:val="16"/>
          <w:szCs w:val="16"/>
        </w:rPr>
        <w:t>–</w:t>
      </w:r>
      <w:r w:rsidRPr="005C45D2">
        <w:rPr>
          <w:bCs/>
          <w:iCs/>
          <w:sz w:val="16"/>
          <w:szCs w:val="16"/>
        </w:rPr>
        <w:t xml:space="preserve">34. </w:t>
      </w:r>
    </w:p>
    <w:p w:rsidR="0015711E" w:rsidRPr="00CE5E1B" w:rsidRDefault="0015711E" w:rsidP="00CE5E1B">
      <w:pPr>
        <w:ind w:left="426" w:hanging="426"/>
        <w:rPr>
          <w:bCs/>
          <w:iCs/>
          <w:sz w:val="16"/>
          <w:szCs w:val="16"/>
        </w:rPr>
      </w:pPr>
      <w:r w:rsidRPr="00CE5E1B">
        <w:rPr>
          <w:bCs/>
          <w:iCs/>
          <w:sz w:val="16"/>
          <w:szCs w:val="16"/>
        </w:rPr>
        <w:t>Keller, L. (2012). Operatoren als Schlüssel zur Schulu</w:t>
      </w:r>
      <w:r>
        <w:rPr>
          <w:bCs/>
          <w:iCs/>
          <w:sz w:val="16"/>
          <w:szCs w:val="16"/>
        </w:rPr>
        <w:t>ng und Überprüfung von Kompeten</w:t>
      </w:r>
      <w:r w:rsidRPr="00CE5E1B">
        <w:rPr>
          <w:bCs/>
          <w:iCs/>
          <w:sz w:val="16"/>
          <w:szCs w:val="16"/>
        </w:rPr>
        <w:t>zen</w:t>
      </w:r>
      <w:r>
        <w:rPr>
          <w:bCs/>
          <w:iCs/>
          <w:sz w:val="16"/>
          <w:szCs w:val="16"/>
        </w:rPr>
        <w:t xml:space="preserve"> </w:t>
      </w:r>
      <w:r w:rsidRPr="00CE5E1B">
        <w:rPr>
          <w:bCs/>
          <w:iCs/>
          <w:sz w:val="16"/>
          <w:szCs w:val="16"/>
        </w:rPr>
        <w:t>–</w:t>
      </w:r>
      <w:r w:rsidR="00E56967">
        <w:rPr>
          <w:bCs/>
          <w:iCs/>
          <w:sz w:val="16"/>
          <w:szCs w:val="16"/>
        </w:rPr>
        <w:t xml:space="preserve"> </w:t>
      </w:r>
      <w:r w:rsidRPr="00CE5E1B">
        <w:rPr>
          <w:bCs/>
          <w:iCs/>
          <w:sz w:val="16"/>
          <w:szCs w:val="16"/>
        </w:rPr>
        <w:t xml:space="preserve">Hoffnungen und Störfaktoren. </w:t>
      </w:r>
      <w:r w:rsidRPr="00563165">
        <w:rPr>
          <w:bCs/>
          <w:i/>
          <w:iCs/>
          <w:sz w:val="16"/>
          <w:szCs w:val="16"/>
        </w:rPr>
        <w:t>Geographie und ihre Didaktik, 40</w:t>
      </w:r>
      <w:r w:rsidRPr="00CE5E1B">
        <w:rPr>
          <w:bCs/>
          <w:iCs/>
          <w:sz w:val="16"/>
          <w:szCs w:val="16"/>
        </w:rPr>
        <w:t>(4), 184</w:t>
      </w:r>
      <w:r>
        <w:rPr>
          <w:bCs/>
          <w:iCs/>
          <w:sz w:val="16"/>
          <w:szCs w:val="16"/>
        </w:rPr>
        <w:t>–</w:t>
      </w:r>
      <w:r w:rsidRPr="00CE5E1B">
        <w:rPr>
          <w:bCs/>
          <w:iCs/>
          <w:sz w:val="16"/>
          <w:szCs w:val="16"/>
        </w:rPr>
        <w:t xml:space="preserve">194. </w:t>
      </w:r>
    </w:p>
    <w:p w:rsidR="0015711E" w:rsidRPr="00560BE5" w:rsidRDefault="0015711E" w:rsidP="00560BE5">
      <w:pPr>
        <w:ind w:left="426" w:hanging="426"/>
        <w:rPr>
          <w:sz w:val="16"/>
          <w:szCs w:val="16"/>
        </w:rPr>
      </w:pPr>
      <w:r w:rsidRPr="00560BE5">
        <w:rPr>
          <w:i/>
          <w:sz w:val="16"/>
          <w:szCs w:val="16"/>
        </w:rPr>
        <w:t xml:space="preserve">Key </w:t>
      </w:r>
      <w:r>
        <w:rPr>
          <w:i/>
          <w:sz w:val="16"/>
          <w:szCs w:val="16"/>
        </w:rPr>
        <w:t>c</w:t>
      </w:r>
      <w:r w:rsidRPr="00560BE5">
        <w:rPr>
          <w:i/>
          <w:sz w:val="16"/>
          <w:szCs w:val="16"/>
        </w:rPr>
        <w:t xml:space="preserve">ompetencies. A developing concept in general compulsory education </w:t>
      </w:r>
      <w:r w:rsidRPr="0096491F">
        <w:rPr>
          <w:sz w:val="16"/>
          <w:szCs w:val="16"/>
        </w:rPr>
        <w:t xml:space="preserve">(2002). </w:t>
      </w:r>
      <w:r w:rsidRPr="00560BE5">
        <w:rPr>
          <w:sz w:val="16"/>
          <w:szCs w:val="16"/>
        </w:rPr>
        <w:t>Brussels: EURYDICE.</w:t>
      </w:r>
    </w:p>
    <w:p w:rsidR="0015711E" w:rsidRPr="006320FD" w:rsidRDefault="0015711E" w:rsidP="006320FD">
      <w:pPr>
        <w:ind w:left="426" w:hanging="426"/>
        <w:rPr>
          <w:bCs/>
          <w:iCs/>
          <w:sz w:val="16"/>
          <w:szCs w:val="16"/>
        </w:rPr>
      </w:pPr>
      <w:r w:rsidRPr="006320FD">
        <w:rPr>
          <w:bCs/>
          <w:iCs/>
          <w:sz w:val="16"/>
          <w:szCs w:val="16"/>
        </w:rPr>
        <w:t xml:space="preserve">Keylock, C. J. (2006). Reforming AS/A2 physical geography to enhance geographic scholarship. </w:t>
      </w:r>
      <w:r w:rsidRPr="00563165">
        <w:rPr>
          <w:bCs/>
          <w:i/>
          <w:iCs/>
          <w:sz w:val="16"/>
          <w:szCs w:val="16"/>
        </w:rPr>
        <w:t>Geography, 91</w:t>
      </w:r>
      <w:r w:rsidRPr="006320FD">
        <w:rPr>
          <w:bCs/>
          <w:iCs/>
          <w:sz w:val="16"/>
          <w:szCs w:val="16"/>
        </w:rPr>
        <w:t>(3),</w:t>
      </w:r>
      <w:r>
        <w:rPr>
          <w:bCs/>
          <w:iCs/>
          <w:sz w:val="16"/>
          <w:szCs w:val="16"/>
        </w:rPr>
        <w:t xml:space="preserve"> </w:t>
      </w:r>
      <w:r w:rsidRPr="006320FD">
        <w:rPr>
          <w:bCs/>
          <w:iCs/>
          <w:sz w:val="16"/>
          <w:szCs w:val="16"/>
        </w:rPr>
        <w:t>272</w:t>
      </w:r>
      <w:r>
        <w:rPr>
          <w:bCs/>
          <w:iCs/>
          <w:sz w:val="16"/>
          <w:szCs w:val="16"/>
        </w:rPr>
        <w:t>–</w:t>
      </w:r>
      <w:r w:rsidRPr="006320FD">
        <w:rPr>
          <w:bCs/>
          <w:iCs/>
          <w:sz w:val="16"/>
          <w:szCs w:val="16"/>
        </w:rPr>
        <w:t>279.</w:t>
      </w:r>
    </w:p>
    <w:p w:rsidR="005520CD" w:rsidRDefault="005520CD" w:rsidP="005520CD">
      <w:pPr>
        <w:ind w:left="426" w:hanging="426"/>
        <w:rPr>
          <w:sz w:val="16"/>
          <w:szCs w:val="16"/>
        </w:rPr>
      </w:pPr>
      <w:r w:rsidRPr="005520CD">
        <w:rPr>
          <w:sz w:val="16"/>
          <w:szCs w:val="16"/>
        </w:rPr>
        <w:t>Kiper, H., Meints, W., Peters, S., Schlump, S., &amp; Schm</w:t>
      </w:r>
      <w:r>
        <w:rPr>
          <w:sz w:val="16"/>
          <w:szCs w:val="16"/>
        </w:rPr>
        <w:t xml:space="preserve">it, S. (Eds.). (2010). </w:t>
      </w:r>
      <w:r w:rsidRPr="005520CD">
        <w:rPr>
          <w:i/>
          <w:sz w:val="16"/>
          <w:szCs w:val="16"/>
        </w:rPr>
        <w:t xml:space="preserve">Lernaufgaben und Lernmaterialien im kompetenzorientierten Unterricht. </w:t>
      </w:r>
      <w:r>
        <w:rPr>
          <w:sz w:val="16"/>
          <w:szCs w:val="16"/>
        </w:rPr>
        <w:t>Stuttgart: Kohlhammer.</w:t>
      </w:r>
    </w:p>
    <w:p w:rsidR="00820B58" w:rsidRPr="00820B58" w:rsidRDefault="00820B58" w:rsidP="00820B58">
      <w:pPr>
        <w:ind w:left="426" w:hanging="426"/>
        <w:rPr>
          <w:sz w:val="16"/>
          <w:szCs w:val="16"/>
        </w:rPr>
      </w:pPr>
      <w:r w:rsidRPr="00820B58">
        <w:rPr>
          <w:sz w:val="16"/>
          <w:szCs w:val="16"/>
        </w:rPr>
        <w:t xml:space="preserve">Kleinknecht, M. (2010). </w:t>
      </w:r>
      <w:r w:rsidRPr="00820B58">
        <w:rPr>
          <w:i/>
          <w:iCs/>
          <w:sz w:val="16"/>
          <w:szCs w:val="16"/>
        </w:rPr>
        <w:t>Aufgabenkultur im Unterricht: eine empirisch-didaktische Video-und Interviewstudie an Hauptschulen</w:t>
      </w:r>
      <w:r w:rsidRPr="00820B58">
        <w:rPr>
          <w:sz w:val="16"/>
          <w:szCs w:val="16"/>
        </w:rPr>
        <w:t>. Hohengehren: Schneider-Verlag.</w:t>
      </w:r>
    </w:p>
    <w:p w:rsidR="0015711E" w:rsidRPr="00DB3FBB" w:rsidRDefault="0015711E" w:rsidP="00DB3FBB">
      <w:pPr>
        <w:ind w:left="426" w:hanging="426"/>
        <w:rPr>
          <w:sz w:val="16"/>
          <w:szCs w:val="16"/>
        </w:rPr>
      </w:pPr>
      <w:r w:rsidRPr="00DB3FBB">
        <w:rPr>
          <w:sz w:val="16"/>
          <w:szCs w:val="16"/>
        </w:rPr>
        <w:t xml:space="preserve">Kličková (1983). </w:t>
      </w:r>
      <w:r w:rsidRPr="00402176">
        <w:rPr>
          <w:i/>
          <w:sz w:val="16"/>
          <w:szCs w:val="16"/>
        </w:rPr>
        <w:t>Analýza myšlenkové činnosti žáků při řešení problémových úloh ve fyzice.</w:t>
      </w:r>
      <w:r w:rsidRPr="00DB3FBB">
        <w:rPr>
          <w:sz w:val="16"/>
          <w:szCs w:val="16"/>
        </w:rPr>
        <w:t xml:space="preserve"> Praha: Pedagogické čtení</w:t>
      </w:r>
      <w:r>
        <w:rPr>
          <w:sz w:val="16"/>
          <w:szCs w:val="16"/>
        </w:rPr>
        <w:t>.</w:t>
      </w:r>
    </w:p>
    <w:p w:rsidR="0015711E" w:rsidRPr="005434D2" w:rsidRDefault="0015711E" w:rsidP="005434D2">
      <w:pPr>
        <w:ind w:left="426" w:hanging="426"/>
        <w:rPr>
          <w:bCs/>
          <w:sz w:val="16"/>
          <w:szCs w:val="16"/>
        </w:rPr>
      </w:pPr>
      <w:r w:rsidRPr="005434D2">
        <w:rPr>
          <w:bCs/>
          <w:sz w:val="16"/>
          <w:szCs w:val="16"/>
        </w:rPr>
        <w:t xml:space="preserve">Kličková, M. (1989). </w:t>
      </w:r>
      <w:r w:rsidRPr="005434D2">
        <w:rPr>
          <w:bCs/>
          <w:i/>
          <w:sz w:val="16"/>
          <w:szCs w:val="16"/>
        </w:rPr>
        <w:t>Problémové vyučování ve školní praxi.</w:t>
      </w:r>
      <w:r w:rsidRPr="005434D2">
        <w:rPr>
          <w:bCs/>
          <w:sz w:val="16"/>
          <w:szCs w:val="16"/>
        </w:rPr>
        <w:t xml:space="preserve"> Praha: SPN.</w:t>
      </w:r>
    </w:p>
    <w:p w:rsidR="0015711E" w:rsidRPr="007C0E29" w:rsidRDefault="0015711E" w:rsidP="007C0E29">
      <w:pPr>
        <w:ind w:left="426" w:hanging="426"/>
        <w:rPr>
          <w:bCs/>
          <w:sz w:val="16"/>
          <w:szCs w:val="16"/>
        </w:rPr>
      </w:pPr>
      <w:r w:rsidRPr="007C0E29">
        <w:rPr>
          <w:bCs/>
          <w:sz w:val="16"/>
          <w:szCs w:val="16"/>
        </w:rPr>
        <w:t xml:space="preserve">Klieme, E., &amp; Leutner, D. (2006). Kompetenzmodelle zur Erfassung individueller Lernergebnisse und zur Bilanzierung von Bildungsprozessen. Beschreibung eines neu eingrichteten Schwerpunktprogramms der DFG. </w:t>
      </w:r>
      <w:r w:rsidRPr="007C0E29">
        <w:rPr>
          <w:bCs/>
          <w:i/>
          <w:sz w:val="16"/>
          <w:szCs w:val="16"/>
        </w:rPr>
        <w:t>Zeitschrift für Pädagogik, 52</w:t>
      </w:r>
      <w:r w:rsidRPr="007C0E29">
        <w:rPr>
          <w:bCs/>
          <w:sz w:val="16"/>
          <w:szCs w:val="16"/>
        </w:rPr>
        <w:t>(6), 876–903.</w:t>
      </w:r>
    </w:p>
    <w:p w:rsidR="0015711E" w:rsidRPr="007C0E29" w:rsidRDefault="0015711E" w:rsidP="007C0E29">
      <w:pPr>
        <w:ind w:left="426" w:hanging="426"/>
        <w:rPr>
          <w:bCs/>
          <w:sz w:val="16"/>
          <w:szCs w:val="16"/>
        </w:rPr>
      </w:pPr>
      <w:r w:rsidRPr="007C0E29">
        <w:rPr>
          <w:bCs/>
          <w:sz w:val="16"/>
          <w:szCs w:val="16"/>
        </w:rPr>
        <w:t xml:space="preserve">Klieme, E., &amp; Leutner, D. (2006). </w:t>
      </w:r>
      <w:r w:rsidRPr="007C0E29">
        <w:rPr>
          <w:bCs/>
          <w:i/>
          <w:sz w:val="16"/>
          <w:szCs w:val="16"/>
        </w:rPr>
        <w:t>Kompetenzmodelle zur Erfassung individueller Lernergebnisse und zur Bilanzierung von Bildungsprozessen.</w:t>
      </w:r>
      <w:r w:rsidRPr="007C0E29">
        <w:rPr>
          <w:bCs/>
          <w:sz w:val="16"/>
          <w:szCs w:val="16"/>
        </w:rPr>
        <w:t xml:space="preserve"> Dostupné z http://kompetenzmodelle.dipf.de/de/schwerpunktprogramm/pdf/rahmenantrag</w:t>
      </w:r>
    </w:p>
    <w:p w:rsidR="0015711E" w:rsidRDefault="0015711E" w:rsidP="00015FB5">
      <w:pPr>
        <w:ind w:left="426" w:hanging="426"/>
        <w:rPr>
          <w:sz w:val="16"/>
          <w:szCs w:val="16"/>
          <w:lang w:val="de-DE"/>
        </w:rPr>
      </w:pPr>
      <w:r w:rsidRPr="00015FB5">
        <w:rPr>
          <w:sz w:val="16"/>
          <w:szCs w:val="16"/>
          <w:lang w:val="de-DE"/>
        </w:rPr>
        <w:t xml:space="preserve">Klieme, E., Artelt, C., &amp; Stanat, P. (2001). Fächerübergreifende Kompetenzen: Konzepte und Indikatoren. In F. E. Weinert (Ed.), </w:t>
      </w:r>
      <w:r w:rsidRPr="00015FB5">
        <w:rPr>
          <w:i/>
          <w:iCs/>
          <w:sz w:val="16"/>
          <w:szCs w:val="16"/>
          <w:lang w:val="de-DE"/>
        </w:rPr>
        <w:t>Leistungsmessungen in Schulen</w:t>
      </w:r>
      <w:r w:rsidRPr="00015FB5">
        <w:rPr>
          <w:sz w:val="16"/>
          <w:szCs w:val="16"/>
          <w:lang w:val="de-DE"/>
        </w:rPr>
        <w:t xml:space="preserve"> (s. 203</w:t>
      </w:r>
      <w:r>
        <w:rPr>
          <w:sz w:val="16"/>
          <w:szCs w:val="16"/>
          <w:lang w:val="de-DE"/>
        </w:rPr>
        <w:t>–</w:t>
      </w:r>
      <w:r w:rsidRPr="00015FB5">
        <w:rPr>
          <w:sz w:val="16"/>
          <w:szCs w:val="16"/>
          <w:lang w:val="de-DE"/>
        </w:rPr>
        <w:t>218). Weinheim: Beltz</w:t>
      </w:r>
      <w:r>
        <w:rPr>
          <w:sz w:val="16"/>
          <w:szCs w:val="16"/>
          <w:lang w:val="de-DE"/>
        </w:rPr>
        <w:t>.</w:t>
      </w:r>
    </w:p>
    <w:p w:rsidR="0015711E" w:rsidRDefault="0015711E" w:rsidP="00015FB5">
      <w:pPr>
        <w:ind w:left="426" w:hanging="426"/>
        <w:rPr>
          <w:sz w:val="16"/>
          <w:szCs w:val="16"/>
        </w:rPr>
      </w:pPr>
      <w:r w:rsidRPr="00033AE8">
        <w:rPr>
          <w:sz w:val="16"/>
          <w:szCs w:val="16"/>
        </w:rPr>
        <w:t xml:space="preserve">Klieme, E., Funke, J., Leutner, D., Reimann, P., &amp; Wirth, J. (2001). Problemlösen als fächerübergreifende Kompetenz. Konzeption und erste Resultate aus einer Schulleistungsstudie. </w:t>
      </w:r>
      <w:r w:rsidRPr="00CB3387">
        <w:rPr>
          <w:i/>
          <w:sz w:val="16"/>
          <w:szCs w:val="16"/>
        </w:rPr>
        <w:t>Zeitschrift für Pädagogik, 47</w:t>
      </w:r>
      <w:r w:rsidRPr="00033AE8">
        <w:rPr>
          <w:sz w:val="16"/>
          <w:szCs w:val="16"/>
        </w:rPr>
        <w:t>(2), 179–200.</w:t>
      </w:r>
    </w:p>
    <w:p w:rsidR="0015711E" w:rsidRPr="00560BE5" w:rsidRDefault="0015711E" w:rsidP="00560BE5">
      <w:pPr>
        <w:ind w:left="426" w:hanging="426"/>
        <w:rPr>
          <w:sz w:val="16"/>
          <w:szCs w:val="16"/>
        </w:rPr>
      </w:pPr>
      <w:r w:rsidRPr="00560BE5">
        <w:rPr>
          <w:sz w:val="16"/>
          <w:szCs w:val="16"/>
        </w:rPr>
        <w:t xml:space="preserve">Klieme, E., Hartig, J., &amp; Rauch, D. (2008). The concept of competence in educational contexts. In J. Hartig, E. Klieme, &amp; D. Leutner (Eds.), </w:t>
      </w:r>
      <w:r w:rsidRPr="00560BE5">
        <w:rPr>
          <w:i/>
          <w:sz w:val="16"/>
          <w:szCs w:val="16"/>
        </w:rPr>
        <w:t xml:space="preserve">Assessment of </w:t>
      </w:r>
      <w:r>
        <w:rPr>
          <w:i/>
          <w:sz w:val="16"/>
          <w:szCs w:val="16"/>
        </w:rPr>
        <w:t>c</w:t>
      </w:r>
      <w:r w:rsidRPr="00560BE5">
        <w:rPr>
          <w:i/>
          <w:sz w:val="16"/>
          <w:szCs w:val="16"/>
        </w:rPr>
        <w:t xml:space="preserve">ompetencies in </w:t>
      </w:r>
      <w:r>
        <w:rPr>
          <w:i/>
          <w:sz w:val="16"/>
          <w:szCs w:val="16"/>
        </w:rPr>
        <w:t>e</w:t>
      </w:r>
      <w:r w:rsidRPr="00560BE5">
        <w:rPr>
          <w:i/>
          <w:sz w:val="16"/>
          <w:szCs w:val="16"/>
        </w:rPr>
        <w:t xml:space="preserve">ducational </w:t>
      </w:r>
      <w:r>
        <w:rPr>
          <w:i/>
          <w:sz w:val="16"/>
          <w:szCs w:val="16"/>
        </w:rPr>
        <w:t>c</w:t>
      </w:r>
      <w:r w:rsidRPr="00560BE5">
        <w:rPr>
          <w:i/>
          <w:sz w:val="16"/>
          <w:szCs w:val="16"/>
        </w:rPr>
        <w:t xml:space="preserve">ontexts </w:t>
      </w:r>
      <w:r>
        <w:rPr>
          <w:sz w:val="16"/>
          <w:szCs w:val="16"/>
        </w:rPr>
        <w:t>(s. 3–22). Göttingen: Hogrefe.</w:t>
      </w:r>
      <w:r w:rsidRPr="00560BE5">
        <w:rPr>
          <w:sz w:val="16"/>
          <w:szCs w:val="16"/>
        </w:rPr>
        <w:t xml:space="preserve"> </w:t>
      </w:r>
    </w:p>
    <w:p w:rsidR="0015711E" w:rsidRPr="009B1B4C" w:rsidRDefault="0015711E" w:rsidP="00FB7088">
      <w:pPr>
        <w:ind w:left="426" w:hanging="426"/>
        <w:rPr>
          <w:bCs/>
          <w:sz w:val="16"/>
          <w:szCs w:val="16"/>
          <w:lang w:val="de-DE"/>
        </w:rPr>
      </w:pPr>
      <w:r w:rsidRPr="00FB7088">
        <w:rPr>
          <w:bCs/>
          <w:sz w:val="16"/>
          <w:szCs w:val="16"/>
          <w:lang w:val="de-DE"/>
        </w:rPr>
        <w:t>Klieme, E.</w:t>
      </w:r>
      <w:r>
        <w:rPr>
          <w:bCs/>
          <w:sz w:val="16"/>
          <w:szCs w:val="16"/>
          <w:lang w:val="de-DE"/>
        </w:rPr>
        <w:t>,</w:t>
      </w:r>
      <w:r w:rsidRPr="00FB7088">
        <w:rPr>
          <w:bCs/>
          <w:sz w:val="16"/>
          <w:szCs w:val="16"/>
          <w:lang w:val="de-DE"/>
        </w:rPr>
        <w:t xml:space="preserve"> Maag-Merki, K.</w:t>
      </w:r>
      <w:r>
        <w:rPr>
          <w:bCs/>
          <w:sz w:val="16"/>
          <w:szCs w:val="16"/>
          <w:lang w:val="de-DE"/>
        </w:rPr>
        <w:t>, &amp;</w:t>
      </w:r>
      <w:r w:rsidRPr="00FB7088">
        <w:rPr>
          <w:bCs/>
          <w:sz w:val="16"/>
          <w:szCs w:val="16"/>
          <w:lang w:val="de-DE"/>
        </w:rPr>
        <w:t xml:space="preserve"> Hartig, J. (2007). </w:t>
      </w:r>
      <w:r w:rsidRPr="00FB7088">
        <w:rPr>
          <w:bCs/>
          <w:i/>
          <w:iCs/>
          <w:sz w:val="16"/>
          <w:szCs w:val="16"/>
          <w:lang w:val="de-DE"/>
        </w:rPr>
        <w:t xml:space="preserve">Möglichkeiten und Voraussetzungen technologiebasierter Kompetenzdiagnostik. </w:t>
      </w:r>
      <w:r w:rsidRPr="009B1B4C">
        <w:rPr>
          <w:bCs/>
          <w:sz w:val="16"/>
          <w:szCs w:val="16"/>
          <w:lang w:val="de-DE"/>
        </w:rPr>
        <w:t>Bonn: BMBF.</w:t>
      </w:r>
    </w:p>
    <w:p w:rsidR="0015711E" w:rsidRPr="007C0E29" w:rsidRDefault="0015711E" w:rsidP="007C0E29">
      <w:pPr>
        <w:ind w:left="426" w:hanging="426"/>
        <w:rPr>
          <w:sz w:val="16"/>
          <w:szCs w:val="16"/>
        </w:rPr>
      </w:pPr>
      <w:r w:rsidRPr="007C0E29">
        <w:rPr>
          <w:sz w:val="16"/>
          <w:szCs w:val="16"/>
        </w:rPr>
        <w:t xml:space="preserve">Klieme, E., Maag-Merki, </w:t>
      </w:r>
      <w:r>
        <w:rPr>
          <w:sz w:val="16"/>
          <w:szCs w:val="16"/>
        </w:rPr>
        <w:t xml:space="preserve">K., </w:t>
      </w:r>
      <w:r w:rsidRPr="007C0E29">
        <w:rPr>
          <w:sz w:val="16"/>
          <w:szCs w:val="16"/>
        </w:rPr>
        <w:t xml:space="preserve">&amp; Hartig, J. (2010). Kompetence a jejich význam ve vzdělávání. </w:t>
      </w:r>
      <w:r w:rsidRPr="007C0E29">
        <w:rPr>
          <w:i/>
          <w:sz w:val="16"/>
          <w:szCs w:val="16"/>
        </w:rPr>
        <w:t>Pedagogická orientace, 20</w:t>
      </w:r>
      <w:r w:rsidRPr="007C0E29">
        <w:rPr>
          <w:sz w:val="16"/>
          <w:szCs w:val="16"/>
        </w:rPr>
        <w:t>(1), 104–119.</w:t>
      </w:r>
    </w:p>
    <w:p w:rsidR="0015711E" w:rsidRPr="006346E5" w:rsidRDefault="0015711E" w:rsidP="006346E5">
      <w:pPr>
        <w:ind w:left="426" w:hanging="426"/>
        <w:rPr>
          <w:sz w:val="16"/>
          <w:szCs w:val="16"/>
        </w:rPr>
      </w:pPr>
      <w:r w:rsidRPr="006346E5">
        <w:rPr>
          <w:sz w:val="16"/>
          <w:szCs w:val="16"/>
        </w:rPr>
        <w:t xml:space="preserve">Kluwe, R. H. (1995). Single case studies and models of complex problem solving. In P. A. Frensch &amp; J. Funke (Eds.), </w:t>
      </w:r>
      <w:r w:rsidRPr="006346E5">
        <w:rPr>
          <w:i/>
          <w:sz w:val="16"/>
          <w:szCs w:val="16"/>
        </w:rPr>
        <w:t>Complex problem solving: The European perspective</w:t>
      </w:r>
      <w:r w:rsidRPr="006346E5">
        <w:rPr>
          <w:sz w:val="16"/>
          <w:szCs w:val="16"/>
        </w:rPr>
        <w:t xml:space="preserve"> (</w:t>
      </w:r>
      <w:r>
        <w:rPr>
          <w:sz w:val="16"/>
          <w:szCs w:val="16"/>
        </w:rPr>
        <w:t xml:space="preserve">s. </w:t>
      </w:r>
      <w:r w:rsidRPr="006346E5">
        <w:rPr>
          <w:sz w:val="16"/>
          <w:szCs w:val="16"/>
        </w:rPr>
        <w:t>269–291). Hillsdale: Lawrence Erlbaum Associates.</w:t>
      </w:r>
    </w:p>
    <w:p w:rsidR="0015711E" w:rsidRPr="001D60CE" w:rsidRDefault="0015711E" w:rsidP="001D60CE">
      <w:pPr>
        <w:ind w:left="426" w:hanging="426"/>
        <w:rPr>
          <w:bCs/>
          <w:sz w:val="16"/>
          <w:szCs w:val="16"/>
        </w:rPr>
      </w:pPr>
      <w:r w:rsidRPr="001D60CE">
        <w:rPr>
          <w:bCs/>
          <w:sz w:val="16"/>
          <w:szCs w:val="16"/>
        </w:rPr>
        <w:t xml:space="preserve">Knecht, P. (2008). Pojmy v učebnicích zeměpisu a jejich přiměřenost věku žáků. </w:t>
      </w:r>
      <w:r w:rsidRPr="001D60CE">
        <w:rPr>
          <w:bCs/>
          <w:i/>
          <w:iCs/>
          <w:sz w:val="16"/>
          <w:szCs w:val="16"/>
        </w:rPr>
        <w:t>Pedagogická orientace</w:t>
      </w:r>
      <w:r w:rsidRPr="001D60CE">
        <w:rPr>
          <w:bCs/>
          <w:sz w:val="16"/>
          <w:szCs w:val="16"/>
        </w:rPr>
        <w:t xml:space="preserve">, </w:t>
      </w:r>
      <w:r w:rsidRPr="001D60CE">
        <w:rPr>
          <w:bCs/>
          <w:i/>
          <w:iCs/>
          <w:sz w:val="16"/>
          <w:szCs w:val="16"/>
        </w:rPr>
        <w:t>18</w:t>
      </w:r>
      <w:r w:rsidRPr="001D60CE">
        <w:rPr>
          <w:bCs/>
          <w:sz w:val="16"/>
          <w:szCs w:val="16"/>
        </w:rPr>
        <w:t>(2), 22–36.</w:t>
      </w:r>
    </w:p>
    <w:p w:rsidR="0015711E" w:rsidRPr="00EA1E62" w:rsidRDefault="0015711E" w:rsidP="00EA1E62">
      <w:pPr>
        <w:ind w:left="426" w:hanging="426"/>
        <w:rPr>
          <w:sz w:val="16"/>
          <w:szCs w:val="16"/>
        </w:rPr>
      </w:pPr>
      <w:r w:rsidRPr="00EA1E62">
        <w:rPr>
          <w:sz w:val="16"/>
          <w:szCs w:val="16"/>
        </w:rPr>
        <w:t>Knecht, P. (2011). Případová studie Zeměpis: Člověk a příroda anebo člověk a společnost? In M. Píšová, K. Kostková, &amp; T. Janík (</w:t>
      </w:r>
      <w:r>
        <w:rPr>
          <w:sz w:val="16"/>
          <w:szCs w:val="16"/>
        </w:rPr>
        <w:t>E</w:t>
      </w:r>
      <w:r w:rsidRPr="00EA1E62">
        <w:rPr>
          <w:sz w:val="16"/>
          <w:szCs w:val="16"/>
        </w:rPr>
        <w:t>ds.)</w:t>
      </w:r>
      <w:r>
        <w:rPr>
          <w:sz w:val="16"/>
          <w:szCs w:val="16"/>
        </w:rPr>
        <w:t>,</w:t>
      </w:r>
      <w:r w:rsidRPr="00EA1E62">
        <w:rPr>
          <w:sz w:val="16"/>
          <w:szCs w:val="16"/>
        </w:rPr>
        <w:t xml:space="preserve"> </w:t>
      </w:r>
      <w:r w:rsidRPr="00651015">
        <w:rPr>
          <w:i/>
          <w:sz w:val="16"/>
          <w:szCs w:val="16"/>
        </w:rPr>
        <w:t>Kurikulární reforma na gymnáziích: případové studie tvorby kurikula</w:t>
      </w:r>
      <w:r>
        <w:rPr>
          <w:sz w:val="16"/>
          <w:szCs w:val="16"/>
        </w:rPr>
        <w:t xml:space="preserve"> </w:t>
      </w:r>
      <w:r w:rsidRPr="00EA1E62">
        <w:rPr>
          <w:sz w:val="16"/>
          <w:szCs w:val="16"/>
        </w:rPr>
        <w:t>(s. 145</w:t>
      </w:r>
      <w:r>
        <w:rPr>
          <w:sz w:val="16"/>
          <w:szCs w:val="16"/>
        </w:rPr>
        <w:t>–</w:t>
      </w:r>
      <w:r w:rsidRPr="00EA1E62">
        <w:rPr>
          <w:sz w:val="16"/>
          <w:szCs w:val="16"/>
        </w:rPr>
        <w:t xml:space="preserve">174). Praha: Výzkumný ústav pedagogický v Praze. </w:t>
      </w:r>
    </w:p>
    <w:p w:rsidR="0015711E" w:rsidRPr="007C0E29" w:rsidRDefault="0015711E" w:rsidP="007C0E29">
      <w:pPr>
        <w:ind w:left="426" w:hanging="426"/>
        <w:rPr>
          <w:sz w:val="16"/>
          <w:szCs w:val="16"/>
        </w:rPr>
      </w:pPr>
      <w:r w:rsidRPr="007C0E29">
        <w:rPr>
          <w:sz w:val="16"/>
          <w:szCs w:val="16"/>
        </w:rPr>
        <w:t xml:space="preserve">Knecht, P. (2014). Příležitosti k učení: odlišná/různá pojetí konceptu a jeho výzkumné využití. </w:t>
      </w:r>
      <w:r w:rsidRPr="007C0E29">
        <w:rPr>
          <w:i/>
          <w:sz w:val="16"/>
          <w:szCs w:val="16"/>
        </w:rPr>
        <w:t>Pedagogická orientace, 24</w:t>
      </w:r>
      <w:r w:rsidRPr="007C0E29">
        <w:rPr>
          <w:sz w:val="16"/>
          <w:szCs w:val="16"/>
        </w:rPr>
        <w:t>(2), 163–184.</w:t>
      </w:r>
    </w:p>
    <w:p w:rsidR="0015711E" w:rsidRPr="007C0E29" w:rsidRDefault="0015711E" w:rsidP="007C0E29">
      <w:pPr>
        <w:ind w:left="426" w:hanging="426"/>
        <w:rPr>
          <w:sz w:val="16"/>
          <w:szCs w:val="16"/>
        </w:rPr>
      </w:pPr>
      <w:r w:rsidRPr="007C0E29">
        <w:rPr>
          <w:sz w:val="16"/>
          <w:szCs w:val="16"/>
        </w:rPr>
        <w:t xml:space="preserve">Knecht, P., Janík, T., Najvar, P., Najvarová, V., &amp; Vlčková, K. (2010). Příležitost k rozvíjení kompetence k řešení problémů ve výuce na základních školách. </w:t>
      </w:r>
      <w:r w:rsidRPr="007C0E29">
        <w:rPr>
          <w:i/>
          <w:iCs/>
          <w:sz w:val="16"/>
          <w:szCs w:val="16"/>
        </w:rPr>
        <w:t>Orbis scholae</w:t>
      </w:r>
      <w:r w:rsidRPr="007C0E29">
        <w:rPr>
          <w:sz w:val="16"/>
          <w:szCs w:val="16"/>
        </w:rPr>
        <w:t xml:space="preserve">, </w:t>
      </w:r>
      <w:r w:rsidRPr="007C0E29">
        <w:rPr>
          <w:i/>
          <w:iCs/>
          <w:sz w:val="16"/>
          <w:szCs w:val="16"/>
        </w:rPr>
        <w:t>4</w:t>
      </w:r>
      <w:r w:rsidRPr="007C0E29">
        <w:rPr>
          <w:sz w:val="16"/>
          <w:szCs w:val="16"/>
        </w:rPr>
        <w:t>(3), 37</w:t>
      </w:r>
      <w:r w:rsidRPr="007C0E29">
        <w:rPr>
          <w:sz w:val="16"/>
          <w:szCs w:val="16"/>
        </w:rPr>
        <w:softHyphen/>
        <w:t>–62.</w:t>
      </w:r>
    </w:p>
    <w:p w:rsidR="0015711E" w:rsidRPr="008E1CDD" w:rsidRDefault="0015711E" w:rsidP="008E1CDD">
      <w:pPr>
        <w:ind w:left="426" w:hanging="426"/>
        <w:rPr>
          <w:sz w:val="16"/>
          <w:szCs w:val="16"/>
        </w:rPr>
      </w:pPr>
      <w:r w:rsidRPr="008E1CDD">
        <w:rPr>
          <w:sz w:val="16"/>
          <w:szCs w:val="16"/>
        </w:rPr>
        <w:t xml:space="preserve">Knoll, S. (2003). </w:t>
      </w:r>
      <w:r w:rsidRPr="008E1CDD">
        <w:rPr>
          <w:i/>
          <w:iCs/>
          <w:sz w:val="16"/>
          <w:szCs w:val="16"/>
        </w:rPr>
        <w:t>Verwendung von Aufgaben in Einführungsphasen des Mathematikunterrichts</w:t>
      </w:r>
      <w:r>
        <w:rPr>
          <w:sz w:val="16"/>
          <w:szCs w:val="16"/>
        </w:rPr>
        <w:t>. Marburg: Tectum.</w:t>
      </w:r>
    </w:p>
    <w:p w:rsidR="0015711E" w:rsidRPr="007C0E29" w:rsidRDefault="0015711E" w:rsidP="007C0E29">
      <w:pPr>
        <w:ind w:left="426" w:hanging="426"/>
        <w:rPr>
          <w:bCs/>
          <w:sz w:val="16"/>
          <w:szCs w:val="16"/>
        </w:rPr>
      </w:pPr>
      <w:r w:rsidRPr="007C0E29">
        <w:rPr>
          <w:bCs/>
          <w:sz w:val="16"/>
          <w:szCs w:val="16"/>
        </w:rPr>
        <w:t xml:space="preserve">Köller, O., Eßel-Ullmann, G., &amp; Paasch, D. (2012). Validierung eines Instruments zur Erfassung Standard-basierter mathematischer Kompetenzen in der Grundschule. </w:t>
      </w:r>
      <w:r w:rsidRPr="007C0E29">
        <w:rPr>
          <w:bCs/>
          <w:i/>
          <w:sz w:val="16"/>
          <w:szCs w:val="16"/>
        </w:rPr>
        <w:t>Psychologie in Erziehung und Unterricht, 59</w:t>
      </w:r>
      <w:r w:rsidRPr="007C0E29">
        <w:rPr>
          <w:bCs/>
          <w:sz w:val="16"/>
          <w:szCs w:val="16"/>
        </w:rPr>
        <w:t>(3), 177–190.</w:t>
      </w:r>
    </w:p>
    <w:p w:rsidR="0015711E" w:rsidRPr="007C0E29" w:rsidRDefault="0015711E" w:rsidP="007C0E29">
      <w:pPr>
        <w:ind w:left="426" w:hanging="426"/>
        <w:rPr>
          <w:bCs/>
          <w:sz w:val="16"/>
          <w:szCs w:val="16"/>
        </w:rPr>
      </w:pPr>
      <w:r w:rsidRPr="007C0E29">
        <w:rPr>
          <w:bCs/>
          <w:sz w:val="16"/>
          <w:szCs w:val="16"/>
        </w:rPr>
        <w:t xml:space="preserve">Köller, O., Reiss, K., Stanat, P., &amp; Pant, H. A. (2012). Diagnostik Standard-basierter mathematischer Kompetenzen im Primarbereich: Ein Überblick. </w:t>
      </w:r>
      <w:r w:rsidRPr="007C0E29">
        <w:rPr>
          <w:bCs/>
          <w:i/>
          <w:iCs/>
          <w:sz w:val="16"/>
          <w:szCs w:val="16"/>
        </w:rPr>
        <w:t>Psychologie in Erziehung und Unterricht</w:t>
      </w:r>
      <w:r w:rsidRPr="007C0E29">
        <w:rPr>
          <w:bCs/>
          <w:sz w:val="16"/>
          <w:szCs w:val="16"/>
        </w:rPr>
        <w:t xml:space="preserve">, </w:t>
      </w:r>
      <w:r w:rsidRPr="004E4956">
        <w:rPr>
          <w:bCs/>
          <w:i/>
          <w:sz w:val="16"/>
          <w:szCs w:val="16"/>
        </w:rPr>
        <w:t>59</w:t>
      </w:r>
      <w:r w:rsidRPr="007C0E29">
        <w:rPr>
          <w:bCs/>
          <w:sz w:val="16"/>
          <w:szCs w:val="16"/>
        </w:rPr>
        <w:t>(3), 163–176.</w:t>
      </w:r>
    </w:p>
    <w:p w:rsidR="0015711E" w:rsidRPr="007E51DC" w:rsidRDefault="0015711E" w:rsidP="007E51DC">
      <w:pPr>
        <w:ind w:left="426" w:hanging="426"/>
        <w:rPr>
          <w:sz w:val="16"/>
          <w:szCs w:val="16"/>
        </w:rPr>
      </w:pPr>
      <w:r w:rsidRPr="007E51DC">
        <w:rPr>
          <w:sz w:val="16"/>
          <w:szCs w:val="16"/>
        </w:rPr>
        <w:t xml:space="preserve">Krathwohl, D. R. (2002). A revision of Bloom's taxonomy: An overview. </w:t>
      </w:r>
      <w:r w:rsidRPr="007E51DC">
        <w:rPr>
          <w:i/>
          <w:iCs/>
          <w:sz w:val="16"/>
          <w:szCs w:val="16"/>
        </w:rPr>
        <w:t>Theory into practice</w:t>
      </w:r>
      <w:r w:rsidRPr="007E51DC">
        <w:rPr>
          <w:sz w:val="16"/>
          <w:szCs w:val="16"/>
        </w:rPr>
        <w:t xml:space="preserve">, </w:t>
      </w:r>
      <w:r w:rsidRPr="007E51DC">
        <w:rPr>
          <w:i/>
          <w:iCs/>
          <w:sz w:val="16"/>
          <w:szCs w:val="16"/>
        </w:rPr>
        <w:t>41</w:t>
      </w:r>
      <w:r w:rsidRPr="007E51DC">
        <w:rPr>
          <w:sz w:val="16"/>
          <w:szCs w:val="16"/>
        </w:rPr>
        <w:t>(4), 212</w:t>
      </w:r>
      <w:r>
        <w:rPr>
          <w:sz w:val="16"/>
          <w:szCs w:val="16"/>
        </w:rPr>
        <w:t>–</w:t>
      </w:r>
      <w:r w:rsidRPr="007E51DC">
        <w:rPr>
          <w:sz w:val="16"/>
          <w:szCs w:val="16"/>
        </w:rPr>
        <w:t>218.</w:t>
      </w:r>
    </w:p>
    <w:p w:rsidR="0015711E" w:rsidRDefault="0015711E" w:rsidP="004A72F5">
      <w:pPr>
        <w:ind w:left="426" w:hanging="426"/>
        <w:rPr>
          <w:sz w:val="16"/>
          <w:szCs w:val="16"/>
          <w:lang w:val="de-DE"/>
        </w:rPr>
      </w:pPr>
      <w:r w:rsidRPr="004A72F5">
        <w:rPr>
          <w:sz w:val="16"/>
          <w:szCs w:val="16"/>
          <w:lang w:val="de-DE"/>
        </w:rPr>
        <w:t xml:space="preserve">Kross, E. (1995). Die Aufgabenstellung im Geographielehrbuch. In J. Bünstorf &amp; E. Kross (Eds.), </w:t>
      </w:r>
      <w:r w:rsidRPr="004A72F5">
        <w:rPr>
          <w:i/>
          <w:iCs/>
          <w:sz w:val="16"/>
          <w:szCs w:val="16"/>
          <w:lang w:val="de-DE"/>
        </w:rPr>
        <w:t>Geographieunterricht in Theorie und Praxis</w:t>
      </w:r>
      <w:r w:rsidRPr="004A72F5">
        <w:rPr>
          <w:sz w:val="16"/>
          <w:szCs w:val="16"/>
          <w:lang w:val="de-DE"/>
        </w:rPr>
        <w:t>. Gotha: Klett-Perthes.</w:t>
      </w:r>
    </w:p>
    <w:p w:rsidR="0015711E" w:rsidRPr="002A48DD" w:rsidRDefault="0015711E" w:rsidP="002A48DD">
      <w:pPr>
        <w:ind w:left="426" w:hanging="426"/>
        <w:rPr>
          <w:sz w:val="16"/>
          <w:szCs w:val="16"/>
        </w:rPr>
      </w:pPr>
      <w:r w:rsidRPr="002A48DD">
        <w:rPr>
          <w:sz w:val="16"/>
          <w:szCs w:val="16"/>
        </w:rPr>
        <w:t xml:space="preserve">Krykorková, H. (2008). Kognitivní svébytnost, teoretická východiska a okolnosti jejího rozvíjení. </w:t>
      </w:r>
      <w:r w:rsidRPr="002A48DD">
        <w:rPr>
          <w:i/>
          <w:sz w:val="16"/>
          <w:szCs w:val="16"/>
        </w:rPr>
        <w:t>Pedagogika, 58</w:t>
      </w:r>
      <w:r w:rsidRPr="002A48DD">
        <w:rPr>
          <w:sz w:val="16"/>
          <w:szCs w:val="16"/>
        </w:rPr>
        <w:t>(2), 140</w:t>
      </w:r>
      <w:r>
        <w:rPr>
          <w:sz w:val="16"/>
          <w:szCs w:val="16"/>
        </w:rPr>
        <w:t>–</w:t>
      </w:r>
      <w:r w:rsidRPr="002A48DD">
        <w:rPr>
          <w:sz w:val="16"/>
          <w:szCs w:val="16"/>
        </w:rPr>
        <w:t>155.</w:t>
      </w:r>
    </w:p>
    <w:p w:rsidR="0015711E" w:rsidRPr="00A32765" w:rsidRDefault="0015711E" w:rsidP="00A32765">
      <w:pPr>
        <w:ind w:left="426" w:hanging="426"/>
        <w:rPr>
          <w:sz w:val="16"/>
          <w:szCs w:val="16"/>
        </w:rPr>
      </w:pPr>
      <w:bookmarkStart w:id="132" w:name="_ENREF_40"/>
      <w:r w:rsidRPr="00A32765">
        <w:rPr>
          <w:sz w:val="16"/>
          <w:szCs w:val="16"/>
        </w:rPr>
        <w:t xml:space="preserve">Kubiatko, M., Mrázková, K., &amp; Janko, T. (2011). Postoje žáků 2. stupně základních škol k vyučovacímu předmětu zeměpis. </w:t>
      </w:r>
      <w:r w:rsidRPr="00A32765">
        <w:rPr>
          <w:i/>
          <w:sz w:val="16"/>
          <w:szCs w:val="16"/>
        </w:rPr>
        <w:t>Pedagogika, 61</w:t>
      </w:r>
      <w:r w:rsidRPr="00A32765">
        <w:rPr>
          <w:sz w:val="16"/>
          <w:szCs w:val="16"/>
        </w:rPr>
        <w:t>(3), 257</w:t>
      </w:r>
      <w:r>
        <w:rPr>
          <w:sz w:val="16"/>
          <w:szCs w:val="16"/>
        </w:rPr>
        <w:t>–</w:t>
      </w:r>
      <w:r w:rsidRPr="00A32765">
        <w:rPr>
          <w:sz w:val="16"/>
          <w:szCs w:val="16"/>
        </w:rPr>
        <w:t xml:space="preserve">270. </w:t>
      </w:r>
      <w:bookmarkEnd w:id="132"/>
    </w:p>
    <w:p w:rsidR="0015711E" w:rsidRPr="00A32765" w:rsidRDefault="0015711E" w:rsidP="00A32765">
      <w:pPr>
        <w:ind w:left="426" w:hanging="426"/>
        <w:rPr>
          <w:sz w:val="16"/>
          <w:szCs w:val="16"/>
        </w:rPr>
      </w:pPr>
      <w:bookmarkStart w:id="133" w:name="_ENREF_41"/>
      <w:r w:rsidRPr="00A32765">
        <w:rPr>
          <w:sz w:val="16"/>
          <w:szCs w:val="16"/>
        </w:rPr>
        <w:t xml:space="preserve">Kühnlová, H. (1997). Reflexe světových trendů v pojetí obsahu perspektivního geografického vzdělávání. </w:t>
      </w:r>
      <w:r w:rsidRPr="00A32765">
        <w:rPr>
          <w:i/>
          <w:sz w:val="16"/>
          <w:szCs w:val="16"/>
        </w:rPr>
        <w:t>Geografie, 102</w:t>
      </w:r>
      <w:r w:rsidRPr="00A32765">
        <w:rPr>
          <w:sz w:val="16"/>
          <w:szCs w:val="16"/>
        </w:rPr>
        <w:t>(3), 161</w:t>
      </w:r>
      <w:r>
        <w:rPr>
          <w:sz w:val="16"/>
          <w:szCs w:val="16"/>
        </w:rPr>
        <w:t>–</w:t>
      </w:r>
      <w:r w:rsidRPr="00A32765">
        <w:rPr>
          <w:sz w:val="16"/>
          <w:szCs w:val="16"/>
        </w:rPr>
        <w:t xml:space="preserve">174. </w:t>
      </w:r>
      <w:bookmarkEnd w:id="133"/>
    </w:p>
    <w:p w:rsidR="0015711E" w:rsidRPr="001D60CE" w:rsidRDefault="0015711E" w:rsidP="001D60CE">
      <w:pPr>
        <w:ind w:left="426" w:hanging="426"/>
        <w:rPr>
          <w:bCs/>
          <w:sz w:val="16"/>
          <w:szCs w:val="16"/>
        </w:rPr>
      </w:pPr>
      <w:r w:rsidRPr="001D60CE">
        <w:rPr>
          <w:bCs/>
          <w:sz w:val="16"/>
          <w:szCs w:val="16"/>
        </w:rPr>
        <w:t xml:space="preserve">Kuldová, S. (2008). Image geografie v edukačních dokumentech: příspěvek k diskusi nad textem revize Mezinárodní charty geografického vzdělávání. </w:t>
      </w:r>
      <w:r w:rsidRPr="001D60CE">
        <w:rPr>
          <w:bCs/>
          <w:i/>
          <w:iCs/>
          <w:sz w:val="16"/>
          <w:szCs w:val="16"/>
        </w:rPr>
        <w:t>Geografie</w:t>
      </w:r>
      <w:r w:rsidRPr="001D60CE">
        <w:rPr>
          <w:bCs/>
          <w:sz w:val="16"/>
          <w:szCs w:val="16"/>
        </w:rPr>
        <w:t xml:space="preserve">, </w:t>
      </w:r>
      <w:r w:rsidRPr="001D60CE">
        <w:rPr>
          <w:bCs/>
          <w:i/>
          <w:iCs/>
          <w:sz w:val="16"/>
          <w:szCs w:val="16"/>
        </w:rPr>
        <w:t>113</w:t>
      </w:r>
      <w:r>
        <w:rPr>
          <w:bCs/>
          <w:iCs/>
          <w:sz w:val="16"/>
          <w:szCs w:val="16"/>
        </w:rPr>
        <w:t>(1)</w:t>
      </w:r>
      <w:r w:rsidRPr="001D60CE">
        <w:rPr>
          <w:bCs/>
          <w:sz w:val="16"/>
          <w:szCs w:val="16"/>
        </w:rPr>
        <w:t>, 61–73.</w:t>
      </w:r>
    </w:p>
    <w:p w:rsidR="0015711E" w:rsidRPr="005434D2" w:rsidRDefault="0015711E" w:rsidP="005434D2">
      <w:pPr>
        <w:ind w:left="426" w:hanging="426"/>
        <w:rPr>
          <w:bCs/>
          <w:sz w:val="16"/>
          <w:szCs w:val="16"/>
        </w:rPr>
      </w:pPr>
      <w:r w:rsidRPr="005434D2">
        <w:rPr>
          <w:bCs/>
          <w:sz w:val="16"/>
          <w:szCs w:val="16"/>
        </w:rPr>
        <w:t xml:space="preserve">Kulič, V. (1964). </w:t>
      </w:r>
      <w:r w:rsidRPr="005434D2">
        <w:rPr>
          <w:bCs/>
          <w:i/>
          <w:sz w:val="16"/>
          <w:szCs w:val="16"/>
        </w:rPr>
        <w:t>Učení řešením problémů a některé otázky řízení učení.</w:t>
      </w:r>
      <w:r w:rsidRPr="005434D2">
        <w:rPr>
          <w:bCs/>
          <w:sz w:val="16"/>
          <w:szCs w:val="16"/>
        </w:rPr>
        <w:t xml:space="preserve"> Praha: SPN.</w:t>
      </w:r>
    </w:p>
    <w:p w:rsidR="0015711E" w:rsidRPr="007C0E29" w:rsidRDefault="0015711E" w:rsidP="007C0E29">
      <w:pPr>
        <w:ind w:left="426" w:hanging="426"/>
        <w:rPr>
          <w:bCs/>
          <w:sz w:val="16"/>
          <w:szCs w:val="16"/>
        </w:rPr>
      </w:pPr>
      <w:r w:rsidRPr="007C0E29">
        <w:rPr>
          <w:bCs/>
          <w:sz w:val="16"/>
          <w:szCs w:val="16"/>
        </w:rPr>
        <w:t xml:space="preserve">Kulič, V. (1992). </w:t>
      </w:r>
      <w:r w:rsidRPr="007C0E29">
        <w:rPr>
          <w:bCs/>
          <w:i/>
          <w:iCs/>
          <w:sz w:val="16"/>
          <w:szCs w:val="16"/>
        </w:rPr>
        <w:t>Psychologie řízeného učení</w:t>
      </w:r>
      <w:r w:rsidRPr="007C0E29">
        <w:rPr>
          <w:bCs/>
          <w:sz w:val="16"/>
          <w:szCs w:val="16"/>
        </w:rPr>
        <w:t>. Praha: Academia.</w:t>
      </w:r>
    </w:p>
    <w:p w:rsidR="0015711E" w:rsidRPr="008D7206" w:rsidRDefault="0015711E" w:rsidP="008D7206">
      <w:pPr>
        <w:ind w:left="426" w:hanging="426"/>
        <w:rPr>
          <w:bCs/>
          <w:iCs/>
          <w:sz w:val="16"/>
          <w:szCs w:val="16"/>
        </w:rPr>
      </w:pPr>
      <w:r w:rsidRPr="008D7206">
        <w:rPr>
          <w:bCs/>
          <w:iCs/>
          <w:sz w:val="16"/>
          <w:szCs w:val="16"/>
        </w:rPr>
        <w:t xml:space="preserve">Kuřina, F. (1976). </w:t>
      </w:r>
      <w:r w:rsidRPr="008D7206">
        <w:rPr>
          <w:bCs/>
          <w:i/>
          <w:iCs/>
          <w:sz w:val="16"/>
          <w:szCs w:val="16"/>
        </w:rPr>
        <w:t>Problémové vyučování v geometrii</w:t>
      </w:r>
      <w:r w:rsidRPr="008D7206">
        <w:rPr>
          <w:bCs/>
          <w:iCs/>
          <w:sz w:val="16"/>
          <w:szCs w:val="16"/>
        </w:rPr>
        <w:t>. Praha: SPN.</w:t>
      </w:r>
    </w:p>
    <w:p w:rsidR="0015711E" w:rsidRPr="007C0E29" w:rsidRDefault="0015711E" w:rsidP="007C0E29">
      <w:pPr>
        <w:ind w:left="426" w:hanging="426"/>
        <w:rPr>
          <w:bCs/>
          <w:sz w:val="16"/>
          <w:szCs w:val="16"/>
        </w:rPr>
      </w:pPr>
      <w:r w:rsidRPr="007C0E29">
        <w:rPr>
          <w:bCs/>
          <w:sz w:val="16"/>
          <w:szCs w:val="16"/>
        </w:rPr>
        <w:t>Kuřina, F. (2014</w:t>
      </w:r>
      <w:r>
        <w:rPr>
          <w:bCs/>
          <w:sz w:val="16"/>
          <w:szCs w:val="16"/>
        </w:rPr>
        <w:t>a</w:t>
      </w:r>
      <w:r w:rsidRPr="007C0E29">
        <w:rPr>
          <w:bCs/>
          <w:sz w:val="16"/>
          <w:szCs w:val="16"/>
        </w:rPr>
        <w:t xml:space="preserve">). Když tři a dvě je méně než pět – k problematice strukturovaného studia učitelství. </w:t>
      </w:r>
      <w:r w:rsidRPr="007C0E29">
        <w:rPr>
          <w:bCs/>
          <w:i/>
          <w:sz w:val="16"/>
          <w:szCs w:val="16"/>
        </w:rPr>
        <w:t>Pedagogika, 64</w:t>
      </w:r>
      <w:r w:rsidRPr="007C0E29">
        <w:rPr>
          <w:bCs/>
          <w:sz w:val="16"/>
          <w:szCs w:val="16"/>
        </w:rPr>
        <w:t>(1), 117–125.</w:t>
      </w:r>
    </w:p>
    <w:p w:rsidR="0015711E" w:rsidRDefault="0015711E" w:rsidP="00856DB2">
      <w:pPr>
        <w:ind w:left="426" w:hanging="426"/>
        <w:rPr>
          <w:bCs/>
          <w:sz w:val="16"/>
          <w:szCs w:val="16"/>
        </w:rPr>
      </w:pPr>
      <w:r w:rsidRPr="00AD0F48">
        <w:rPr>
          <w:bCs/>
          <w:sz w:val="16"/>
          <w:szCs w:val="16"/>
        </w:rPr>
        <w:t>Kuřina, F. (2014</w:t>
      </w:r>
      <w:r>
        <w:rPr>
          <w:bCs/>
          <w:sz w:val="16"/>
          <w:szCs w:val="16"/>
        </w:rPr>
        <w:t>b</w:t>
      </w:r>
      <w:r w:rsidRPr="00AD0F48">
        <w:rPr>
          <w:bCs/>
          <w:sz w:val="16"/>
          <w:szCs w:val="16"/>
        </w:rPr>
        <w:t xml:space="preserve">). Kompetence a školní praxe. Rozpaky oborového didaktika nad kurikulární reformou. </w:t>
      </w:r>
      <w:r w:rsidRPr="000B0DDA">
        <w:rPr>
          <w:bCs/>
          <w:i/>
          <w:sz w:val="16"/>
          <w:szCs w:val="16"/>
        </w:rPr>
        <w:t>Pedagogická orientace, 24</w:t>
      </w:r>
      <w:r w:rsidRPr="00AD0F48">
        <w:rPr>
          <w:bCs/>
          <w:sz w:val="16"/>
          <w:szCs w:val="16"/>
        </w:rPr>
        <w:t>(3), 433–442.</w:t>
      </w:r>
    </w:p>
    <w:p w:rsidR="0015711E" w:rsidRPr="005434D2" w:rsidRDefault="0015711E" w:rsidP="005434D2">
      <w:pPr>
        <w:ind w:left="426" w:hanging="426"/>
        <w:rPr>
          <w:bCs/>
          <w:sz w:val="16"/>
          <w:szCs w:val="16"/>
        </w:rPr>
      </w:pPr>
      <w:r w:rsidRPr="005434D2">
        <w:rPr>
          <w:bCs/>
          <w:sz w:val="16"/>
          <w:szCs w:val="16"/>
        </w:rPr>
        <w:t xml:space="preserve">Kwan, T., &amp; So, M. (2008). Environmental learning using a problem-based approach in the field: A case study of a Hong Kong school. </w:t>
      </w:r>
      <w:r w:rsidRPr="000B0DDA">
        <w:rPr>
          <w:bCs/>
          <w:i/>
          <w:sz w:val="16"/>
          <w:szCs w:val="16"/>
        </w:rPr>
        <w:t>International Research in Geographical and Environmental Education, 17</w:t>
      </w:r>
      <w:r w:rsidRPr="005434D2">
        <w:rPr>
          <w:bCs/>
          <w:sz w:val="16"/>
          <w:szCs w:val="16"/>
        </w:rPr>
        <w:t>(2), 93</w:t>
      </w:r>
      <w:r>
        <w:rPr>
          <w:bCs/>
          <w:sz w:val="16"/>
          <w:szCs w:val="16"/>
        </w:rPr>
        <w:t>–</w:t>
      </w:r>
      <w:r w:rsidRPr="005434D2">
        <w:rPr>
          <w:bCs/>
          <w:sz w:val="16"/>
          <w:szCs w:val="16"/>
        </w:rPr>
        <w:t>113.</w:t>
      </w:r>
    </w:p>
    <w:p w:rsidR="0015711E" w:rsidRPr="007C0E29" w:rsidRDefault="0015711E" w:rsidP="007C0E29">
      <w:pPr>
        <w:ind w:left="426" w:hanging="426"/>
        <w:rPr>
          <w:sz w:val="16"/>
          <w:szCs w:val="16"/>
        </w:rPr>
      </w:pPr>
      <w:r w:rsidRPr="007C0E29">
        <w:rPr>
          <w:sz w:val="16"/>
          <w:szCs w:val="16"/>
        </w:rPr>
        <w:t xml:space="preserve">Lambert, D. (2008). Why are school subjects important? </w:t>
      </w:r>
      <w:r w:rsidRPr="007C0E29">
        <w:rPr>
          <w:i/>
          <w:sz w:val="16"/>
          <w:szCs w:val="16"/>
        </w:rPr>
        <w:t>Forum, 50</w:t>
      </w:r>
      <w:r w:rsidRPr="007C0E29">
        <w:rPr>
          <w:sz w:val="16"/>
          <w:szCs w:val="16"/>
        </w:rPr>
        <w:t>(2), 207–214.</w:t>
      </w:r>
    </w:p>
    <w:p w:rsidR="0015711E" w:rsidRPr="00AE1791" w:rsidRDefault="0015711E" w:rsidP="00AE1791">
      <w:pPr>
        <w:ind w:left="426" w:hanging="426"/>
        <w:rPr>
          <w:bCs/>
          <w:iCs/>
          <w:sz w:val="16"/>
          <w:szCs w:val="16"/>
        </w:rPr>
      </w:pPr>
      <w:r w:rsidRPr="00AE1791">
        <w:rPr>
          <w:bCs/>
          <w:iCs/>
          <w:sz w:val="16"/>
          <w:szCs w:val="16"/>
        </w:rPr>
        <w:t xml:space="preserve">Lambert, D. (2009). </w:t>
      </w:r>
      <w:r w:rsidRPr="00AE1791">
        <w:rPr>
          <w:bCs/>
          <w:i/>
          <w:iCs/>
          <w:sz w:val="16"/>
          <w:szCs w:val="16"/>
        </w:rPr>
        <w:t>Geography in education: Lost in the post?</w:t>
      </w:r>
      <w:r w:rsidRPr="00AE1791">
        <w:rPr>
          <w:bCs/>
          <w:iCs/>
          <w:sz w:val="16"/>
          <w:szCs w:val="16"/>
        </w:rPr>
        <w:t xml:space="preserve"> London: Institute of Education, University of London.</w:t>
      </w:r>
    </w:p>
    <w:p w:rsidR="0015711E" w:rsidRPr="00A532A1" w:rsidRDefault="0015711E" w:rsidP="00A532A1">
      <w:pPr>
        <w:ind w:left="426" w:hanging="426"/>
        <w:rPr>
          <w:sz w:val="16"/>
          <w:szCs w:val="16"/>
          <w:lang w:val="en-GB"/>
        </w:rPr>
      </w:pPr>
      <w:r w:rsidRPr="00A532A1">
        <w:rPr>
          <w:sz w:val="16"/>
          <w:szCs w:val="16"/>
          <w:lang w:val="en-GB"/>
        </w:rPr>
        <w:t xml:space="preserve">Lambert, D. (2010). Geography education research and why it matters. </w:t>
      </w:r>
      <w:r w:rsidRPr="00402176">
        <w:rPr>
          <w:i/>
          <w:sz w:val="16"/>
          <w:szCs w:val="16"/>
          <w:lang w:val="en-GB"/>
        </w:rPr>
        <w:t>International Research in Geographical and Environmental Education, 19</w:t>
      </w:r>
      <w:r w:rsidRPr="00A532A1">
        <w:rPr>
          <w:sz w:val="16"/>
          <w:szCs w:val="16"/>
          <w:lang w:val="en-GB"/>
        </w:rPr>
        <w:t>(2), 83</w:t>
      </w:r>
      <w:r>
        <w:rPr>
          <w:sz w:val="16"/>
          <w:szCs w:val="16"/>
          <w:lang w:val="en-GB"/>
        </w:rPr>
        <w:t>–</w:t>
      </w:r>
      <w:r w:rsidRPr="00A532A1">
        <w:rPr>
          <w:sz w:val="16"/>
          <w:szCs w:val="16"/>
          <w:lang w:val="en-GB"/>
        </w:rPr>
        <w:t>86</w:t>
      </w:r>
    </w:p>
    <w:p w:rsidR="0015711E" w:rsidRPr="00B544D7" w:rsidRDefault="0015711E" w:rsidP="00B544D7">
      <w:pPr>
        <w:ind w:left="426" w:hanging="426"/>
        <w:rPr>
          <w:bCs/>
          <w:iCs/>
          <w:sz w:val="16"/>
          <w:szCs w:val="16"/>
        </w:rPr>
      </w:pPr>
      <w:r w:rsidRPr="00B544D7">
        <w:rPr>
          <w:bCs/>
          <w:iCs/>
          <w:sz w:val="16"/>
          <w:szCs w:val="16"/>
        </w:rPr>
        <w:t>Lambert, D. (2011). Reviewing the case for geography, and the ‘knowledge turn’</w:t>
      </w:r>
      <w:r>
        <w:rPr>
          <w:bCs/>
          <w:iCs/>
          <w:sz w:val="16"/>
          <w:szCs w:val="16"/>
        </w:rPr>
        <w:t xml:space="preserve"> </w:t>
      </w:r>
      <w:r w:rsidRPr="00B544D7">
        <w:rPr>
          <w:bCs/>
          <w:iCs/>
          <w:sz w:val="16"/>
          <w:szCs w:val="16"/>
        </w:rPr>
        <w:t xml:space="preserve">in the English National Curriculum. </w:t>
      </w:r>
      <w:r w:rsidRPr="00AA6590">
        <w:rPr>
          <w:bCs/>
          <w:i/>
          <w:iCs/>
          <w:sz w:val="16"/>
          <w:szCs w:val="16"/>
        </w:rPr>
        <w:t>Curriculum Journal, 22</w:t>
      </w:r>
      <w:r w:rsidRPr="00B544D7">
        <w:rPr>
          <w:bCs/>
          <w:iCs/>
          <w:sz w:val="16"/>
          <w:szCs w:val="16"/>
        </w:rPr>
        <w:t>(2), 243</w:t>
      </w:r>
      <w:r>
        <w:rPr>
          <w:bCs/>
          <w:iCs/>
          <w:sz w:val="16"/>
          <w:szCs w:val="16"/>
        </w:rPr>
        <w:t>–</w:t>
      </w:r>
      <w:r w:rsidRPr="00B544D7">
        <w:rPr>
          <w:bCs/>
          <w:iCs/>
          <w:sz w:val="16"/>
          <w:szCs w:val="16"/>
        </w:rPr>
        <w:t>264.</w:t>
      </w:r>
    </w:p>
    <w:p w:rsidR="0015711E" w:rsidRPr="007E04E7" w:rsidRDefault="0015711E" w:rsidP="007E04E7">
      <w:pPr>
        <w:ind w:left="426" w:hanging="426"/>
        <w:rPr>
          <w:sz w:val="16"/>
          <w:szCs w:val="16"/>
          <w:highlight w:val="yellow"/>
        </w:rPr>
      </w:pPr>
      <w:r w:rsidRPr="007E04E7">
        <w:rPr>
          <w:sz w:val="16"/>
          <w:szCs w:val="16"/>
        </w:rPr>
        <w:t xml:space="preserve">Lambert, D., &amp; Morgan, J. (2010). </w:t>
      </w:r>
      <w:r w:rsidRPr="007E04E7">
        <w:rPr>
          <w:i/>
          <w:iCs/>
          <w:sz w:val="16"/>
          <w:szCs w:val="16"/>
        </w:rPr>
        <w:t>Teaching geography 11</w:t>
      </w:r>
      <w:r>
        <w:rPr>
          <w:i/>
          <w:iCs/>
          <w:sz w:val="16"/>
          <w:szCs w:val="16"/>
        </w:rPr>
        <w:t>–</w:t>
      </w:r>
      <w:r w:rsidRPr="007E04E7">
        <w:rPr>
          <w:i/>
          <w:iCs/>
          <w:sz w:val="16"/>
          <w:szCs w:val="16"/>
        </w:rPr>
        <w:t>18: A conceptual approach</w:t>
      </w:r>
      <w:r w:rsidRPr="007E04E7">
        <w:rPr>
          <w:sz w:val="16"/>
          <w:szCs w:val="16"/>
        </w:rPr>
        <w:t>. Maidenhead: Open University Press.</w:t>
      </w:r>
    </w:p>
    <w:p w:rsidR="0015711E" w:rsidRPr="007C0E29" w:rsidRDefault="0015711E" w:rsidP="007C0E29">
      <w:pPr>
        <w:ind w:left="426" w:hanging="426"/>
        <w:rPr>
          <w:sz w:val="16"/>
          <w:szCs w:val="16"/>
        </w:rPr>
      </w:pPr>
      <w:r w:rsidRPr="007C0E29">
        <w:rPr>
          <w:sz w:val="16"/>
          <w:szCs w:val="16"/>
        </w:rPr>
        <w:t xml:space="preserve">Lass, U., &amp; Lüer, G. (1990). Psychologische Problemlöseforschung. </w:t>
      </w:r>
      <w:r w:rsidRPr="007C0E29">
        <w:rPr>
          <w:i/>
          <w:sz w:val="16"/>
          <w:szCs w:val="16"/>
        </w:rPr>
        <w:t>Unterrichtswissenschaft, 18</w:t>
      </w:r>
      <w:r w:rsidRPr="007C0E29">
        <w:rPr>
          <w:sz w:val="16"/>
          <w:szCs w:val="16"/>
        </w:rPr>
        <w:t>(4), 295–312.</w:t>
      </w:r>
    </w:p>
    <w:p w:rsidR="0015711E" w:rsidRPr="007C0E29" w:rsidRDefault="0015711E" w:rsidP="007C0E29">
      <w:pPr>
        <w:ind w:left="426" w:hanging="426"/>
        <w:rPr>
          <w:sz w:val="16"/>
          <w:szCs w:val="16"/>
        </w:rPr>
      </w:pPr>
      <w:r w:rsidRPr="007C0E29">
        <w:rPr>
          <w:sz w:val="16"/>
          <w:szCs w:val="16"/>
        </w:rPr>
        <w:t xml:space="preserve">Lave, J., &amp; Wenger, E. (1991). </w:t>
      </w:r>
      <w:r w:rsidRPr="007C0E29">
        <w:rPr>
          <w:i/>
          <w:sz w:val="16"/>
          <w:szCs w:val="16"/>
        </w:rPr>
        <w:t>Situated learning: Legitimate peripheral participation.</w:t>
      </w:r>
      <w:r w:rsidRPr="007C0E29">
        <w:rPr>
          <w:sz w:val="16"/>
          <w:szCs w:val="16"/>
        </w:rPr>
        <w:t xml:space="preserve"> Cambridge: Cambridge University Press.</w:t>
      </w:r>
    </w:p>
    <w:p w:rsidR="0015711E" w:rsidRPr="007C0E29" w:rsidRDefault="0015711E" w:rsidP="007C0E29">
      <w:pPr>
        <w:ind w:left="426" w:hanging="426"/>
        <w:rPr>
          <w:bCs/>
          <w:sz w:val="16"/>
          <w:szCs w:val="16"/>
        </w:rPr>
      </w:pPr>
      <w:r w:rsidRPr="007C0E29">
        <w:rPr>
          <w:bCs/>
          <w:sz w:val="16"/>
          <w:szCs w:val="16"/>
        </w:rPr>
        <w:t xml:space="preserve">Lazarová, B. (2005). Osobnost učitele a rezistence vůči změně. </w:t>
      </w:r>
      <w:r w:rsidRPr="007C0E29">
        <w:rPr>
          <w:bCs/>
          <w:i/>
          <w:iCs/>
          <w:sz w:val="16"/>
          <w:szCs w:val="16"/>
        </w:rPr>
        <w:t>Studia paedagogica</w:t>
      </w:r>
      <w:r w:rsidRPr="007C0E29">
        <w:rPr>
          <w:bCs/>
          <w:sz w:val="16"/>
          <w:szCs w:val="16"/>
        </w:rPr>
        <w:t xml:space="preserve">, </w:t>
      </w:r>
      <w:r w:rsidRPr="007C0E29">
        <w:rPr>
          <w:bCs/>
          <w:i/>
          <w:iCs/>
          <w:sz w:val="16"/>
          <w:szCs w:val="16"/>
        </w:rPr>
        <w:t>53</w:t>
      </w:r>
      <w:r w:rsidRPr="007C0E29">
        <w:rPr>
          <w:bCs/>
          <w:sz w:val="16"/>
          <w:szCs w:val="16"/>
        </w:rPr>
        <w:t>(10), 109–122.</w:t>
      </w:r>
    </w:p>
    <w:p w:rsidR="0015711E" w:rsidRPr="007C0E29" w:rsidRDefault="0015711E" w:rsidP="007C0E29">
      <w:pPr>
        <w:ind w:left="426" w:hanging="426"/>
        <w:rPr>
          <w:bCs/>
          <w:sz w:val="16"/>
          <w:szCs w:val="16"/>
        </w:rPr>
      </w:pPr>
      <w:r w:rsidRPr="007C0E29">
        <w:rPr>
          <w:bCs/>
          <w:sz w:val="16"/>
          <w:szCs w:val="16"/>
        </w:rPr>
        <w:t>Leat, D. (2000). The importance of ‘big’</w:t>
      </w:r>
      <w:r>
        <w:rPr>
          <w:bCs/>
          <w:sz w:val="16"/>
          <w:szCs w:val="16"/>
        </w:rPr>
        <w:t xml:space="preserve"> </w:t>
      </w:r>
      <w:r w:rsidRPr="007C0E29">
        <w:rPr>
          <w:bCs/>
          <w:sz w:val="16"/>
          <w:szCs w:val="16"/>
        </w:rPr>
        <w:t xml:space="preserve">concepts and skills in learning geography. In C. Fisher &amp; T. Binns (Eds.), </w:t>
      </w:r>
      <w:r w:rsidRPr="007C0E29">
        <w:rPr>
          <w:bCs/>
          <w:i/>
          <w:sz w:val="16"/>
          <w:szCs w:val="16"/>
        </w:rPr>
        <w:t xml:space="preserve">Issues in geography teaching </w:t>
      </w:r>
      <w:r w:rsidRPr="007C0E29">
        <w:rPr>
          <w:bCs/>
          <w:sz w:val="16"/>
          <w:szCs w:val="16"/>
        </w:rPr>
        <w:t>(s. 137–155). London: Routledge</w:t>
      </w:r>
      <w:r w:rsidRPr="007C0E29">
        <w:rPr>
          <w:sz w:val="16"/>
          <w:szCs w:val="16"/>
        </w:rPr>
        <w:t>Falmer</w:t>
      </w:r>
      <w:r w:rsidRPr="007C0E29">
        <w:rPr>
          <w:bCs/>
          <w:sz w:val="16"/>
          <w:szCs w:val="16"/>
        </w:rPr>
        <w:t>.</w:t>
      </w:r>
    </w:p>
    <w:p w:rsidR="0015711E" w:rsidRPr="007C0E29" w:rsidRDefault="0015711E" w:rsidP="007C0E29">
      <w:pPr>
        <w:ind w:left="426" w:hanging="426"/>
        <w:rPr>
          <w:sz w:val="16"/>
          <w:szCs w:val="16"/>
        </w:rPr>
      </w:pPr>
      <w:r w:rsidRPr="007C0E29">
        <w:rPr>
          <w:sz w:val="16"/>
          <w:szCs w:val="16"/>
        </w:rPr>
        <w:t xml:space="preserve">Leat, D. (2002). Thinking through </w:t>
      </w:r>
      <w:r>
        <w:rPr>
          <w:sz w:val="16"/>
          <w:szCs w:val="16"/>
        </w:rPr>
        <w:t>g</w:t>
      </w:r>
      <w:r w:rsidRPr="007C0E29">
        <w:rPr>
          <w:sz w:val="16"/>
          <w:szCs w:val="16"/>
        </w:rPr>
        <w:t xml:space="preserve">eography. In M. Smith (Ed.), </w:t>
      </w:r>
      <w:r w:rsidRPr="007C0E29">
        <w:rPr>
          <w:i/>
          <w:iCs/>
          <w:sz w:val="16"/>
          <w:szCs w:val="16"/>
        </w:rPr>
        <w:t xml:space="preserve">Aspects of teaching secondary geography: Perspectives on practice </w:t>
      </w:r>
      <w:r w:rsidRPr="007C0E29">
        <w:rPr>
          <w:iCs/>
          <w:sz w:val="16"/>
          <w:szCs w:val="16"/>
        </w:rPr>
        <w:t>(s. 109–117)</w:t>
      </w:r>
      <w:r w:rsidRPr="007C0E29">
        <w:rPr>
          <w:sz w:val="16"/>
          <w:szCs w:val="16"/>
        </w:rPr>
        <w:t>. London: Routledge.</w:t>
      </w:r>
    </w:p>
    <w:p w:rsidR="0015711E" w:rsidRDefault="0015711E" w:rsidP="007C0E29">
      <w:pPr>
        <w:ind w:left="426" w:hanging="426"/>
        <w:rPr>
          <w:bCs/>
          <w:sz w:val="16"/>
          <w:szCs w:val="16"/>
        </w:rPr>
      </w:pPr>
      <w:r w:rsidRPr="007C0E29">
        <w:rPr>
          <w:bCs/>
          <w:sz w:val="16"/>
          <w:szCs w:val="16"/>
        </w:rPr>
        <w:t xml:space="preserve">Lee, J., &amp; Bednarz, R. (2012). Components of spatial thinking: Evidence from a spatial thinking ability test. </w:t>
      </w:r>
      <w:r w:rsidRPr="007C0E29">
        <w:rPr>
          <w:bCs/>
          <w:i/>
          <w:iCs/>
          <w:sz w:val="16"/>
          <w:szCs w:val="16"/>
        </w:rPr>
        <w:t>Journal of Geography</w:t>
      </w:r>
      <w:r w:rsidRPr="007C0E29">
        <w:rPr>
          <w:bCs/>
          <w:sz w:val="16"/>
          <w:szCs w:val="16"/>
        </w:rPr>
        <w:t xml:space="preserve">, </w:t>
      </w:r>
      <w:r w:rsidRPr="007C0E29">
        <w:rPr>
          <w:bCs/>
          <w:i/>
          <w:iCs/>
          <w:sz w:val="16"/>
          <w:szCs w:val="16"/>
        </w:rPr>
        <w:t>111</w:t>
      </w:r>
      <w:r w:rsidRPr="007C0E29">
        <w:rPr>
          <w:bCs/>
          <w:sz w:val="16"/>
          <w:szCs w:val="16"/>
        </w:rPr>
        <w:t>(1), 15–26.</w:t>
      </w:r>
    </w:p>
    <w:p w:rsidR="0015711E" w:rsidRPr="006346E5" w:rsidRDefault="0015711E" w:rsidP="006346E5">
      <w:pPr>
        <w:ind w:left="426" w:hanging="426"/>
        <w:rPr>
          <w:sz w:val="16"/>
          <w:szCs w:val="16"/>
        </w:rPr>
      </w:pPr>
      <w:r w:rsidRPr="006346E5">
        <w:rPr>
          <w:sz w:val="16"/>
          <w:szCs w:val="16"/>
        </w:rPr>
        <w:t>LeFevre, J. A., &amp; Dixon, P. (1986). Do writ</w:t>
      </w:r>
      <w:r>
        <w:rPr>
          <w:sz w:val="16"/>
          <w:szCs w:val="16"/>
        </w:rPr>
        <w:t>ten instructions need examples?</w:t>
      </w:r>
      <w:r w:rsidRPr="006346E5">
        <w:rPr>
          <w:sz w:val="16"/>
          <w:szCs w:val="16"/>
        </w:rPr>
        <w:t xml:space="preserve"> </w:t>
      </w:r>
      <w:r w:rsidRPr="006346E5">
        <w:rPr>
          <w:i/>
          <w:iCs/>
          <w:sz w:val="16"/>
          <w:szCs w:val="16"/>
        </w:rPr>
        <w:t>Cognition and Instruction</w:t>
      </w:r>
      <w:r w:rsidRPr="006346E5">
        <w:rPr>
          <w:sz w:val="16"/>
          <w:szCs w:val="16"/>
        </w:rPr>
        <w:t xml:space="preserve">, </w:t>
      </w:r>
      <w:r w:rsidRPr="006346E5">
        <w:rPr>
          <w:i/>
          <w:iCs/>
          <w:sz w:val="16"/>
          <w:szCs w:val="16"/>
        </w:rPr>
        <w:t>3</w:t>
      </w:r>
      <w:r w:rsidRPr="006346E5">
        <w:rPr>
          <w:sz w:val="16"/>
          <w:szCs w:val="16"/>
        </w:rPr>
        <w:t>(1), 1</w:t>
      </w:r>
      <w:r>
        <w:rPr>
          <w:sz w:val="16"/>
          <w:szCs w:val="16"/>
        </w:rPr>
        <w:t>–</w:t>
      </w:r>
      <w:r w:rsidRPr="006346E5">
        <w:rPr>
          <w:sz w:val="16"/>
          <w:szCs w:val="16"/>
        </w:rPr>
        <w:t>30.</w:t>
      </w:r>
    </w:p>
    <w:p w:rsidR="0015711E" w:rsidRPr="006E57E0" w:rsidRDefault="0015711E" w:rsidP="006E57E0">
      <w:pPr>
        <w:ind w:left="426" w:hanging="426"/>
        <w:rPr>
          <w:bCs/>
          <w:sz w:val="16"/>
          <w:szCs w:val="16"/>
        </w:rPr>
      </w:pPr>
      <w:r w:rsidRPr="006E57E0">
        <w:rPr>
          <w:bCs/>
          <w:sz w:val="16"/>
          <w:szCs w:val="16"/>
        </w:rPr>
        <w:t xml:space="preserve">Leutner, D. (2002). The fuzzy relationship of intelligence and problem solving in computer simulations. </w:t>
      </w:r>
      <w:r w:rsidRPr="000B0DDA">
        <w:rPr>
          <w:bCs/>
          <w:i/>
          <w:sz w:val="16"/>
          <w:szCs w:val="16"/>
        </w:rPr>
        <w:t>Computers in Human Behavior, 18</w:t>
      </w:r>
      <w:r w:rsidRPr="006E57E0">
        <w:rPr>
          <w:bCs/>
          <w:sz w:val="16"/>
          <w:szCs w:val="16"/>
        </w:rPr>
        <w:t>(6), 685</w:t>
      </w:r>
      <w:r>
        <w:rPr>
          <w:bCs/>
          <w:sz w:val="16"/>
          <w:szCs w:val="16"/>
        </w:rPr>
        <w:t>–</w:t>
      </w:r>
      <w:r w:rsidRPr="006E57E0">
        <w:rPr>
          <w:bCs/>
          <w:sz w:val="16"/>
          <w:szCs w:val="16"/>
        </w:rPr>
        <w:t>697.</w:t>
      </w:r>
    </w:p>
    <w:p w:rsidR="0015711E" w:rsidRPr="00015FB5" w:rsidRDefault="0015711E" w:rsidP="00015FB5">
      <w:pPr>
        <w:ind w:left="426" w:hanging="426"/>
        <w:rPr>
          <w:sz w:val="16"/>
          <w:szCs w:val="16"/>
        </w:rPr>
      </w:pPr>
      <w:r w:rsidRPr="00015FB5">
        <w:rPr>
          <w:sz w:val="16"/>
          <w:szCs w:val="16"/>
        </w:rPr>
        <w:t xml:space="preserve">Leutner, D., Funke, J., Klieme, E., &amp; Wirth, J. (2005). </w:t>
      </w:r>
      <w:r w:rsidRPr="00CB3387">
        <w:rPr>
          <w:sz w:val="16"/>
          <w:szCs w:val="16"/>
        </w:rPr>
        <w:t>Problemlösefähigkeit als fächerübergreifende Kompetenz. In E. Klieme, D. Leutner, D., &amp; J. Wirth (Eds.),</w:t>
      </w:r>
      <w:r w:rsidRPr="007D6EC9">
        <w:rPr>
          <w:i/>
          <w:sz w:val="16"/>
          <w:szCs w:val="16"/>
        </w:rPr>
        <w:t xml:space="preserve"> Problemlösekompetenz von Schülerinnen und Schülern: diagnostische Ansätze, theoretische Grundlagen und empirische Befunde der deutschen PISA-2000-Studie</w:t>
      </w:r>
      <w:r w:rsidRPr="00015FB5">
        <w:rPr>
          <w:sz w:val="16"/>
          <w:szCs w:val="16"/>
        </w:rPr>
        <w:t xml:space="preserve"> (s. 11</w:t>
      </w:r>
      <w:r>
        <w:rPr>
          <w:sz w:val="16"/>
          <w:szCs w:val="16"/>
        </w:rPr>
        <w:t>–</w:t>
      </w:r>
      <w:r w:rsidRPr="00015FB5">
        <w:rPr>
          <w:sz w:val="16"/>
          <w:szCs w:val="16"/>
        </w:rPr>
        <w:t>19). Wiesbaden: VS Verlag.</w:t>
      </w:r>
    </w:p>
    <w:p w:rsidR="0015711E" w:rsidRPr="007C0E29" w:rsidRDefault="0015711E" w:rsidP="007C0E29">
      <w:pPr>
        <w:ind w:left="426" w:hanging="426"/>
        <w:rPr>
          <w:bCs/>
          <w:sz w:val="16"/>
          <w:szCs w:val="16"/>
        </w:rPr>
      </w:pPr>
      <w:r w:rsidRPr="007C0E29">
        <w:rPr>
          <w:bCs/>
          <w:sz w:val="16"/>
          <w:szCs w:val="16"/>
        </w:rPr>
        <w:t xml:space="preserve">Linhart, J. (1976). </w:t>
      </w:r>
      <w:r w:rsidRPr="007C0E29">
        <w:rPr>
          <w:bCs/>
          <w:i/>
          <w:sz w:val="16"/>
          <w:szCs w:val="16"/>
        </w:rPr>
        <w:t>Činnost a poznávání.</w:t>
      </w:r>
      <w:r w:rsidRPr="007C0E29">
        <w:rPr>
          <w:bCs/>
          <w:sz w:val="16"/>
          <w:szCs w:val="16"/>
        </w:rPr>
        <w:t xml:space="preserve"> Praha: Academia.</w:t>
      </w:r>
    </w:p>
    <w:p w:rsidR="0015711E" w:rsidRPr="005434D2" w:rsidRDefault="0015711E" w:rsidP="005434D2">
      <w:pPr>
        <w:ind w:left="426" w:hanging="426"/>
        <w:rPr>
          <w:bCs/>
          <w:sz w:val="16"/>
          <w:szCs w:val="16"/>
        </w:rPr>
      </w:pPr>
      <w:r w:rsidRPr="005434D2">
        <w:rPr>
          <w:bCs/>
          <w:sz w:val="16"/>
          <w:szCs w:val="16"/>
        </w:rPr>
        <w:t xml:space="preserve">Lipták, F. (1987). </w:t>
      </w:r>
      <w:r w:rsidRPr="005434D2">
        <w:rPr>
          <w:bCs/>
          <w:i/>
          <w:sz w:val="16"/>
          <w:szCs w:val="16"/>
        </w:rPr>
        <w:t>Čo s problémom?</w:t>
      </w:r>
      <w:r w:rsidRPr="005434D2">
        <w:rPr>
          <w:bCs/>
          <w:sz w:val="16"/>
          <w:szCs w:val="16"/>
        </w:rPr>
        <w:t xml:space="preserve"> Bratislava: Obzor.</w:t>
      </w:r>
    </w:p>
    <w:p w:rsidR="0015711E" w:rsidRPr="005E1DC2" w:rsidRDefault="0015711E" w:rsidP="005E1DC2">
      <w:pPr>
        <w:ind w:left="426" w:hanging="426"/>
        <w:rPr>
          <w:sz w:val="16"/>
          <w:szCs w:val="16"/>
        </w:rPr>
      </w:pPr>
      <w:r w:rsidRPr="005E1DC2">
        <w:rPr>
          <w:sz w:val="16"/>
          <w:szCs w:val="16"/>
        </w:rPr>
        <w:t>Lodewyk, K.</w:t>
      </w:r>
      <w:r>
        <w:rPr>
          <w:sz w:val="16"/>
          <w:szCs w:val="16"/>
        </w:rPr>
        <w:t xml:space="preserve"> </w:t>
      </w:r>
      <w:r w:rsidRPr="005E1DC2">
        <w:rPr>
          <w:sz w:val="16"/>
          <w:szCs w:val="16"/>
        </w:rPr>
        <w:t>R., Winne, P.</w:t>
      </w:r>
      <w:r>
        <w:rPr>
          <w:sz w:val="16"/>
          <w:szCs w:val="16"/>
        </w:rPr>
        <w:t xml:space="preserve"> </w:t>
      </w:r>
      <w:r w:rsidRPr="005E1DC2">
        <w:rPr>
          <w:sz w:val="16"/>
          <w:szCs w:val="16"/>
        </w:rPr>
        <w:t>H., &amp; Jamieson-Noel, D.</w:t>
      </w:r>
      <w:r>
        <w:rPr>
          <w:sz w:val="16"/>
          <w:szCs w:val="16"/>
        </w:rPr>
        <w:t xml:space="preserve"> </w:t>
      </w:r>
      <w:r w:rsidRPr="005E1DC2">
        <w:rPr>
          <w:sz w:val="16"/>
          <w:szCs w:val="16"/>
        </w:rPr>
        <w:t xml:space="preserve">L. (2009). Implication of task structure on self-regulated learning and achievement. </w:t>
      </w:r>
      <w:r w:rsidRPr="005E1DC2">
        <w:rPr>
          <w:i/>
          <w:sz w:val="16"/>
          <w:szCs w:val="16"/>
        </w:rPr>
        <w:t>Educational Psychology, 29</w:t>
      </w:r>
      <w:r w:rsidRPr="005E1DC2">
        <w:rPr>
          <w:sz w:val="16"/>
          <w:szCs w:val="16"/>
        </w:rPr>
        <w:t>(1), 1</w:t>
      </w:r>
      <w:r>
        <w:rPr>
          <w:sz w:val="16"/>
          <w:szCs w:val="16"/>
        </w:rPr>
        <w:t>–</w:t>
      </w:r>
      <w:r w:rsidRPr="005E1DC2">
        <w:rPr>
          <w:sz w:val="16"/>
          <w:szCs w:val="16"/>
        </w:rPr>
        <w:t>25.</w:t>
      </w:r>
    </w:p>
    <w:p w:rsidR="0015711E" w:rsidRPr="00114602" w:rsidRDefault="0015711E" w:rsidP="00114602">
      <w:pPr>
        <w:ind w:left="426" w:hanging="426"/>
        <w:rPr>
          <w:bCs/>
          <w:sz w:val="16"/>
          <w:szCs w:val="16"/>
        </w:rPr>
      </w:pPr>
      <w:r w:rsidRPr="008E1CDD">
        <w:rPr>
          <w:bCs/>
          <w:sz w:val="16"/>
          <w:szCs w:val="16"/>
        </w:rPr>
        <w:t>Lokajíčková, V. (2012). Kvantitativní analýza učebních úloh z pohledu rozvíjení kompetence</w:t>
      </w:r>
      <w:r>
        <w:rPr>
          <w:bCs/>
          <w:sz w:val="16"/>
          <w:szCs w:val="16"/>
        </w:rPr>
        <w:t xml:space="preserve"> </w:t>
      </w:r>
      <w:r w:rsidRPr="008E1CDD">
        <w:rPr>
          <w:bCs/>
          <w:sz w:val="16"/>
          <w:szCs w:val="16"/>
        </w:rPr>
        <w:t xml:space="preserve">k učení ve výuce. In T. Janík, K. Pešková, et al. </w:t>
      </w:r>
      <w:r w:rsidRPr="00563165">
        <w:rPr>
          <w:i/>
          <w:sz w:val="16"/>
          <w:szCs w:val="16"/>
        </w:rPr>
        <w:t>Školní vzdělávání: podmínky, kurikulum, aktéři, procesy, výsledky</w:t>
      </w:r>
      <w:r w:rsidRPr="008E1CDD">
        <w:rPr>
          <w:sz w:val="16"/>
          <w:szCs w:val="16"/>
        </w:rPr>
        <w:t xml:space="preserve"> (</w:t>
      </w:r>
      <w:r>
        <w:rPr>
          <w:sz w:val="16"/>
          <w:szCs w:val="16"/>
        </w:rPr>
        <w:t xml:space="preserve">s. </w:t>
      </w:r>
      <w:r w:rsidRPr="008E1CDD">
        <w:rPr>
          <w:sz w:val="16"/>
          <w:szCs w:val="16"/>
        </w:rPr>
        <w:t>230</w:t>
      </w:r>
      <w:r>
        <w:rPr>
          <w:sz w:val="16"/>
          <w:szCs w:val="16"/>
        </w:rPr>
        <w:t>–</w:t>
      </w:r>
      <w:r w:rsidRPr="008E1CDD">
        <w:rPr>
          <w:sz w:val="16"/>
          <w:szCs w:val="16"/>
        </w:rPr>
        <w:t>246). Brno: Masarykova univerzita.</w:t>
      </w:r>
    </w:p>
    <w:p w:rsidR="0015711E" w:rsidRPr="005A4315" w:rsidRDefault="0015711E" w:rsidP="005A4315">
      <w:pPr>
        <w:ind w:left="426" w:hanging="426"/>
        <w:rPr>
          <w:bCs/>
          <w:iCs/>
          <w:sz w:val="16"/>
          <w:szCs w:val="16"/>
        </w:rPr>
      </w:pPr>
      <w:r w:rsidRPr="005A4315">
        <w:rPr>
          <w:bCs/>
          <w:iCs/>
          <w:sz w:val="16"/>
          <w:szCs w:val="16"/>
        </w:rPr>
        <w:t>Lokajíčková, V. (2013). Kvantitativní analýza výukových situací z pohledu rozvíjení kompetence k učení ve výuce zeměpisu: vybrané výsledky předvýzk</w:t>
      </w:r>
      <w:r>
        <w:rPr>
          <w:bCs/>
          <w:iCs/>
          <w:sz w:val="16"/>
          <w:szCs w:val="16"/>
        </w:rPr>
        <w:t>umu. In T. Janík, K. Pešková</w:t>
      </w:r>
      <w:r w:rsidRPr="005A4315">
        <w:rPr>
          <w:bCs/>
          <w:iCs/>
          <w:sz w:val="16"/>
          <w:szCs w:val="16"/>
        </w:rPr>
        <w:t xml:space="preserve">, et al. (2013). </w:t>
      </w:r>
      <w:r w:rsidRPr="005A4315">
        <w:rPr>
          <w:bCs/>
          <w:i/>
          <w:iCs/>
          <w:sz w:val="16"/>
          <w:szCs w:val="16"/>
        </w:rPr>
        <w:t xml:space="preserve">Školní vzdělávání: od podmínek k výsledkům </w:t>
      </w:r>
      <w:r w:rsidRPr="005A4315">
        <w:rPr>
          <w:bCs/>
          <w:iCs/>
          <w:sz w:val="16"/>
          <w:szCs w:val="16"/>
        </w:rPr>
        <w:t>(s. 138–156).</w:t>
      </w:r>
      <w:r w:rsidRPr="005A4315">
        <w:rPr>
          <w:bCs/>
          <w:i/>
          <w:iCs/>
          <w:sz w:val="16"/>
          <w:szCs w:val="16"/>
        </w:rPr>
        <w:t xml:space="preserve"> </w:t>
      </w:r>
      <w:r w:rsidRPr="005A4315">
        <w:rPr>
          <w:bCs/>
          <w:iCs/>
          <w:sz w:val="16"/>
          <w:szCs w:val="16"/>
        </w:rPr>
        <w:t>Brno: Masarykova univerzita.</w:t>
      </w:r>
    </w:p>
    <w:p w:rsidR="0015711E" w:rsidRPr="005434D2" w:rsidRDefault="0015711E" w:rsidP="005434D2">
      <w:pPr>
        <w:ind w:left="426" w:hanging="426"/>
        <w:rPr>
          <w:bCs/>
          <w:sz w:val="16"/>
          <w:szCs w:val="16"/>
        </w:rPr>
      </w:pPr>
      <w:r w:rsidRPr="005434D2">
        <w:rPr>
          <w:bCs/>
          <w:sz w:val="16"/>
          <w:szCs w:val="16"/>
        </w:rPr>
        <w:t>Loyens, S. M. M., Kirschner, P. A., &amp; Paas, F. (2012). Problem-Based Le</w:t>
      </w:r>
      <w:r>
        <w:rPr>
          <w:bCs/>
          <w:sz w:val="16"/>
          <w:szCs w:val="16"/>
        </w:rPr>
        <w:t>arning. In K. R. Harris, S. Gra</w:t>
      </w:r>
      <w:r w:rsidRPr="005434D2">
        <w:rPr>
          <w:bCs/>
          <w:sz w:val="16"/>
          <w:szCs w:val="16"/>
        </w:rPr>
        <w:t xml:space="preserve">ham, &amp; T. C. Urdan (Eds.), </w:t>
      </w:r>
      <w:r w:rsidRPr="005434D2">
        <w:rPr>
          <w:bCs/>
          <w:i/>
          <w:sz w:val="16"/>
          <w:szCs w:val="16"/>
        </w:rPr>
        <w:t>APA educational psychology handbook</w:t>
      </w:r>
      <w:r w:rsidRPr="005434D2">
        <w:rPr>
          <w:bCs/>
          <w:sz w:val="16"/>
          <w:szCs w:val="16"/>
        </w:rPr>
        <w:t xml:space="preserve"> (s. 403–425). Washington: American Psychological Association. </w:t>
      </w:r>
    </w:p>
    <w:p w:rsidR="0015711E" w:rsidRPr="007C0E29" w:rsidRDefault="0015711E" w:rsidP="007C0E29">
      <w:pPr>
        <w:ind w:left="426" w:hanging="426"/>
        <w:rPr>
          <w:sz w:val="16"/>
          <w:szCs w:val="16"/>
        </w:rPr>
      </w:pPr>
      <w:r w:rsidRPr="00D176A1">
        <w:rPr>
          <w:sz w:val="16"/>
          <w:szCs w:val="16"/>
        </w:rPr>
        <w:t xml:space="preserve">Lüer, G., &amp; </w:t>
      </w:r>
      <w:r w:rsidRPr="007C0E29">
        <w:rPr>
          <w:sz w:val="16"/>
          <w:szCs w:val="16"/>
        </w:rPr>
        <w:t xml:space="preserve">Spada, H. (1992). Denken und Problemlösen. In </w:t>
      </w:r>
      <w:r>
        <w:rPr>
          <w:sz w:val="16"/>
          <w:szCs w:val="16"/>
        </w:rPr>
        <w:t xml:space="preserve">H. Spada (Ed.), </w:t>
      </w:r>
      <w:r w:rsidRPr="007C0E29">
        <w:rPr>
          <w:i/>
          <w:sz w:val="16"/>
          <w:szCs w:val="16"/>
        </w:rPr>
        <w:t>Lehrbuch allgemeine Psychologie</w:t>
      </w:r>
      <w:r w:rsidRPr="007C0E29">
        <w:rPr>
          <w:sz w:val="16"/>
          <w:szCs w:val="16"/>
        </w:rPr>
        <w:t xml:space="preserve"> (s. 189 –280). Bern: Hans Huber.</w:t>
      </w:r>
      <w:r w:rsidRPr="007C0E29">
        <w:rPr>
          <w:sz w:val="16"/>
          <w:szCs w:val="16"/>
        </w:rPr>
        <w:tab/>
      </w:r>
    </w:p>
    <w:p w:rsidR="0015711E" w:rsidRPr="007C0E29" w:rsidRDefault="0015711E" w:rsidP="007C0E29">
      <w:pPr>
        <w:ind w:left="426" w:hanging="426"/>
        <w:rPr>
          <w:bCs/>
          <w:sz w:val="16"/>
          <w:szCs w:val="16"/>
        </w:rPr>
      </w:pPr>
      <w:r w:rsidRPr="007C0E29">
        <w:rPr>
          <w:bCs/>
          <w:sz w:val="16"/>
          <w:szCs w:val="16"/>
        </w:rPr>
        <w:t xml:space="preserve">Luhmann, N. (1984). </w:t>
      </w:r>
      <w:r w:rsidRPr="007C0E29">
        <w:rPr>
          <w:bCs/>
          <w:i/>
          <w:iCs/>
          <w:sz w:val="16"/>
          <w:szCs w:val="16"/>
        </w:rPr>
        <w:t xml:space="preserve">Soziale </w:t>
      </w:r>
      <w:r>
        <w:rPr>
          <w:bCs/>
          <w:i/>
          <w:iCs/>
          <w:sz w:val="16"/>
          <w:szCs w:val="16"/>
        </w:rPr>
        <w:t>S</w:t>
      </w:r>
      <w:r w:rsidRPr="007C0E29">
        <w:rPr>
          <w:bCs/>
          <w:i/>
          <w:iCs/>
          <w:sz w:val="16"/>
          <w:szCs w:val="16"/>
        </w:rPr>
        <w:t>ysteme</w:t>
      </w:r>
      <w:r w:rsidRPr="007C0E29">
        <w:rPr>
          <w:bCs/>
          <w:sz w:val="16"/>
          <w:szCs w:val="16"/>
        </w:rPr>
        <w:t>. Frankfurt am Main: Suhrkamp.</w:t>
      </w:r>
    </w:p>
    <w:p w:rsidR="0015711E" w:rsidRPr="007C0E29" w:rsidRDefault="0015711E" w:rsidP="007C0E29">
      <w:pPr>
        <w:ind w:left="426" w:hanging="426"/>
        <w:rPr>
          <w:sz w:val="16"/>
          <w:szCs w:val="16"/>
        </w:rPr>
      </w:pPr>
      <w:r w:rsidRPr="007C0E29">
        <w:rPr>
          <w:sz w:val="16"/>
          <w:szCs w:val="16"/>
        </w:rPr>
        <w:t xml:space="preserve">Luhmann, N. (1995). </w:t>
      </w:r>
      <w:r w:rsidRPr="007C0E29">
        <w:rPr>
          <w:i/>
          <w:sz w:val="16"/>
          <w:szCs w:val="16"/>
        </w:rPr>
        <w:t>Social systems.</w:t>
      </w:r>
      <w:r w:rsidRPr="007C0E29">
        <w:rPr>
          <w:sz w:val="16"/>
          <w:szCs w:val="16"/>
        </w:rPr>
        <w:t xml:space="preserve"> Stanford: Stanford University Press.</w:t>
      </w:r>
    </w:p>
    <w:p w:rsidR="0015711E" w:rsidRPr="001D60CE" w:rsidRDefault="0015711E" w:rsidP="001D60CE">
      <w:pPr>
        <w:ind w:left="426" w:hanging="426"/>
        <w:rPr>
          <w:bCs/>
          <w:sz w:val="16"/>
          <w:szCs w:val="16"/>
        </w:rPr>
      </w:pPr>
      <w:r w:rsidRPr="001D60CE">
        <w:rPr>
          <w:bCs/>
          <w:sz w:val="16"/>
          <w:szCs w:val="16"/>
        </w:rPr>
        <w:t xml:space="preserve">Machyček, J. (1984). Postavení geografie v učebních plánech našich škol. </w:t>
      </w:r>
      <w:r w:rsidRPr="001D60CE">
        <w:rPr>
          <w:bCs/>
          <w:i/>
          <w:sz w:val="16"/>
          <w:szCs w:val="16"/>
        </w:rPr>
        <w:t>Acta Universitatis Palackianae Olomucensis Facultas Rerum Naturalium, Geographica – Geologica XXIII</w:t>
      </w:r>
      <w:r w:rsidRPr="001D60CE">
        <w:rPr>
          <w:bCs/>
          <w:sz w:val="16"/>
          <w:szCs w:val="16"/>
        </w:rPr>
        <w:t xml:space="preserve">, </w:t>
      </w:r>
      <w:r w:rsidRPr="00EC520C">
        <w:rPr>
          <w:bCs/>
          <w:i/>
          <w:sz w:val="16"/>
          <w:szCs w:val="16"/>
        </w:rPr>
        <w:t>80</w:t>
      </w:r>
      <w:r w:rsidRPr="001D60CE">
        <w:rPr>
          <w:bCs/>
          <w:sz w:val="16"/>
          <w:szCs w:val="16"/>
        </w:rPr>
        <w:t>, 37–50.</w:t>
      </w:r>
    </w:p>
    <w:p w:rsidR="0015711E" w:rsidRPr="00BC6E9A" w:rsidRDefault="0015711E" w:rsidP="00BC6E9A">
      <w:pPr>
        <w:ind w:left="426" w:hanging="426"/>
        <w:rPr>
          <w:bCs/>
          <w:iCs/>
          <w:sz w:val="16"/>
          <w:szCs w:val="16"/>
        </w:rPr>
      </w:pPr>
      <w:r w:rsidRPr="00BC6E9A">
        <w:rPr>
          <w:bCs/>
          <w:iCs/>
          <w:sz w:val="16"/>
          <w:szCs w:val="16"/>
        </w:rPr>
        <w:t>Machyček, J. (1988)</w:t>
      </w:r>
      <w:r>
        <w:rPr>
          <w:bCs/>
          <w:iCs/>
          <w:sz w:val="16"/>
          <w:szCs w:val="16"/>
        </w:rPr>
        <w:t>.</w:t>
      </w:r>
      <w:r w:rsidRPr="00BC6E9A">
        <w:rPr>
          <w:bCs/>
          <w:iCs/>
          <w:sz w:val="16"/>
          <w:szCs w:val="16"/>
        </w:rPr>
        <w:t xml:space="preserve"> Fyzická geografie v učebním plánu základních a středních škol v ČSSR. </w:t>
      </w:r>
      <w:r w:rsidRPr="006723EE">
        <w:rPr>
          <w:bCs/>
          <w:i/>
          <w:iCs/>
          <w:sz w:val="16"/>
          <w:szCs w:val="16"/>
        </w:rPr>
        <w:t>Acta Universitatis Palackianae Olomucensis Facultas Rerum Naturalium, Geographica – Geologica XXVII, 92</w:t>
      </w:r>
      <w:r>
        <w:rPr>
          <w:bCs/>
          <w:iCs/>
          <w:sz w:val="16"/>
          <w:szCs w:val="16"/>
        </w:rPr>
        <w:t>,</w:t>
      </w:r>
      <w:r w:rsidRPr="00BC6E9A">
        <w:rPr>
          <w:bCs/>
          <w:iCs/>
          <w:sz w:val="16"/>
          <w:szCs w:val="16"/>
        </w:rPr>
        <w:t xml:space="preserve"> 5–15. </w:t>
      </w:r>
    </w:p>
    <w:p w:rsidR="0015711E" w:rsidRPr="005E1DC2" w:rsidRDefault="0015711E" w:rsidP="005E1DC2">
      <w:pPr>
        <w:ind w:left="426" w:hanging="426"/>
        <w:rPr>
          <w:sz w:val="16"/>
          <w:szCs w:val="16"/>
        </w:rPr>
      </w:pPr>
      <w:r w:rsidRPr="005E1DC2">
        <w:rPr>
          <w:sz w:val="16"/>
          <w:szCs w:val="16"/>
        </w:rPr>
        <w:t>Maier, U., Bohl, T., Kleinknecht, M., &amp; Metz, K. (2013). Allgemaindidatische Kategorien für die Analyse vov Aufgaben. In M. Kleinknecht, T. Bohl, U. Maier, &amp; K. Metz (Eds.)</w:t>
      </w:r>
      <w:r>
        <w:rPr>
          <w:sz w:val="16"/>
          <w:szCs w:val="16"/>
        </w:rPr>
        <w:t xml:space="preserve">, </w:t>
      </w:r>
      <w:r w:rsidRPr="005E1DC2">
        <w:rPr>
          <w:i/>
          <w:sz w:val="16"/>
          <w:szCs w:val="16"/>
        </w:rPr>
        <w:t>Lern-und Leistungsaufgaben im Unterricht. Fächerübergreifende Kategorien zur Auswahl und Analyse</w:t>
      </w:r>
      <w:r>
        <w:rPr>
          <w:i/>
          <w:sz w:val="16"/>
          <w:szCs w:val="16"/>
        </w:rPr>
        <w:t xml:space="preserve"> </w:t>
      </w:r>
      <w:r w:rsidRPr="00317D51">
        <w:rPr>
          <w:sz w:val="16"/>
          <w:szCs w:val="16"/>
        </w:rPr>
        <w:t xml:space="preserve">(s. 9 –46). </w:t>
      </w:r>
      <w:r w:rsidRPr="005E1DC2">
        <w:rPr>
          <w:sz w:val="16"/>
          <w:szCs w:val="16"/>
        </w:rPr>
        <w:t>Bad Heilbrunn: Klinkhardt.</w:t>
      </w:r>
    </w:p>
    <w:p w:rsidR="0015711E" w:rsidRPr="00402C6A" w:rsidRDefault="0015711E" w:rsidP="00402C6A">
      <w:pPr>
        <w:ind w:left="426" w:hanging="426"/>
        <w:rPr>
          <w:bCs/>
          <w:iCs/>
          <w:sz w:val="16"/>
          <w:szCs w:val="16"/>
        </w:rPr>
      </w:pPr>
      <w:r w:rsidRPr="00402C6A">
        <w:rPr>
          <w:bCs/>
          <w:iCs/>
          <w:sz w:val="16"/>
          <w:szCs w:val="16"/>
        </w:rPr>
        <w:t xml:space="preserve">Makovská, Z. (2011). Žákovské strategie při hledání odpovĕdí na otázky učitele. </w:t>
      </w:r>
      <w:r w:rsidRPr="00AA6590">
        <w:rPr>
          <w:bCs/>
          <w:i/>
          <w:iCs/>
          <w:sz w:val="16"/>
          <w:szCs w:val="16"/>
        </w:rPr>
        <w:t>Studia paedagogica, 16</w:t>
      </w:r>
      <w:r w:rsidRPr="00402C6A">
        <w:rPr>
          <w:bCs/>
          <w:iCs/>
          <w:sz w:val="16"/>
          <w:szCs w:val="16"/>
        </w:rPr>
        <w:t xml:space="preserve">(1), </w:t>
      </w:r>
      <w:r>
        <w:rPr>
          <w:bCs/>
          <w:iCs/>
          <w:sz w:val="16"/>
          <w:szCs w:val="16"/>
        </w:rPr>
        <w:t>47–70.</w:t>
      </w:r>
    </w:p>
    <w:p w:rsidR="0015711E" w:rsidRPr="00714E41" w:rsidRDefault="0015711E" w:rsidP="00714E41">
      <w:pPr>
        <w:ind w:left="426" w:hanging="426"/>
        <w:rPr>
          <w:sz w:val="16"/>
          <w:szCs w:val="16"/>
        </w:rPr>
      </w:pPr>
      <w:r w:rsidRPr="00714E41">
        <w:rPr>
          <w:iCs/>
          <w:sz w:val="16"/>
          <w:szCs w:val="16"/>
        </w:rPr>
        <w:t>Maňák, J. (2009). Vzdělávání ve společnosti vědění. In</w:t>
      </w:r>
      <w:r>
        <w:rPr>
          <w:iCs/>
          <w:sz w:val="16"/>
          <w:szCs w:val="16"/>
        </w:rPr>
        <w:t xml:space="preserve"> </w:t>
      </w:r>
      <w:r w:rsidR="00E606F3">
        <w:rPr>
          <w:iCs/>
          <w:sz w:val="16"/>
          <w:szCs w:val="16"/>
        </w:rPr>
        <w:t xml:space="preserve">T. Janík </w:t>
      </w:r>
      <w:r w:rsidRPr="00714E41">
        <w:rPr>
          <w:iCs/>
          <w:sz w:val="16"/>
          <w:szCs w:val="16"/>
        </w:rPr>
        <w:t xml:space="preserve">&amp; V. Švec (Eds.), </w:t>
      </w:r>
      <w:r w:rsidRPr="00714E41">
        <w:rPr>
          <w:i/>
          <w:iCs/>
          <w:sz w:val="16"/>
          <w:szCs w:val="16"/>
        </w:rPr>
        <w:t xml:space="preserve">K perspektivám školního vzdělávání </w:t>
      </w:r>
      <w:r w:rsidRPr="00714E41">
        <w:rPr>
          <w:iCs/>
          <w:sz w:val="16"/>
          <w:szCs w:val="16"/>
        </w:rPr>
        <w:t>(s. 11</w:t>
      </w:r>
      <w:r w:rsidRPr="00714E41">
        <w:rPr>
          <w:sz w:val="16"/>
          <w:szCs w:val="16"/>
        </w:rPr>
        <w:t xml:space="preserve">–20). </w:t>
      </w:r>
      <w:r w:rsidRPr="00714E41">
        <w:rPr>
          <w:iCs/>
          <w:sz w:val="16"/>
          <w:szCs w:val="16"/>
        </w:rPr>
        <w:t>Brno: Paido.</w:t>
      </w:r>
    </w:p>
    <w:p w:rsidR="0015711E" w:rsidRPr="00AB7E8C" w:rsidRDefault="0015711E" w:rsidP="00AB7E8C">
      <w:pPr>
        <w:ind w:left="426" w:hanging="426"/>
        <w:rPr>
          <w:iCs/>
          <w:sz w:val="16"/>
          <w:szCs w:val="16"/>
        </w:rPr>
      </w:pPr>
      <w:r w:rsidRPr="00AB7E8C">
        <w:rPr>
          <w:iCs/>
          <w:sz w:val="16"/>
          <w:szCs w:val="16"/>
        </w:rPr>
        <w:t>Manning, A. (2014). Gersmehl and Gersmehl's</w:t>
      </w:r>
      <w:r>
        <w:rPr>
          <w:iCs/>
          <w:sz w:val="16"/>
          <w:szCs w:val="16"/>
        </w:rPr>
        <w:t xml:space="preserve"> </w:t>
      </w:r>
      <w:r w:rsidRPr="00AB7E8C">
        <w:rPr>
          <w:iCs/>
          <w:sz w:val="16"/>
          <w:szCs w:val="16"/>
        </w:rPr>
        <w:t xml:space="preserve">'Wanted: </w:t>
      </w:r>
      <w:r>
        <w:rPr>
          <w:iCs/>
          <w:sz w:val="16"/>
          <w:szCs w:val="16"/>
        </w:rPr>
        <w:t xml:space="preserve">Aconcise list of… </w:t>
      </w:r>
      <w:r w:rsidRPr="00AB7E8C">
        <w:rPr>
          <w:iCs/>
          <w:sz w:val="16"/>
          <w:szCs w:val="16"/>
        </w:rPr>
        <w:t xml:space="preserve">spatial thinking skills'. </w:t>
      </w:r>
      <w:r>
        <w:rPr>
          <w:i/>
          <w:iCs/>
          <w:sz w:val="16"/>
          <w:szCs w:val="16"/>
        </w:rPr>
        <w:t>Geography</w:t>
      </w:r>
      <w:r w:rsidRPr="00AB7E8C">
        <w:rPr>
          <w:iCs/>
          <w:sz w:val="16"/>
          <w:szCs w:val="16"/>
        </w:rPr>
        <w:t xml:space="preserve">, </w:t>
      </w:r>
      <w:r w:rsidRPr="00AB7E8C">
        <w:rPr>
          <w:i/>
          <w:iCs/>
          <w:sz w:val="16"/>
          <w:szCs w:val="16"/>
        </w:rPr>
        <w:t>99</w:t>
      </w:r>
      <w:r w:rsidRPr="00B273D1">
        <w:rPr>
          <w:iCs/>
          <w:sz w:val="16"/>
          <w:szCs w:val="16"/>
        </w:rPr>
        <w:t>(2),</w:t>
      </w:r>
      <w:r>
        <w:rPr>
          <w:iCs/>
          <w:sz w:val="16"/>
          <w:szCs w:val="16"/>
        </w:rPr>
        <w:t xml:space="preserve"> </w:t>
      </w:r>
      <w:r w:rsidRPr="00AB7E8C">
        <w:rPr>
          <w:iCs/>
          <w:sz w:val="16"/>
          <w:szCs w:val="16"/>
        </w:rPr>
        <w:t>108</w:t>
      </w:r>
      <w:r>
        <w:rPr>
          <w:iCs/>
          <w:sz w:val="16"/>
          <w:szCs w:val="16"/>
        </w:rPr>
        <w:t>–</w:t>
      </w:r>
      <w:r w:rsidRPr="00AB7E8C">
        <w:rPr>
          <w:iCs/>
          <w:sz w:val="16"/>
          <w:szCs w:val="16"/>
        </w:rPr>
        <w:t>110.</w:t>
      </w:r>
    </w:p>
    <w:p w:rsidR="00E606F3" w:rsidRPr="00C1088A" w:rsidRDefault="00E606F3" w:rsidP="00F25CA8">
      <w:pPr>
        <w:ind w:left="426" w:hanging="426"/>
        <w:rPr>
          <w:bCs/>
          <w:iCs/>
          <w:sz w:val="16"/>
          <w:szCs w:val="16"/>
        </w:rPr>
      </w:pPr>
      <w:r w:rsidRPr="00C1088A">
        <w:rPr>
          <w:bCs/>
          <w:iCs/>
          <w:sz w:val="16"/>
          <w:szCs w:val="16"/>
        </w:rPr>
        <w:t xml:space="preserve">Manson, S. M. (2001). Simplifying complexity: </w:t>
      </w:r>
      <w:r>
        <w:rPr>
          <w:bCs/>
          <w:iCs/>
          <w:sz w:val="16"/>
          <w:szCs w:val="16"/>
        </w:rPr>
        <w:t>A</w:t>
      </w:r>
      <w:r w:rsidRPr="00C1088A">
        <w:rPr>
          <w:bCs/>
          <w:iCs/>
          <w:sz w:val="16"/>
          <w:szCs w:val="16"/>
        </w:rPr>
        <w:t xml:space="preserve"> review of complexity theory.</w:t>
      </w:r>
      <w:r>
        <w:rPr>
          <w:bCs/>
          <w:iCs/>
          <w:sz w:val="16"/>
          <w:szCs w:val="16"/>
        </w:rPr>
        <w:t xml:space="preserve"> </w:t>
      </w:r>
      <w:r w:rsidRPr="00C1088A">
        <w:rPr>
          <w:bCs/>
          <w:i/>
          <w:iCs/>
          <w:sz w:val="16"/>
          <w:szCs w:val="16"/>
        </w:rPr>
        <w:t>Geoforum</w:t>
      </w:r>
      <w:r w:rsidRPr="00C1088A">
        <w:rPr>
          <w:bCs/>
          <w:iCs/>
          <w:sz w:val="16"/>
          <w:szCs w:val="16"/>
        </w:rPr>
        <w:t>, </w:t>
      </w:r>
      <w:r w:rsidRPr="00C1088A">
        <w:rPr>
          <w:bCs/>
          <w:i/>
          <w:iCs/>
          <w:sz w:val="16"/>
          <w:szCs w:val="16"/>
        </w:rPr>
        <w:t>32</w:t>
      </w:r>
      <w:r w:rsidRPr="00C1088A">
        <w:rPr>
          <w:bCs/>
          <w:iCs/>
          <w:sz w:val="16"/>
          <w:szCs w:val="16"/>
        </w:rPr>
        <w:t>(3), 405</w:t>
      </w:r>
      <w:r>
        <w:rPr>
          <w:bCs/>
          <w:iCs/>
          <w:sz w:val="16"/>
          <w:szCs w:val="16"/>
        </w:rPr>
        <w:t>–</w:t>
      </w:r>
      <w:r w:rsidRPr="00C1088A">
        <w:rPr>
          <w:bCs/>
          <w:iCs/>
          <w:sz w:val="16"/>
          <w:szCs w:val="16"/>
        </w:rPr>
        <w:t>414.</w:t>
      </w:r>
    </w:p>
    <w:p w:rsidR="00E606F3" w:rsidRPr="00B61677" w:rsidRDefault="00E606F3" w:rsidP="00B61677">
      <w:pPr>
        <w:ind w:left="426" w:hanging="426"/>
        <w:rPr>
          <w:bCs/>
          <w:iCs/>
          <w:sz w:val="16"/>
          <w:szCs w:val="16"/>
        </w:rPr>
      </w:pPr>
      <w:r w:rsidRPr="00B61677">
        <w:rPr>
          <w:bCs/>
          <w:iCs/>
          <w:sz w:val="16"/>
          <w:szCs w:val="16"/>
        </w:rPr>
        <w:t>M</w:t>
      </w:r>
      <w:r>
        <w:rPr>
          <w:bCs/>
          <w:iCs/>
          <w:sz w:val="16"/>
          <w:szCs w:val="16"/>
        </w:rPr>
        <w:t>areš</w:t>
      </w:r>
      <w:r w:rsidRPr="00B61677">
        <w:rPr>
          <w:bCs/>
          <w:iCs/>
          <w:sz w:val="16"/>
          <w:szCs w:val="16"/>
        </w:rPr>
        <w:t xml:space="preserve">, J. (1988). Učitelovy otázky a žákovy odpovědi z hlediska kognitivní korespondence. </w:t>
      </w:r>
      <w:r w:rsidRPr="00B61677">
        <w:rPr>
          <w:bCs/>
          <w:i/>
          <w:iCs/>
          <w:sz w:val="16"/>
          <w:szCs w:val="16"/>
        </w:rPr>
        <w:t>Acta Universitatis Carolinae, Philologica</w:t>
      </w:r>
      <w:r w:rsidRPr="00B61677">
        <w:rPr>
          <w:bCs/>
          <w:iCs/>
          <w:sz w:val="16"/>
          <w:szCs w:val="16"/>
        </w:rPr>
        <w:t>,</w:t>
      </w:r>
      <w:r w:rsidRPr="00B75ACD">
        <w:rPr>
          <w:bCs/>
          <w:i/>
          <w:iCs/>
          <w:sz w:val="16"/>
          <w:szCs w:val="16"/>
        </w:rPr>
        <w:t xml:space="preserve"> 32</w:t>
      </w:r>
      <w:r>
        <w:rPr>
          <w:bCs/>
          <w:iCs/>
          <w:sz w:val="16"/>
          <w:szCs w:val="16"/>
        </w:rPr>
        <w:t>(</w:t>
      </w:r>
      <w:r w:rsidRPr="00B61677">
        <w:rPr>
          <w:bCs/>
          <w:iCs/>
          <w:sz w:val="16"/>
          <w:szCs w:val="16"/>
        </w:rPr>
        <w:t>4</w:t>
      </w:r>
      <w:r>
        <w:rPr>
          <w:bCs/>
          <w:iCs/>
          <w:sz w:val="16"/>
          <w:szCs w:val="16"/>
        </w:rPr>
        <w:t>–</w:t>
      </w:r>
      <w:r w:rsidRPr="00B61677">
        <w:rPr>
          <w:bCs/>
          <w:iCs/>
          <w:sz w:val="16"/>
          <w:szCs w:val="16"/>
        </w:rPr>
        <w:t>5</w:t>
      </w:r>
      <w:r>
        <w:rPr>
          <w:bCs/>
          <w:iCs/>
          <w:sz w:val="16"/>
          <w:szCs w:val="16"/>
        </w:rPr>
        <w:t>), 381–387</w:t>
      </w:r>
      <w:r w:rsidRPr="00B61677">
        <w:rPr>
          <w:bCs/>
          <w:iCs/>
          <w:sz w:val="16"/>
          <w:szCs w:val="16"/>
        </w:rPr>
        <w:t>.</w:t>
      </w:r>
    </w:p>
    <w:p w:rsidR="00E606F3" w:rsidRPr="00E606F3" w:rsidRDefault="00E606F3" w:rsidP="00E606F3">
      <w:pPr>
        <w:ind w:left="426" w:hanging="426"/>
        <w:rPr>
          <w:bCs/>
          <w:iCs/>
          <w:sz w:val="16"/>
          <w:szCs w:val="16"/>
        </w:rPr>
      </w:pPr>
      <w:r w:rsidRPr="00E606F3">
        <w:rPr>
          <w:bCs/>
          <w:iCs/>
          <w:sz w:val="16"/>
          <w:szCs w:val="16"/>
        </w:rPr>
        <w:t xml:space="preserve">Mareš, J. (2009). Edukace založená na důkazech: inspirace pro pedagogický výzkum i školní praxi. </w:t>
      </w:r>
      <w:r w:rsidRPr="00E606F3">
        <w:rPr>
          <w:bCs/>
          <w:i/>
          <w:iCs/>
          <w:sz w:val="16"/>
          <w:szCs w:val="16"/>
        </w:rPr>
        <w:t>Pedagogika</w:t>
      </w:r>
      <w:r w:rsidRPr="00E606F3">
        <w:rPr>
          <w:bCs/>
          <w:iCs/>
          <w:sz w:val="16"/>
          <w:szCs w:val="16"/>
        </w:rPr>
        <w:t xml:space="preserve">, </w:t>
      </w:r>
      <w:r w:rsidRPr="00E606F3">
        <w:rPr>
          <w:bCs/>
          <w:i/>
          <w:iCs/>
          <w:sz w:val="16"/>
          <w:szCs w:val="16"/>
        </w:rPr>
        <w:t>59</w:t>
      </w:r>
      <w:r w:rsidRPr="00E606F3">
        <w:rPr>
          <w:bCs/>
          <w:iCs/>
          <w:sz w:val="16"/>
          <w:szCs w:val="16"/>
        </w:rPr>
        <w:t>(3), 232</w:t>
      </w:r>
      <w:r>
        <w:rPr>
          <w:bCs/>
          <w:iCs/>
          <w:sz w:val="16"/>
          <w:szCs w:val="16"/>
        </w:rPr>
        <w:t>–</w:t>
      </w:r>
      <w:r w:rsidRPr="00E606F3">
        <w:rPr>
          <w:bCs/>
          <w:iCs/>
          <w:sz w:val="16"/>
          <w:szCs w:val="16"/>
        </w:rPr>
        <w:t>258.</w:t>
      </w:r>
    </w:p>
    <w:p w:rsidR="00E606F3" w:rsidRDefault="00E606F3" w:rsidP="00AE1791">
      <w:pPr>
        <w:ind w:left="426" w:hanging="426"/>
        <w:rPr>
          <w:bCs/>
          <w:iCs/>
          <w:sz w:val="16"/>
          <w:szCs w:val="16"/>
        </w:rPr>
      </w:pPr>
      <w:r w:rsidRPr="00B61677">
        <w:rPr>
          <w:bCs/>
          <w:iCs/>
          <w:sz w:val="16"/>
          <w:szCs w:val="16"/>
        </w:rPr>
        <w:t xml:space="preserve">Mareš, J. (2011). Člověk a subjektivní čas. </w:t>
      </w:r>
      <w:r w:rsidRPr="00B61677">
        <w:rPr>
          <w:bCs/>
          <w:i/>
          <w:iCs/>
          <w:sz w:val="16"/>
          <w:szCs w:val="16"/>
        </w:rPr>
        <w:t>Studia paedagogica, 15</w:t>
      </w:r>
      <w:r w:rsidRPr="00B61677">
        <w:rPr>
          <w:bCs/>
          <w:iCs/>
          <w:sz w:val="16"/>
          <w:szCs w:val="16"/>
        </w:rPr>
        <w:t>(1), 9</w:t>
      </w:r>
      <w:r>
        <w:rPr>
          <w:bCs/>
          <w:iCs/>
          <w:sz w:val="16"/>
          <w:szCs w:val="16"/>
        </w:rPr>
        <w:t>–</w:t>
      </w:r>
      <w:r w:rsidRPr="00B61677">
        <w:rPr>
          <w:bCs/>
          <w:iCs/>
          <w:sz w:val="16"/>
          <w:szCs w:val="16"/>
        </w:rPr>
        <w:t>28.</w:t>
      </w:r>
    </w:p>
    <w:p w:rsidR="00E606F3" w:rsidRPr="00AE1791" w:rsidRDefault="00E606F3" w:rsidP="00AE1791">
      <w:pPr>
        <w:ind w:left="426" w:hanging="426"/>
        <w:rPr>
          <w:bCs/>
          <w:iCs/>
          <w:sz w:val="16"/>
          <w:szCs w:val="16"/>
        </w:rPr>
      </w:pPr>
      <w:r w:rsidRPr="00AE1791">
        <w:rPr>
          <w:bCs/>
          <w:iCs/>
          <w:sz w:val="16"/>
          <w:szCs w:val="16"/>
        </w:rPr>
        <w:t xml:space="preserve">Marsden, B. (1997). </w:t>
      </w:r>
      <w:r w:rsidRPr="00AA6590">
        <w:rPr>
          <w:bCs/>
          <w:iCs/>
          <w:sz w:val="16"/>
          <w:szCs w:val="16"/>
        </w:rPr>
        <w:t>On taking the geography out of geographical education: Some historical pointers.</w:t>
      </w:r>
      <w:r w:rsidRPr="00AE1791">
        <w:rPr>
          <w:bCs/>
          <w:i/>
          <w:iCs/>
          <w:sz w:val="16"/>
          <w:szCs w:val="16"/>
        </w:rPr>
        <w:t xml:space="preserve"> </w:t>
      </w:r>
      <w:r w:rsidRPr="00FA3441">
        <w:rPr>
          <w:bCs/>
          <w:i/>
          <w:iCs/>
          <w:sz w:val="16"/>
          <w:szCs w:val="16"/>
        </w:rPr>
        <w:t>Geography, 82</w:t>
      </w:r>
      <w:r w:rsidRPr="00AE1791">
        <w:rPr>
          <w:bCs/>
          <w:iCs/>
          <w:sz w:val="16"/>
          <w:szCs w:val="16"/>
        </w:rPr>
        <w:t>(3), 241</w:t>
      </w:r>
      <w:r>
        <w:rPr>
          <w:bCs/>
          <w:iCs/>
          <w:sz w:val="16"/>
          <w:szCs w:val="16"/>
        </w:rPr>
        <w:t>–</w:t>
      </w:r>
      <w:r w:rsidRPr="00AE1791">
        <w:rPr>
          <w:bCs/>
          <w:iCs/>
          <w:sz w:val="16"/>
          <w:szCs w:val="16"/>
        </w:rPr>
        <w:t>252.</w:t>
      </w:r>
    </w:p>
    <w:p w:rsidR="0015711E" w:rsidRPr="006320FD" w:rsidRDefault="0015711E" w:rsidP="006320FD">
      <w:pPr>
        <w:ind w:left="426" w:hanging="426"/>
        <w:rPr>
          <w:bCs/>
          <w:iCs/>
          <w:sz w:val="16"/>
          <w:szCs w:val="16"/>
        </w:rPr>
      </w:pPr>
      <w:r w:rsidRPr="006320FD">
        <w:rPr>
          <w:bCs/>
          <w:iCs/>
          <w:sz w:val="16"/>
          <w:szCs w:val="16"/>
        </w:rPr>
        <w:t xml:space="preserve">Marsden, W. E. (1989). ‘All in a good cause’: </w:t>
      </w:r>
      <w:r>
        <w:rPr>
          <w:bCs/>
          <w:iCs/>
          <w:sz w:val="16"/>
          <w:szCs w:val="16"/>
        </w:rPr>
        <w:t>G</w:t>
      </w:r>
      <w:r w:rsidRPr="006320FD">
        <w:rPr>
          <w:bCs/>
          <w:iCs/>
          <w:sz w:val="16"/>
          <w:szCs w:val="16"/>
        </w:rPr>
        <w:t xml:space="preserve">eography, history and the politicization of the curriculum in nineteenth and twentieth century England. </w:t>
      </w:r>
      <w:r w:rsidRPr="006320FD">
        <w:rPr>
          <w:bCs/>
          <w:i/>
          <w:iCs/>
          <w:sz w:val="16"/>
          <w:szCs w:val="16"/>
        </w:rPr>
        <w:t>Journal of Curriculum Studies</w:t>
      </w:r>
      <w:r w:rsidRPr="006320FD">
        <w:rPr>
          <w:bCs/>
          <w:iCs/>
          <w:sz w:val="16"/>
          <w:szCs w:val="16"/>
        </w:rPr>
        <w:t xml:space="preserve">, </w:t>
      </w:r>
      <w:r w:rsidRPr="006320FD">
        <w:rPr>
          <w:bCs/>
          <w:i/>
          <w:iCs/>
          <w:sz w:val="16"/>
          <w:szCs w:val="16"/>
        </w:rPr>
        <w:t>21</w:t>
      </w:r>
      <w:r w:rsidRPr="006320FD">
        <w:rPr>
          <w:bCs/>
          <w:iCs/>
          <w:sz w:val="16"/>
          <w:szCs w:val="16"/>
        </w:rPr>
        <w:t>(6), 509</w:t>
      </w:r>
      <w:r>
        <w:rPr>
          <w:bCs/>
          <w:iCs/>
          <w:sz w:val="16"/>
          <w:szCs w:val="16"/>
        </w:rPr>
        <w:t>–</w:t>
      </w:r>
      <w:r w:rsidRPr="006320FD">
        <w:rPr>
          <w:bCs/>
          <w:iCs/>
          <w:sz w:val="16"/>
          <w:szCs w:val="16"/>
        </w:rPr>
        <w:t>526.</w:t>
      </w:r>
      <w:r w:rsidRPr="006320FD">
        <w:rPr>
          <w:bCs/>
          <w:iCs/>
          <w:sz w:val="16"/>
          <w:szCs w:val="16"/>
        </w:rPr>
        <w:tab/>
      </w:r>
    </w:p>
    <w:p w:rsidR="00247642" w:rsidRPr="004611AA" w:rsidRDefault="00247642" w:rsidP="004611AA">
      <w:pPr>
        <w:ind w:left="426" w:hanging="426"/>
        <w:rPr>
          <w:bCs/>
          <w:i/>
          <w:iCs/>
          <w:sz w:val="16"/>
          <w:szCs w:val="16"/>
        </w:rPr>
      </w:pPr>
      <w:r w:rsidRPr="00247642">
        <w:rPr>
          <w:bCs/>
          <w:sz w:val="16"/>
          <w:szCs w:val="16"/>
        </w:rPr>
        <w:t xml:space="preserve">Martínez, J. F., Bailey, A. L., Kerr, D., Huang, B. H., &amp; Beauregard, S. (2010). </w:t>
      </w:r>
      <w:r w:rsidRPr="00247642">
        <w:rPr>
          <w:bCs/>
          <w:i/>
          <w:iCs/>
          <w:sz w:val="16"/>
          <w:szCs w:val="16"/>
        </w:rPr>
        <w:t xml:space="preserve">Measuring </w:t>
      </w:r>
      <w:r>
        <w:rPr>
          <w:bCs/>
          <w:i/>
          <w:iCs/>
          <w:sz w:val="16"/>
          <w:szCs w:val="16"/>
        </w:rPr>
        <w:t xml:space="preserve">oportunity </w:t>
      </w:r>
      <w:r w:rsidRPr="00247642">
        <w:rPr>
          <w:bCs/>
          <w:i/>
          <w:iCs/>
          <w:sz w:val="16"/>
          <w:szCs w:val="16"/>
        </w:rPr>
        <w:t>to learn and academic language exposure for English language learners in elementary</w:t>
      </w:r>
      <w:r>
        <w:rPr>
          <w:bCs/>
          <w:i/>
          <w:iCs/>
          <w:sz w:val="16"/>
          <w:szCs w:val="16"/>
        </w:rPr>
        <w:t xml:space="preserve"> </w:t>
      </w:r>
      <w:r w:rsidRPr="00247642">
        <w:rPr>
          <w:bCs/>
          <w:i/>
          <w:iCs/>
          <w:sz w:val="16"/>
          <w:szCs w:val="16"/>
        </w:rPr>
        <w:t xml:space="preserve">science classrooms. </w:t>
      </w:r>
      <w:r w:rsidRPr="00247642">
        <w:rPr>
          <w:bCs/>
          <w:sz w:val="16"/>
          <w:szCs w:val="16"/>
        </w:rPr>
        <w:t>Los Angeles: National Center for Research on Evaluation, Standards,</w:t>
      </w:r>
      <w:r w:rsidR="004611AA">
        <w:rPr>
          <w:bCs/>
          <w:i/>
          <w:iCs/>
          <w:sz w:val="16"/>
          <w:szCs w:val="16"/>
        </w:rPr>
        <w:t xml:space="preserve"> </w:t>
      </w:r>
      <w:r w:rsidRPr="00247642">
        <w:rPr>
          <w:bCs/>
          <w:sz w:val="16"/>
          <w:szCs w:val="16"/>
        </w:rPr>
        <w:t>and Student Testing (CRESST).</w:t>
      </w:r>
    </w:p>
    <w:p w:rsidR="0015711E" w:rsidRPr="006E57E0" w:rsidRDefault="0015711E" w:rsidP="006E57E0">
      <w:pPr>
        <w:ind w:left="426" w:hanging="426"/>
        <w:rPr>
          <w:bCs/>
          <w:sz w:val="16"/>
          <w:szCs w:val="16"/>
        </w:rPr>
      </w:pPr>
      <w:r w:rsidRPr="006E57E0">
        <w:rPr>
          <w:bCs/>
          <w:sz w:val="16"/>
          <w:szCs w:val="16"/>
        </w:rPr>
        <w:t xml:space="preserve">Marton, F., &amp; Säljö, R. (1976). On </w:t>
      </w:r>
      <w:r>
        <w:rPr>
          <w:bCs/>
          <w:sz w:val="16"/>
          <w:szCs w:val="16"/>
        </w:rPr>
        <w:t>q</w:t>
      </w:r>
      <w:r w:rsidRPr="006E57E0">
        <w:rPr>
          <w:bCs/>
          <w:sz w:val="16"/>
          <w:szCs w:val="16"/>
        </w:rPr>
        <w:t>ualit</w:t>
      </w:r>
      <w:r>
        <w:rPr>
          <w:bCs/>
          <w:sz w:val="16"/>
          <w:szCs w:val="16"/>
        </w:rPr>
        <w:t>ative differences in learning: I–Outcome and process</w:t>
      </w:r>
      <w:r w:rsidRPr="006E57E0">
        <w:rPr>
          <w:bCs/>
          <w:sz w:val="16"/>
          <w:szCs w:val="16"/>
        </w:rPr>
        <w:t xml:space="preserve">. </w:t>
      </w:r>
      <w:r w:rsidRPr="000B0DDA">
        <w:rPr>
          <w:bCs/>
          <w:i/>
          <w:sz w:val="16"/>
          <w:szCs w:val="16"/>
        </w:rPr>
        <w:t xml:space="preserve">British </w:t>
      </w:r>
      <w:r>
        <w:rPr>
          <w:bCs/>
          <w:i/>
          <w:sz w:val="16"/>
          <w:szCs w:val="16"/>
        </w:rPr>
        <w:t>J</w:t>
      </w:r>
      <w:r w:rsidRPr="000B0DDA">
        <w:rPr>
          <w:bCs/>
          <w:i/>
          <w:sz w:val="16"/>
          <w:szCs w:val="16"/>
        </w:rPr>
        <w:t xml:space="preserve">ournal of </w:t>
      </w:r>
      <w:r>
        <w:rPr>
          <w:bCs/>
          <w:i/>
          <w:sz w:val="16"/>
          <w:szCs w:val="16"/>
        </w:rPr>
        <w:t>E</w:t>
      </w:r>
      <w:r w:rsidRPr="000B0DDA">
        <w:rPr>
          <w:bCs/>
          <w:i/>
          <w:sz w:val="16"/>
          <w:szCs w:val="16"/>
        </w:rPr>
        <w:t xml:space="preserve">ducational </w:t>
      </w:r>
      <w:r>
        <w:rPr>
          <w:bCs/>
          <w:i/>
          <w:sz w:val="16"/>
          <w:szCs w:val="16"/>
        </w:rPr>
        <w:t>P</w:t>
      </w:r>
      <w:r w:rsidRPr="000B0DDA">
        <w:rPr>
          <w:bCs/>
          <w:i/>
          <w:sz w:val="16"/>
          <w:szCs w:val="16"/>
        </w:rPr>
        <w:t>sychology, 46</w:t>
      </w:r>
      <w:r w:rsidRPr="006E57E0">
        <w:rPr>
          <w:bCs/>
          <w:sz w:val="16"/>
          <w:szCs w:val="16"/>
        </w:rPr>
        <w:t>(1), 4</w:t>
      </w:r>
      <w:r>
        <w:rPr>
          <w:bCs/>
          <w:sz w:val="16"/>
          <w:szCs w:val="16"/>
        </w:rPr>
        <w:t>–</w:t>
      </w:r>
      <w:r w:rsidRPr="006E57E0">
        <w:rPr>
          <w:bCs/>
          <w:sz w:val="16"/>
          <w:szCs w:val="16"/>
        </w:rPr>
        <w:t>11.</w:t>
      </w:r>
    </w:p>
    <w:p w:rsidR="0015711E" w:rsidRPr="007C0E29" w:rsidRDefault="0015711E" w:rsidP="007C0E29">
      <w:pPr>
        <w:ind w:left="426" w:hanging="426"/>
        <w:rPr>
          <w:sz w:val="16"/>
          <w:szCs w:val="16"/>
          <w:lang w:eastAsia="en-US"/>
        </w:rPr>
      </w:pPr>
      <w:r w:rsidRPr="007C0E29">
        <w:rPr>
          <w:sz w:val="16"/>
          <w:szCs w:val="16"/>
          <w:lang w:eastAsia="en-US"/>
        </w:rPr>
        <w:t xml:space="preserve">Matoušek (1996). Standardy geografického vzdělávání v USA. </w:t>
      </w:r>
      <w:r w:rsidRPr="007C0E29">
        <w:rPr>
          <w:i/>
          <w:sz w:val="16"/>
          <w:szCs w:val="16"/>
          <w:lang w:eastAsia="en-US"/>
        </w:rPr>
        <w:t xml:space="preserve">Pedagogická orientace, </w:t>
      </w:r>
      <w:r w:rsidRPr="004E4956">
        <w:rPr>
          <w:i/>
          <w:sz w:val="16"/>
          <w:szCs w:val="16"/>
          <w:highlight w:val="green"/>
          <w:lang w:eastAsia="en-US"/>
        </w:rPr>
        <w:t>6</w:t>
      </w:r>
      <w:r w:rsidRPr="007C0E29">
        <w:rPr>
          <w:sz w:val="16"/>
          <w:szCs w:val="16"/>
          <w:lang w:eastAsia="en-US"/>
        </w:rPr>
        <w:t>, 60–63.</w:t>
      </w:r>
    </w:p>
    <w:p w:rsidR="0015711E" w:rsidRPr="007C0E29" w:rsidRDefault="0015711E" w:rsidP="007C0E29">
      <w:pPr>
        <w:ind w:left="426" w:hanging="426"/>
        <w:rPr>
          <w:sz w:val="16"/>
          <w:szCs w:val="16"/>
          <w:lang w:eastAsia="en-US"/>
        </w:rPr>
      </w:pPr>
      <w:r w:rsidRPr="007C0E29">
        <w:rPr>
          <w:sz w:val="16"/>
          <w:szCs w:val="16"/>
          <w:lang w:eastAsia="en-US"/>
        </w:rPr>
        <w:t xml:space="preserve">Matoušek, A. (1997). Americké standardy geografického vzdělávání a vysokoškolská výuka geografie. In </w:t>
      </w:r>
      <w:r w:rsidRPr="007C0E29">
        <w:rPr>
          <w:i/>
          <w:sz w:val="16"/>
          <w:szCs w:val="16"/>
          <w:lang w:eastAsia="en-US"/>
        </w:rPr>
        <w:t>Otázky geografie 4</w:t>
      </w:r>
      <w:r w:rsidRPr="007C0E29">
        <w:rPr>
          <w:sz w:val="16"/>
          <w:szCs w:val="16"/>
          <w:lang w:eastAsia="en-US"/>
        </w:rPr>
        <w:t xml:space="preserve"> (s. 47–53). Praha: Nakladatelství České geografické společnosti.</w:t>
      </w:r>
    </w:p>
    <w:p w:rsidR="0015711E" w:rsidRPr="006320FD" w:rsidRDefault="0015711E" w:rsidP="006320FD">
      <w:pPr>
        <w:ind w:left="426" w:hanging="426"/>
        <w:rPr>
          <w:bCs/>
          <w:iCs/>
          <w:sz w:val="16"/>
          <w:szCs w:val="16"/>
        </w:rPr>
      </w:pPr>
      <w:r w:rsidRPr="006320FD">
        <w:rPr>
          <w:bCs/>
          <w:iCs/>
          <w:sz w:val="16"/>
          <w:szCs w:val="16"/>
        </w:rPr>
        <w:t xml:space="preserve">Matthews, J. A., &amp; Herbert, D. T. (2004). Unity in geography: </w:t>
      </w:r>
      <w:r>
        <w:rPr>
          <w:bCs/>
          <w:iCs/>
          <w:sz w:val="16"/>
          <w:szCs w:val="16"/>
        </w:rPr>
        <w:t>P</w:t>
      </w:r>
      <w:r w:rsidRPr="006320FD">
        <w:rPr>
          <w:bCs/>
          <w:iCs/>
          <w:sz w:val="16"/>
          <w:szCs w:val="16"/>
        </w:rPr>
        <w:t xml:space="preserve">rospects for the discipline. In J. A. Matthews &amp; D. T. Herbert (Eds.), </w:t>
      </w:r>
      <w:r w:rsidRPr="00651015">
        <w:rPr>
          <w:bCs/>
          <w:i/>
          <w:iCs/>
          <w:sz w:val="16"/>
          <w:szCs w:val="16"/>
        </w:rPr>
        <w:t>Unifying geography: Common heritage, shared future</w:t>
      </w:r>
      <w:r w:rsidRPr="006320FD">
        <w:rPr>
          <w:bCs/>
          <w:iCs/>
          <w:sz w:val="16"/>
          <w:szCs w:val="16"/>
        </w:rPr>
        <w:t xml:space="preserve"> (s. 369</w:t>
      </w:r>
      <w:r>
        <w:rPr>
          <w:bCs/>
          <w:iCs/>
          <w:sz w:val="16"/>
          <w:szCs w:val="16"/>
        </w:rPr>
        <w:t>–</w:t>
      </w:r>
      <w:r w:rsidRPr="006320FD">
        <w:rPr>
          <w:bCs/>
          <w:iCs/>
          <w:sz w:val="16"/>
          <w:szCs w:val="16"/>
        </w:rPr>
        <w:t>393). Abingdon: Routledge.</w:t>
      </w:r>
    </w:p>
    <w:p w:rsidR="0015711E" w:rsidRDefault="0015711E" w:rsidP="005434D2">
      <w:pPr>
        <w:ind w:left="426" w:hanging="426"/>
        <w:rPr>
          <w:bCs/>
          <w:sz w:val="16"/>
          <w:szCs w:val="16"/>
        </w:rPr>
      </w:pPr>
      <w:r w:rsidRPr="005434D2">
        <w:rPr>
          <w:bCs/>
          <w:sz w:val="16"/>
          <w:szCs w:val="16"/>
        </w:rPr>
        <w:t xml:space="preserve">Maťuškin, A. M. (1973). </w:t>
      </w:r>
      <w:r w:rsidRPr="005434D2">
        <w:rPr>
          <w:bCs/>
          <w:i/>
          <w:sz w:val="16"/>
          <w:szCs w:val="16"/>
        </w:rPr>
        <w:t>Problémové situácie v myslení a vyučovaní.</w:t>
      </w:r>
      <w:r w:rsidRPr="005434D2">
        <w:rPr>
          <w:bCs/>
          <w:sz w:val="16"/>
          <w:szCs w:val="16"/>
        </w:rPr>
        <w:t xml:space="preserve"> Bratislava: SPN.</w:t>
      </w:r>
    </w:p>
    <w:p w:rsidR="0015711E" w:rsidRPr="007C0E29" w:rsidRDefault="0015711E" w:rsidP="007C0E29">
      <w:pPr>
        <w:ind w:left="426" w:hanging="426"/>
        <w:rPr>
          <w:bCs/>
          <w:sz w:val="16"/>
          <w:szCs w:val="16"/>
        </w:rPr>
      </w:pPr>
      <w:r w:rsidRPr="007C0E29">
        <w:rPr>
          <w:bCs/>
          <w:sz w:val="16"/>
          <w:szCs w:val="16"/>
        </w:rPr>
        <w:t xml:space="preserve">Mayer, J. (2007). Erkenntnisgewinnung als wissenschaftliches Problemlösen. In D. Krüger &amp; H. Vogt (Eds.), </w:t>
      </w:r>
      <w:r w:rsidRPr="007C0E29">
        <w:rPr>
          <w:bCs/>
          <w:i/>
          <w:sz w:val="16"/>
          <w:szCs w:val="16"/>
        </w:rPr>
        <w:t>Handbuch der Theorien in der biologiedidaktischen Forschung</w:t>
      </w:r>
      <w:r w:rsidRPr="007C0E29">
        <w:rPr>
          <w:bCs/>
          <w:sz w:val="16"/>
          <w:szCs w:val="16"/>
        </w:rPr>
        <w:t xml:space="preserve"> (s. 177–186). Berlin: Springer.</w:t>
      </w:r>
    </w:p>
    <w:p w:rsidR="0015711E" w:rsidRPr="007C0E29" w:rsidRDefault="0015711E" w:rsidP="007C0E29">
      <w:pPr>
        <w:ind w:left="426" w:hanging="426"/>
        <w:rPr>
          <w:sz w:val="16"/>
          <w:szCs w:val="16"/>
        </w:rPr>
      </w:pPr>
      <w:r w:rsidRPr="007C0E29">
        <w:rPr>
          <w:sz w:val="16"/>
          <w:szCs w:val="16"/>
        </w:rPr>
        <w:t xml:space="preserve">Mayer, R. E. (1979). </w:t>
      </w:r>
      <w:r w:rsidRPr="007C0E29">
        <w:rPr>
          <w:i/>
          <w:sz w:val="16"/>
          <w:szCs w:val="16"/>
        </w:rPr>
        <w:t>Denken und Problemlösen: eine Einführung in menschliches Denken und Lernen.</w:t>
      </w:r>
      <w:r w:rsidRPr="007C0E29">
        <w:rPr>
          <w:sz w:val="16"/>
          <w:szCs w:val="16"/>
        </w:rPr>
        <w:t xml:space="preserve"> Berlin: Springer.</w:t>
      </w:r>
    </w:p>
    <w:p w:rsidR="0015711E" w:rsidRPr="007C0E29" w:rsidRDefault="0015711E" w:rsidP="007C0E29">
      <w:pPr>
        <w:ind w:left="426" w:hanging="426"/>
        <w:rPr>
          <w:bCs/>
          <w:sz w:val="16"/>
          <w:szCs w:val="16"/>
        </w:rPr>
      </w:pPr>
      <w:r w:rsidRPr="007C0E29">
        <w:rPr>
          <w:bCs/>
          <w:sz w:val="16"/>
          <w:szCs w:val="16"/>
        </w:rPr>
        <w:t xml:space="preserve">Mayer, R. E., &amp; Wittrock, M. C. (1996). Problem-solving transfer. In D. C. Berliner &amp; R. C. Calfee (Eds.), </w:t>
      </w:r>
      <w:r w:rsidRPr="007C0E29">
        <w:rPr>
          <w:bCs/>
          <w:i/>
          <w:iCs/>
          <w:sz w:val="16"/>
          <w:szCs w:val="16"/>
        </w:rPr>
        <w:t>Handbook of educational psychology</w:t>
      </w:r>
      <w:r w:rsidRPr="007C0E29">
        <w:rPr>
          <w:bCs/>
          <w:sz w:val="16"/>
          <w:szCs w:val="16"/>
        </w:rPr>
        <w:t xml:space="preserve"> (s. 47–62). London: Prentice Hall.</w:t>
      </w:r>
    </w:p>
    <w:p w:rsidR="0015711E" w:rsidRPr="00654EEE" w:rsidRDefault="0015711E" w:rsidP="004F4D8F">
      <w:pPr>
        <w:ind w:left="426" w:hanging="426"/>
        <w:rPr>
          <w:bCs/>
          <w:iCs/>
          <w:sz w:val="16"/>
          <w:szCs w:val="16"/>
        </w:rPr>
      </w:pPr>
      <w:r w:rsidRPr="00654EEE">
        <w:rPr>
          <w:bCs/>
          <w:iCs/>
          <w:sz w:val="16"/>
          <w:szCs w:val="16"/>
        </w:rPr>
        <w:t>Mayring, P.</w:t>
      </w:r>
      <w:r>
        <w:rPr>
          <w:bCs/>
          <w:iCs/>
          <w:sz w:val="16"/>
          <w:szCs w:val="16"/>
        </w:rPr>
        <w:t xml:space="preserve"> (2008).</w:t>
      </w:r>
      <w:r w:rsidRPr="00654EEE">
        <w:rPr>
          <w:bCs/>
          <w:iCs/>
          <w:sz w:val="16"/>
          <w:szCs w:val="16"/>
        </w:rPr>
        <w:t xml:space="preserve"> Neuere Entwicklungen in der qualitativen Forschung und der Qualitativen</w:t>
      </w:r>
      <w:r>
        <w:rPr>
          <w:bCs/>
          <w:iCs/>
          <w:sz w:val="16"/>
          <w:szCs w:val="16"/>
        </w:rPr>
        <w:t xml:space="preserve"> </w:t>
      </w:r>
      <w:r w:rsidRPr="00654EEE">
        <w:rPr>
          <w:bCs/>
          <w:iCs/>
          <w:sz w:val="16"/>
          <w:szCs w:val="16"/>
        </w:rPr>
        <w:t xml:space="preserve">Inhaltsanalyse. In </w:t>
      </w:r>
      <w:r>
        <w:rPr>
          <w:bCs/>
          <w:iCs/>
          <w:sz w:val="16"/>
          <w:szCs w:val="16"/>
        </w:rPr>
        <w:t xml:space="preserve">P. </w:t>
      </w:r>
      <w:r w:rsidRPr="00654EEE">
        <w:rPr>
          <w:bCs/>
          <w:iCs/>
          <w:sz w:val="16"/>
          <w:szCs w:val="16"/>
        </w:rPr>
        <w:t>Mayring</w:t>
      </w:r>
      <w:r>
        <w:rPr>
          <w:bCs/>
          <w:iCs/>
          <w:sz w:val="16"/>
          <w:szCs w:val="16"/>
        </w:rPr>
        <w:t xml:space="preserve"> &amp; M. </w:t>
      </w:r>
      <w:r w:rsidRPr="00654EEE">
        <w:rPr>
          <w:bCs/>
          <w:iCs/>
          <w:sz w:val="16"/>
          <w:szCs w:val="16"/>
        </w:rPr>
        <w:t>Gläser-Zikuda</w:t>
      </w:r>
      <w:r>
        <w:rPr>
          <w:bCs/>
          <w:iCs/>
          <w:sz w:val="16"/>
          <w:szCs w:val="16"/>
        </w:rPr>
        <w:t xml:space="preserve"> (E</w:t>
      </w:r>
      <w:r w:rsidRPr="00654EEE">
        <w:rPr>
          <w:bCs/>
          <w:iCs/>
          <w:sz w:val="16"/>
          <w:szCs w:val="16"/>
        </w:rPr>
        <w:t>d</w:t>
      </w:r>
      <w:r>
        <w:rPr>
          <w:bCs/>
          <w:iCs/>
          <w:sz w:val="16"/>
          <w:szCs w:val="16"/>
        </w:rPr>
        <w:t>s</w:t>
      </w:r>
      <w:r w:rsidRPr="00654EEE">
        <w:rPr>
          <w:bCs/>
          <w:iCs/>
          <w:sz w:val="16"/>
          <w:szCs w:val="16"/>
        </w:rPr>
        <w:t xml:space="preserve">.), </w:t>
      </w:r>
      <w:r w:rsidRPr="00654EEE">
        <w:rPr>
          <w:bCs/>
          <w:i/>
          <w:iCs/>
          <w:sz w:val="16"/>
          <w:szCs w:val="16"/>
        </w:rPr>
        <w:t>Die Praxis der Qualitativen</w:t>
      </w:r>
      <w:r>
        <w:rPr>
          <w:bCs/>
          <w:iCs/>
          <w:sz w:val="16"/>
          <w:szCs w:val="16"/>
        </w:rPr>
        <w:t xml:space="preserve"> </w:t>
      </w:r>
      <w:r w:rsidRPr="00654EEE">
        <w:rPr>
          <w:bCs/>
          <w:i/>
          <w:iCs/>
          <w:sz w:val="16"/>
          <w:szCs w:val="16"/>
        </w:rPr>
        <w:t>Inhaltsanalyse</w:t>
      </w:r>
      <w:r>
        <w:rPr>
          <w:bCs/>
          <w:iCs/>
          <w:sz w:val="16"/>
          <w:szCs w:val="16"/>
        </w:rPr>
        <w:t xml:space="preserve"> (s. 7–19). Weinheim</w:t>
      </w:r>
      <w:r w:rsidRPr="00654EEE">
        <w:rPr>
          <w:bCs/>
          <w:iCs/>
          <w:sz w:val="16"/>
          <w:szCs w:val="16"/>
        </w:rPr>
        <w:t>: Beltz</w:t>
      </w:r>
      <w:r>
        <w:rPr>
          <w:bCs/>
          <w:iCs/>
          <w:sz w:val="16"/>
          <w:szCs w:val="16"/>
        </w:rPr>
        <w:t>.</w:t>
      </w:r>
    </w:p>
    <w:p w:rsidR="0015711E" w:rsidRPr="006346E5" w:rsidRDefault="0015711E" w:rsidP="006346E5">
      <w:pPr>
        <w:ind w:left="426" w:hanging="426"/>
        <w:rPr>
          <w:sz w:val="16"/>
          <w:szCs w:val="16"/>
        </w:rPr>
      </w:pPr>
      <w:r w:rsidRPr="006346E5">
        <w:rPr>
          <w:sz w:val="16"/>
          <w:szCs w:val="16"/>
        </w:rPr>
        <w:t>McClelland, D. C. (1973). Testing for competence rather than for "intelligence."</w:t>
      </w:r>
      <w:r>
        <w:rPr>
          <w:sz w:val="16"/>
          <w:szCs w:val="16"/>
        </w:rPr>
        <w:t xml:space="preserve"> </w:t>
      </w:r>
      <w:r w:rsidRPr="006346E5">
        <w:rPr>
          <w:i/>
          <w:iCs/>
          <w:sz w:val="16"/>
          <w:szCs w:val="16"/>
        </w:rPr>
        <w:t xml:space="preserve">American </w:t>
      </w:r>
      <w:r>
        <w:rPr>
          <w:i/>
          <w:iCs/>
          <w:sz w:val="16"/>
          <w:szCs w:val="16"/>
        </w:rPr>
        <w:t>P</w:t>
      </w:r>
      <w:r w:rsidRPr="006346E5">
        <w:rPr>
          <w:i/>
          <w:iCs/>
          <w:sz w:val="16"/>
          <w:szCs w:val="16"/>
        </w:rPr>
        <w:t>sychologist</w:t>
      </w:r>
      <w:r w:rsidRPr="006346E5">
        <w:rPr>
          <w:sz w:val="16"/>
          <w:szCs w:val="16"/>
        </w:rPr>
        <w:t xml:space="preserve">, </w:t>
      </w:r>
      <w:r w:rsidRPr="006346E5">
        <w:rPr>
          <w:i/>
          <w:iCs/>
          <w:sz w:val="16"/>
          <w:szCs w:val="16"/>
        </w:rPr>
        <w:t>28</w:t>
      </w:r>
      <w:r w:rsidRPr="006346E5">
        <w:rPr>
          <w:sz w:val="16"/>
          <w:szCs w:val="16"/>
        </w:rPr>
        <w:t>(1), 1–14.</w:t>
      </w:r>
    </w:p>
    <w:p w:rsidR="0015711E" w:rsidRPr="00B717AE" w:rsidRDefault="0015711E" w:rsidP="00FB7088">
      <w:pPr>
        <w:ind w:left="426" w:hanging="426"/>
        <w:rPr>
          <w:bCs/>
          <w:sz w:val="16"/>
          <w:szCs w:val="16"/>
          <w:lang w:val="en-GB"/>
        </w:rPr>
      </w:pPr>
      <w:r w:rsidRPr="00FB7088">
        <w:rPr>
          <w:bCs/>
          <w:sz w:val="16"/>
          <w:szCs w:val="16"/>
          <w:lang w:val="en-GB"/>
        </w:rPr>
        <w:t xml:space="preserve">McGregor, D. (2008). The influence of task structure on students' learning processes: Observations from case studies in secondary school science. </w:t>
      </w:r>
      <w:r w:rsidRPr="00B717AE">
        <w:rPr>
          <w:bCs/>
          <w:i/>
          <w:iCs/>
          <w:sz w:val="16"/>
          <w:szCs w:val="16"/>
          <w:lang w:val="en-GB"/>
        </w:rPr>
        <w:t>Journal of Curriculum Studies</w:t>
      </w:r>
      <w:r w:rsidRPr="00B717AE">
        <w:rPr>
          <w:bCs/>
          <w:i/>
          <w:sz w:val="16"/>
          <w:szCs w:val="16"/>
          <w:lang w:val="en-GB"/>
        </w:rPr>
        <w:t>, 40</w:t>
      </w:r>
      <w:r w:rsidRPr="00B717AE">
        <w:rPr>
          <w:bCs/>
          <w:sz w:val="16"/>
          <w:szCs w:val="16"/>
          <w:lang w:val="en-GB"/>
        </w:rPr>
        <w:t>(4), 509–540.</w:t>
      </w:r>
    </w:p>
    <w:p w:rsidR="0015711E" w:rsidRPr="008E1CDD" w:rsidRDefault="0015711E" w:rsidP="008E1CDD">
      <w:pPr>
        <w:ind w:left="426" w:hanging="426"/>
        <w:rPr>
          <w:sz w:val="16"/>
          <w:szCs w:val="16"/>
        </w:rPr>
      </w:pPr>
      <w:r w:rsidRPr="008E1CDD">
        <w:rPr>
          <w:sz w:val="16"/>
          <w:szCs w:val="16"/>
        </w:rPr>
        <w:t xml:space="preserve">Medková, I. (2013). </w:t>
      </w:r>
      <w:r w:rsidRPr="008E1CDD">
        <w:rPr>
          <w:i/>
          <w:iCs/>
          <w:sz w:val="16"/>
          <w:szCs w:val="16"/>
        </w:rPr>
        <w:t>Dovednosti žáků ve výuce fyziky na základní škole</w:t>
      </w:r>
      <w:r w:rsidRPr="008E1CDD">
        <w:rPr>
          <w:sz w:val="16"/>
          <w:szCs w:val="16"/>
        </w:rPr>
        <w:t>. Brno: Masarykova univerzita.</w:t>
      </w:r>
    </w:p>
    <w:p w:rsidR="0015711E" w:rsidRPr="005B2183" w:rsidRDefault="0015711E" w:rsidP="005B2183">
      <w:pPr>
        <w:ind w:left="426" w:hanging="426"/>
        <w:rPr>
          <w:bCs/>
          <w:iCs/>
          <w:sz w:val="16"/>
          <w:szCs w:val="16"/>
        </w:rPr>
      </w:pPr>
      <w:r w:rsidRPr="005B2183">
        <w:rPr>
          <w:bCs/>
          <w:iCs/>
          <w:sz w:val="16"/>
          <w:szCs w:val="16"/>
        </w:rPr>
        <w:t xml:space="preserve">Merten, K. (1995). </w:t>
      </w:r>
      <w:r w:rsidRPr="005B2183">
        <w:rPr>
          <w:bCs/>
          <w:i/>
          <w:iCs/>
          <w:sz w:val="16"/>
          <w:szCs w:val="16"/>
        </w:rPr>
        <w:t>Wissenschaftliche Inhaltsanalyse.</w:t>
      </w:r>
      <w:r w:rsidRPr="005B2183">
        <w:rPr>
          <w:bCs/>
          <w:iCs/>
          <w:sz w:val="16"/>
          <w:szCs w:val="16"/>
        </w:rPr>
        <w:t xml:space="preserve"> Opladen: Westdeutscher Verlag.</w:t>
      </w:r>
    </w:p>
    <w:p w:rsidR="0015711E" w:rsidRPr="007C0E29" w:rsidRDefault="0015711E" w:rsidP="007C0E29">
      <w:pPr>
        <w:ind w:left="426" w:hanging="426"/>
        <w:rPr>
          <w:color w:val="7030A0"/>
          <w:sz w:val="16"/>
          <w:szCs w:val="16"/>
        </w:rPr>
      </w:pPr>
      <w:r w:rsidRPr="007C0E29">
        <w:rPr>
          <w:color w:val="222222"/>
          <w:sz w:val="16"/>
          <w:szCs w:val="16"/>
          <w:shd w:val="clear" w:color="auto" w:fill="FFFFFF"/>
        </w:rPr>
        <w:t xml:space="preserve">Meyer, M. A. (2005). Stichwort: Alte oder neue Lernkultur? </w:t>
      </w:r>
      <w:r w:rsidRPr="007C0E29">
        <w:rPr>
          <w:i/>
          <w:iCs/>
          <w:color w:val="222222"/>
          <w:sz w:val="16"/>
          <w:szCs w:val="16"/>
          <w:shd w:val="clear" w:color="auto" w:fill="FFFFFF"/>
        </w:rPr>
        <w:t>Zeitschrift für Erziehungswissenschaft</w:t>
      </w:r>
      <w:r w:rsidRPr="007C0E29">
        <w:rPr>
          <w:color w:val="222222"/>
          <w:sz w:val="16"/>
          <w:szCs w:val="16"/>
          <w:shd w:val="clear" w:color="auto" w:fill="FFFFFF"/>
        </w:rPr>
        <w:t>,</w:t>
      </w:r>
      <w:r w:rsidRPr="007C0E29">
        <w:rPr>
          <w:rStyle w:val="apple-converted-space"/>
          <w:color w:val="222222"/>
          <w:sz w:val="16"/>
          <w:szCs w:val="16"/>
          <w:shd w:val="clear" w:color="auto" w:fill="FFFFFF"/>
        </w:rPr>
        <w:t> </w:t>
      </w:r>
      <w:r w:rsidRPr="007C0E29">
        <w:rPr>
          <w:i/>
          <w:iCs/>
          <w:color w:val="222222"/>
          <w:sz w:val="16"/>
          <w:szCs w:val="16"/>
          <w:shd w:val="clear" w:color="auto" w:fill="FFFFFF"/>
        </w:rPr>
        <w:t>8</w:t>
      </w:r>
      <w:r w:rsidRPr="007C0E29">
        <w:rPr>
          <w:color w:val="222222"/>
          <w:sz w:val="16"/>
          <w:szCs w:val="16"/>
          <w:shd w:val="clear" w:color="auto" w:fill="FFFFFF"/>
        </w:rPr>
        <w:t>(1), 5–27.</w:t>
      </w:r>
    </w:p>
    <w:p w:rsidR="0015711E" w:rsidRPr="00A32765" w:rsidRDefault="0015711E" w:rsidP="00A32765">
      <w:pPr>
        <w:ind w:left="426" w:hanging="426"/>
        <w:rPr>
          <w:sz w:val="16"/>
          <w:szCs w:val="16"/>
        </w:rPr>
      </w:pPr>
      <w:r w:rsidRPr="00A32765">
        <w:rPr>
          <w:sz w:val="16"/>
          <w:szCs w:val="16"/>
        </w:rPr>
        <w:t xml:space="preserve">Minaříková, E., &amp; Janík, T. (2012). Profesní vidění učitelů: od hledání pojmu k možnostem jeho uchopení. </w:t>
      </w:r>
      <w:r w:rsidRPr="00A32765">
        <w:rPr>
          <w:i/>
          <w:iCs/>
          <w:sz w:val="16"/>
          <w:szCs w:val="16"/>
        </w:rPr>
        <w:t>Pedagogická orientace</w:t>
      </w:r>
      <w:r w:rsidRPr="00A32765">
        <w:rPr>
          <w:sz w:val="16"/>
          <w:szCs w:val="16"/>
        </w:rPr>
        <w:t xml:space="preserve">, </w:t>
      </w:r>
      <w:r w:rsidRPr="00A32765">
        <w:rPr>
          <w:i/>
          <w:iCs/>
          <w:sz w:val="16"/>
          <w:szCs w:val="16"/>
        </w:rPr>
        <w:t>22</w:t>
      </w:r>
      <w:r w:rsidRPr="00A32765">
        <w:rPr>
          <w:sz w:val="16"/>
          <w:szCs w:val="16"/>
        </w:rPr>
        <w:t>(2), 181</w:t>
      </w:r>
      <w:r>
        <w:rPr>
          <w:sz w:val="16"/>
          <w:szCs w:val="16"/>
        </w:rPr>
        <w:t>–</w:t>
      </w:r>
      <w:r w:rsidRPr="00A32765">
        <w:rPr>
          <w:sz w:val="16"/>
          <w:szCs w:val="16"/>
        </w:rPr>
        <w:t>204.</w:t>
      </w:r>
    </w:p>
    <w:p w:rsidR="0015711E" w:rsidRPr="005C45D2" w:rsidRDefault="0015711E" w:rsidP="005C45D2">
      <w:pPr>
        <w:ind w:left="426" w:hanging="426"/>
        <w:rPr>
          <w:bCs/>
          <w:iCs/>
          <w:sz w:val="16"/>
          <w:szCs w:val="16"/>
        </w:rPr>
      </w:pPr>
      <w:r w:rsidRPr="005C45D2">
        <w:rPr>
          <w:bCs/>
          <w:iCs/>
          <w:sz w:val="16"/>
          <w:szCs w:val="16"/>
        </w:rPr>
        <w:t xml:space="preserve">Mittelstädt, F. G. (2010). Semper idem – oder: Anfrorderungsbereiche, </w:t>
      </w:r>
      <w:r>
        <w:rPr>
          <w:bCs/>
          <w:iCs/>
          <w:sz w:val="16"/>
          <w:szCs w:val="16"/>
        </w:rPr>
        <w:t>O</w:t>
      </w:r>
      <w:r w:rsidRPr="005C45D2">
        <w:rPr>
          <w:bCs/>
          <w:iCs/>
          <w:sz w:val="16"/>
          <w:szCs w:val="16"/>
        </w:rPr>
        <w:t xml:space="preserve">peratoren und Kompetenzen… immer noch ein Problem für Geographiedidaktik und Unterrichtspraxis. </w:t>
      </w:r>
      <w:r w:rsidRPr="005C45D2">
        <w:rPr>
          <w:bCs/>
          <w:i/>
          <w:iCs/>
          <w:sz w:val="16"/>
          <w:szCs w:val="16"/>
        </w:rPr>
        <w:t>Geographie und ihre Didaktik, 38</w:t>
      </w:r>
      <w:r w:rsidRPr="005C45D2">
        <w:rPr>
          <w:bCs/>
          <w:iCs/>
          <w:sz w:val="16"/>
          <w:szCs w:val="16"/>
        </w:rPr>
        <w:t>(1), 57–59.</w:t>
      </w:r>
    </w:p>
    <w:p w:rsidR="0015711E" w:rsidRPr="005C45D2" w:rsidRDefault="0015711E" w:rsidP="005C45D2">
      <w:pPr>
        <w:ind w:left="426" w:hanging="426"/>
        <w:rPr>
          <w:bCs/>
          <w:iCs/>
          <w:sz w:val="16"/>
          <w:szCs w:val="16"/>
        </w:rPr>
      </w:pPr>
      <w:r w:rsidRPr="005C45D2">
        <w:rPr>
          <w:bCs/>
          <w:iCs/>
          <w:sz w:val="16"/>
          <w:szCs w:val="16"/>
        </w:rPr>
        <w:t>Mittelstädt, F. G. (2012). Die Operatoren im Geographieunterricht. Ein Pädoyer für eine kompet</w:t>
      </w:r>
      <w:r>
        <w:rPr>
          <w:bCs/>
          <w:iCs/>
          <w:sz w:val="16"/>
          <w:szCs w:val="16"/>
        </w:rPr>
        <w:t>e</w:t>
      </w:r>
      <w:r w:rsidRPr="005C45D2">
        <w:rPr>
          <w:bCs/>
          <w:iCs/>
          <w:sz w:val="16"/>
          <w:szCs w:val="16"/>
        </w:rPr>
        <w:t xml:space="preserve">nzorientierte Aufgabenkultur. </w:t>
      </w:r>
      <w:r w:rsidRPr="005C45D2">
        <w:rPr>
          <w:bCs/>
          <w:i/>
          <w:iCs/>
          <w:sz w:val="16"/>
          <w:szCs w:val="16"/>
        </w:rPr>
        <w:t xml:space="preserve">Geographie und Schule, </w:t>
      </w:r>
      <w:r w:rsidRPr="002B41C6">
        <w:rPr>
          <w:bCs/>
          <w:i/>
          <w:iCs/>
          <w:sz w:val="16"/>
          <w:szCs w:val="16"/>
          <w:highlight w:val="green"/>
        </w:rPr>
        <w:t>34</w:t>
      </w:r>
      <w:r w:rsidRPr="002B41C6">
        <w:rPr>
          <w:bCs/>
          <w:iCs/>
          <w:sz w:val="16"/>
          <w:szCs w:val="16"/>
          <w:highlight w:val="green"/>
        </w:rPr>
        <w:t>,</w:t>
      </w:r>
      <w:r w:rsidRPr="005C45D2">
        <w:rPr>
          <w:bCs/>
          <w:iCs/>
          <w:sz w:val="16"/>
          <w:szCs w:val="16"/>
        </w:rPr>
        <w:t xml:space="preserve"> 42–45.</w:t>
      </w:r>
    </w:p>
    <w:p w:rsidR="0015711E" w:rsidRPr="00FB7088" w:rsidRDefault="0015711E" w:rsidP="00FB7088">
      <w:pPr>
        <w:ind w:left="426" w:hanging="426"/>
        <w:rPr>
          <w:bCs/>
          <w:sz w:val="16"/>
          <w:szCs w:val="16"/>
          <w:lang w:val="en-GB"/>
        </w:rPr>
      </w:pPr>
      <w:r w:rsidRPr="00FB7088">
        <w:rPr>
          <w:bCs/>
          <w:sz w:val="16"/>
          <w:szCs w:val="16"/>
          <w:lang w:val="de-DE"/>
        </w:rPr>
        <w:t xml:space="preserve">Moosbrugger, M. (1985). Das Niveau der Aufgaben in Lehrbüchern. Eine Analyse österreichischer Geschichtsbücher für die Hauptschule. </w:t>
      </w:r>
      <w:r w:rsidRPr="00FB7088">
        <w:rPr>
          <w:bCs/>
          <w:i/>
          <w:iCs/>
          <w:sz w:val="16"/>
          <w:szCs w:val="16"/>
          <w:lang w:val="en-GB"/>
        </w:rPr>
        <w:t>Unterrichtswissenschaft</w:t>
      </w:r>
      <w:r w:rsidRPr="00FB7088">
        <w:rPr>
          <w:bCs/>
          <w:i/>
          <w:sz w:val="16"/>
          <w:szCs w:val="16"/>
          <w:lang w:val="en-GB"/>
        </w:rPr>
        <w:t xml:space="preserve">, </w:t>
      </w:r>
      <w:r>
        <w:rPr>
          <w:bCs/>
          <w:i/>
          <w:sz w:val="16"/>
          <w:szCs w:val="16"/>
          <w:lang w:val="en-GB"/>
        </w:rPr>
        <w:t>13</w:t>
      </w:r>
      <w:r w:rsidRPr="002F06C1">
        <w:rPr>
          <w:bCs/>
          <w:sz w:val="16"/>
          <w:szCs w:val="16"/>
          <w:lang w:val="en-GB"/>
        </w:rPr>
        <w:t>(2),</w:t>
      </w:r>
      <w:r w:rsidRPr="00FB7088">
        <w:rPr>
          <w:bCs/>
          <w:sz w:val="16"/>
          <w:szCs w:val="16"/>
          <w:lang w:val="en-GB"/>
        </w:rPr>
        <w:t xml:space="preserve"> 116–129.</w:t>
      </w:r>
    </w:p>
    <w:p w:rsidR="0015711E" w:rsidRPr="007C0E29" w:rsidRDefault="0015711E" w:rsidP="007C0E29">
      <w:pPr>
        <w:ind w:left="426" w:hanging="426"/>
        <w:rPr>
          <w:sz w:val="16"/>
          <w:szCs w:val="16"/>
        </w:rPr>
      </w:pPr>
      <w:r w:rsidRPr="007C0E29">
        <w:rPr>
          <w:sz w:val="16"/>
          <w:szCs w:val="16"/>
        </w:rPr>
        <w:t xml:space="preserve">Morgan, J. (2013). What do we mean by thinking geographically? In D. Lambert &amp; M. Jones (Eds.), </w:t>
      </w:r>
      <w:r w:rsidRPr="007C0E29">
        <w:rPr>
          <w:i/>
          <w:sz w:val="16"/>
          <w:szCs w:val="16"/>
        </w:rPr>
        <w:t xml:space="preserve">Debates in </w:t>
      </w:r>
      <w:r>
        <w:rPr>
          <w:i/>
          <w:sz w:val="16"/>
          <w:szCs w:val="16"/>
        </w:rPr>
        <w:t>g</w:t>
      </w:r>
      <w:r w:rsidRPr="007C0E29">
        <w:rPr>
          <w:i/>
          <w:sz w:val="16"/>
          <w:szCs w:val="16"/>
        </w:rPr>
        <w:t xml:space="preserve">eography </w:t>
      </w:r>
      <w:r>
        <w:rPr>
          <w:i/>
          <w:sz w:val="16"/>
          <w:szCs w:val="16"/>
        </w:rPr>
        <w:t>e</w:t>
      </w:r>
      <w:r w:rsidRPr="007C0E29">
        <w:rPr>
          <w:i/>
          <w:sz w:val="16"/>
          <w:szCs w:val="16"/>
        </w:rPr>
        <w:t xml:space="preserve">ducation </w:t>
      </w:r>
      <w:r w:rsidRPr="007C0E29">
        <w:rPr>
          <w:sz w:val="16"/>
          <w:szCs w:val="16"/>
        </w:rPr>
        <w:t>(s. 273–281). London: Routledge.</w:t>
      </w:r>
    </w:p>
    <w:p w:rsidR="0015711E" w:rsidRPr="001D60CE" w:rsidRDefault="0015711E" w:rsidP="001D60CE">
      <w:pPr>
        <w:ind w:left="426" w:hanging="426"/>
        <w:rPr>
          <w:bCs/>
          <w:sz w:val="16"/>
          <w:szCs w:val="16"/>
        </w:rPr>
      </w:pPr>
      <w:r w:rsidRPr="001D60CE">
        <w:rPr>
          <w:bCs/>
          <w:sz w:val="16"/>
          <w:szCs w:val="16"/>
        </w:rPr>
        <w:t xml:space="preserve">Müller, A., &amp; Helmke, A. (2008). Qualität von Aufgaben als Merkmale der Unterrichtsqualität verdeutlicht am Fach Physik. In J. Thonhauser (Ed.), </w:t>
      </w:r>
      <w:r w:rsidRPr="001D60CE">
        <w:rPr>
          <w:bCs/>
          <w:i/>
          <w:iCs/>
          <w:sz w:val="16"/>
          <w:szCs w:val="16"/>
        </w:rPr>
        <w:t>Aufgaben als Katalysatoren von Lernprozessen</w:t>
      </w:r>
      <w:r w:rsidRPr="001D60CE">
        <w:rPr>
          <w:bCs/>
          <w:sz w:val="16"/>
          <w:szCs w:val="16"/>
        </w:rPr>
        <w:t xml:space="preserve"> (s. 31–46). Münster: Waxmann.</w:t>
      </w:r>
    </w:p>
    <w:p w:rsidR="0015711E" w:rsidRDefault="0015711E" w:rsidP="005B2183">
      <w:pPr>
        <w:ind w:left="426" w:hanging="426"/>
        <w:rPr>
          <w:bCs/>
          <w:iCs/>
          <w:sz w:val="16"/>
          <w:szCs w:val="16"/>
        </w:rPr>
      </w:pPr>
      <w:r w:rsidRPr="00701B8E">
        <w:rPr>
          <w:bCs/>
          <w:iCs/>
          <w:sz w:val="16"/>
          <w:szCs w:val="16"/>
        </w:rPr>
        <w:t xml:space="preserve">Mullis, I. V., Martin, M. O., Ruddock, G. J., O'Sullivan, C. Y., &amp; Preuschoff, C. (2009). </w:t>
      </w:r>
      <w:r w:rsidRPr="00FA3441">
        <w:rPr>
          <w:bCs/>
          <w:i/>
          <w:iCs/>
          <w:sz w:val="16"/>
          <w:szCs w:val="16"/>
        </w:rPr>
        <w:t xml:space="preserve">TIMSS 2011 </w:t>
      </w:r>
      <w:r>
        <w:rPr>
          <w:bCs/>
          <w:i/>
          <w:iCs/>
          <w:sz w:val="16"/>
          <w:szCs w:val="16"/>
        </w:rPr>
        <w:t>a</w:t>
      </w:r>
      <w:r w:rsidRPr="00FA3441">
        <w:rPr>
          <w:bCs/>
          <w:i/>
          <w:iCs/>
          <w:sz w:val="16"/>
          <w:szCs w:val="16"/>
        </w:rPr>
        <w:t xml:space="preserve">ssessment </w:t>
      </w:r>
      <w:r>
        <w:rPr>
          <w:bCs/>
          <w:i/>
          <w:iCs/>
          <w:sz w:val="16"/>
          <w:szCs w:val="16"/>
        </w:rPr>
        <w:t>f</w:t>
      </w:r>
      <w:r w:rsidRPr="00FA3441">
        <w:rPr>
          <w:bCs/>
          <w:i/>
          <w:iCs/>
          <w:sz w:val="16"/>
          <w:szCs w:val="16"/>
        </w:rPr>
        <w:t>rameworks. International Association for the Evaluation of Educational Achievement.</w:t>
      </w:r>
      <w:r w:rsidRPr="00701B8E">
        <w:rPr>
          <w:bCs/>
          <w:iCs/>
          <w:sz w:val="16"/>
          <w:szCs w:val="16"/>
        </w:rPr>
        <w:t xml:space="preserve"> Boston: TIMSS &amp; PIRLS International Study Center. </w:t>
      </w:r>
    </w:p>
    <w:p w:rsidR="0015711E" w:rsidRPr="0064301C" w:rsidRDefault="0015711E" w:rsidP="0064301C">
      <w:pPr>
        <w:ind w:left="426" w:hanging="426"/>
        <w:rPr>
          <w:sz w:val="16"/>
          <w:szCs w:val="16"/>
        </w:rPr>
      </w:pPr>
      <w:r w:rsidRPr="0064301C">
        <w:rPr>
          <w:sz w:val="16"/>
          <w:szCs w:val="16"/>
        </w:rPr>
        <w:t xml:space="preserve">Najvar, P., Janík, T., Janíková, M., Hübelová, D., </w:t>
      </w:r>
      <w:r>
        <w:rPr>
          <w:sz w:val="16"/>
          <w:szCs w:val="16"/>
        </w:rPr>
        <w:t xml:space="preserve">&amp; </w:t>
      </w:r>
      <w:r w:rsidRPr="0064301C">
        <w:rPr>
          <w:sz w:val="16"/>
          <w:szCs w:val="16"/>
        </w:rPr>
        <w:t xml:space="preserve">Najvarová, V. (2009). CPV Video Study: Comparative perspectives on teaching in different school subjects. In T. Janík &amp; T. Seidel (Eds.), </w:t>
      </w:r>
      <w:r w:rsidRPr="0064301C">
        <w:rPr>
          <w:i/>
          <w:sz w:val="16"/>
          <w:szCs w:val="16"/>
        </w:rPr>
        <w:t>The power of video studies in investigating teaching and learning in the classroom</w:t>
      </w:r>
      <w:r w:rsidRPr="0064301C">
        <w:rPr>
          <w:sz w:val="16"/>
          <w:szCs w:val="16"/>
        </w:rPr>
        <w:t xml:space="preserve"> (s. 103–119)</w:t>
      </w:r>
      <w:r w:rsidRPr="0064301C">
        <w:rPr>
          <w:i/>
          <w:sz w:val="16"/>
          <w:szCs w:val="16"/>
        </w:rPr>
        <w:t xml:space="preserve">. </w:t>
      </w:r>
      <w:r w:rsidRPr="0064301C">
        <w:rPr>
          <w:sz w:val="16"/>
          <w:szCs w:val="16"/>
        </w:rPr>
        <w:t>Münster: Waxmann.</w:t>
      </w:r>
    </w:p>
    <w:p w:rsidR="0015711E" w:rsidRDefault="0015711E" w:rsidP="007E13EF">
      <w:pPr>
        <w:ind w:left="426" w:hanging="426"/>
        <w:rPr>
          <w:sz w:val="16"/>
          <w:szCs w:val="16"/>
        </w:rPr>
      </w:pPr>
      <w:r w:rsidRPr="007E13EF">
        <w:rPr>
          <w:sz w:val="16"/>
          <w:szCs w:val="16"/>
        </w:rPr>
        <w:t xml:space="preserve">Nakonečný, M. (1998). </w:t>
      </w:r>
      <w:r w:rsidRPr="007E13EF">
        <w:rPr>
          <w:i/>
          <w:iCs/>
          <w:sz w:val="16"/>
          <w:szCs w:val="16"/>
        </w:rPr>
        <w:t>Psychologie osobnosti</w:t>
      </w:r>
      <w:r w:rsidRPr="007E13EF">
        <w:rPr>
          <w:sz w:val="16"/>
          <w:szCs w:val="16"/>
        </w:rPr>
        <w:t>. Praha: Academia.</w:t>
      </w:r>
    </w:p>
    <w:p w:rsidR="0015711E" w:rsidRPr="001336D3" w:rsidRDefault="0015711E" w:rsidP="00B67F9E">
      <w:pPr>
        <w:ind w:left="426" w:hanging="426"/>
        <w:rPr>
          <w:sz w:val="16"/>
          <w:szCs w:val="16"/>
        </w:rPr>
      </w:pPr>
      <w:r w:rsidRPr="001336D3">
        <w:rPr>
          <w:sz w:val="16"/>
          <w:szCs w:val="16"/>
        </w:rPr>
        <w:t xml:space="preserve">National Research Council (NRC), 2000. </w:t>
      </w:r>
      <w:r w:rsidRPr="00651015">
        <w:rPr>
          <w:i/>
          <w:sz w:val="16"/>
          <w:szCs w:val="16"/>
        </w:rPr>
        <w:t>Inquiry and the national science educ</w:t>
      </w:r>
      <w:r>
        <w:rPr>
          <w:i/>
          <w:sz w:val="16"/>
          <w:szCs w:val="16"/>
        </w:rPr>
        <w:t>a</w:t>
      </w:r>
      <w:r w:rsidRPr="00651015">
        <w:rPr>
          <w:i/>
          <w:sz w:val="16"/>
          <w:szCs w:val="16"/>
        </w:rPr>
        <w:t>tion standards</w:t>
      </w:r>
      <w:r w:rsidRPr="001336D3">
        <w:rPr>
          <w:sz w:val="16"/>
          <w:szCs w:val="16"/>
        </w:rPr>
        <w:t>. Washington: National Academy Press.</w:t>
      </w:r>
    </w:p>
    <w:p w:rsidR="0015711E" w:rsidRPr="008E1CDD" w:rsidRDefault="0015711E" w:rsidP="008E1CDD">
      <w:pPr>
        <w:ind w:left="426" w:hanging="426"/>
        <w:rPr>
          <w:sz w:val="16"/>
          <w:szCs w:val="16"/>
        </w:rPr>
      </w:pPr>
      <w:r w:rsidRPr="008E1CDD">
        <w:rPr>
          <w:sz w:val="16"/>
          <w:szCs w:val="16"/>
        </w:rPr>
        <w:t xml:space="preserve">Neubrand, J. (2002). </w:t>
      </w:r>
      <w:r w:rsidRPr="008E1CDD">
        <w:rPr>
          <w:i/>
          <w:iCs/>
          <w:sz w:val="16"/>
          <w:szCs w:val="16"/>
        </w:rPr>
        <w:t>Eine Klassifikation mathematischer Aufgaben zur Analyse von Unterrichtssituationen: Selbsttätiges Arbeiten in Schülerarbeitsphasen in den Stunden der TIMSS-Video-Studie</w:t>
      </w:r>
      <w:r w:rsidRPr="008E1CDD">
        <w:rPr>
          <w:sz w:val="16"/>
          <w:szCs w:val="16"/>
        </w:rPr>
        <w:t>. Hildesheim: Franzbecker.</w:t>
      </w:r>
    </w:p>
    <w:p w:rsidR="0015711E" w:rsidRPr="009407C8" w:rsidRDefault="0015711E" w:rsidP="009407C8">
      <w:pPr>
        <w:ind w:left="426" w:hanging="426"/>
        <w:rPr>
          <w:bCs/>
          <w:sz w:val="16"/>
          <w:szCs w:val="16"/>
        </w:rPr>
      </w:pPr>
      <w:r w:rsidRPr="009407C8">
        <w:rPr>
          <w:bCs/>
          <w:sz w:val="16"/>
          <w:szCs w:val="16"/>
        </w:rPr>
        <w:t>Neumann, K., Kauertz, A., Lau, A., Notarp, H., &amp; Fischer, H. E. (2007). Die Modellierun</w:t>
      </w:r>
      <w:r>
        <w:rPr>
          <w:bCs/>
          <w:sz w:val="16"/>
          <w:szCs w:val="16"/>
        </w:rPr>
        <w:t>g physikalischer Kompetenz und ihre</w:t>
      </w:r>
      <w:r w:rsidRPr="009407C8">
        <w:rPr>
          <w:bCs/>
          <w:sz w:val="16"/>
          <w:szCs w:val="16"/>
        </w:rPr>
        <w:t xml:space="preserve"> Entwicklung. </w:t>
      </w:r>
      <w:r w:rsidRPr="009407C8">
        <w:rPr>
          <w:bCs/>
          <w:i/>
          <w:sz w:val="16"/>
          <w:szCs w:val="16"/>
        </w:rPr>
        <w:t xml:space="preserve">Zeitschrift für Didaktik der Naturwissenschaften, </w:t>
      </w:r>
      <w:r w:rsidRPr="00966BE2">
        <w:rPr>
          <w:bCs/>
          <w:i/>
          <w:sz w:val="16"/>
          <w:szCs w:val="16"/>
          <w:highlight w:val="green"/>
        </w:rPr>
        <w:t>13,</w:t>
      </w:r>
      <w:r w:rsidRPr="009407C8">
        <w:rPr>
          <w:bCs/>
          <w:sz w:val="16"/>
          <w:szCs w:val="16"/>
        </w:rPr>
        <w:t xml:space="preserve"> 101–121.</w:t>
      </w:r>
    </w:p>
    <w:p w:rsidR="0015711E" w:rsidRPr="00856DB2" w:rsidRDefault="0015711E" w:rsidP="00856DB2">
      <w:pPr>
        <w:ind w:left="426" w:hanging="426"/>
        <w:rPr>
          <w:bCs/>
          <w:sz w:val="16"/>
          <w:szCs w:val="16"/>
        </w:rPr>
      </w:pPr>
      <w:r w:rsidRPr="00856DB2">
        <w:rPr>
          <w:bCs/>
          <w:sz w:val="16"/>
          <w:szCs w:val="16"/>
        </w:rPr>
        <w:t xml:space="preserve">Norman, G. R., &amp; Schmidt, H. G. (1992). The psychological basis of problem-based learning: A review of the evidence. </w:t>
      </w:r>
      <w:r w:rsidRPr="00856DB2">
        <w:rPr>
          <w:bCs/>
          <w:i/>
          <w:iCs/>
          <w:sz w:val="16"/>
          <w:szCs w:val="16"/>
        </w:rPr>
        <w:t>Academic Medicine</w:t>
      </w:r>
      <w:r w:rsidRPr="00856DB2">
        <w:rPr>
          <w:bCs/>
          <w:sz w:val="16"/>
          <w:szCs w:val="16"/>
        </w:rPr>
        <w:t xml:space="preserve">, </w:t>
      </w:r>
      <w:r w:rsidRPr="00856DB2">
        <w:rPr>
          <w:bCs/>
          <w:i/>
          <w:iCs/>
          <w:sz w:val="16"/>
          <w:szCs w:val="16"/>
        </w:rPr>
        <w:t>67</w:t>
      </w:r>
      <w:r w:rsidRPr="00856DB2">
        <w:rPr>
          <w:bCs/>
          <w:sz w:val="16"/>
          <w:szCs w:val="16"/>
        </w:rPr>
        <w:t>(9), 557–565.</w:t>
      </w:r>
    </w:p>
    <w:p w:rsidR="0015711E" w:rsidRPr="006346E5" w:rsidRDefault="0015711E" w:rsidP="006346E5">
      <w:pPr>
        <w:ind w:left="426" w:hanging="426"/>
        <w:rPr>
          <w:sz w:val="16"/>
          <w:szCs w:val="16"/>
        </w:rPr>
      </w:pPr>
      <w:r w:rsidRPr="006346E5">
        <w:rPr>
          <w:sz w:val="16"/>
          <w:szCs w:val="16"/>
        </w:rPr>
        <w:t xml:space="preserve">Novick, L. R. (1988). Analogical transfer, problem similarity, and expertise. </w:t>
      </w:r>
      <w:r w:rsidRPr="006346E5">
        <w:rPr>
          <w:i/>
          <w:iCs/>
          <w:sz w:val="16"/>
          <w:szCs w:val="16"/>
        </w:rPr>
        <w:t>Journal of Experimental Psychology: Learning, Memory, and Cognition</w:t>
      </w:r>
      <w:r w:rsidRPr="006346E5">
        <w:rPr>
          <w:sz w:val="16"/>
          <w:szCs w:val="16"/>
        </w:rPr>
        <w:t xml:space="preserve">, </w:t>
      </w:r>
      <w:r w:rsidRPr="006346E5">
        <w:rPr>
          <w:i/>
          <w:iCs/>
          <w:sz w:val="16"/>
          <w:szCs w:val="16"/>
        </w:rPr>
        <w:t>14</w:t>
      </w:r>
      <w:r w:rsidRPr="006346E5">
        <w:rPr>
          <w:sz w:val="16"/>
          <w:szCs w:val="16"/>
        </w:rPr>
        <w:t>(3), 510–520.</w:t>
      </w:r>
    </w:p>
    <w:p w:rsidR="0015711E" w:rsidRPr="006346E5" w:rsidRDefault="0015711E" w:rsidP="006346E5">
      <w:pPr>
        <w:ind w:left="426" w:hanging="426"/>
        <w:rPr>
          <w:sz w:val="16"/>
          <w:szCs w:val="16"/>
        </w:rPr>
      </w:pPr>
      <w:r w:rsidRPr="006346E5">
        <w:rPr>
          <w:sz w:val="16"/>
          <w:szCs w:val="16"/>
        </w:rPr>
        <w:t xml:space="preserve">Nunes, T., Schliemann, A. D., &amp; Carraher, D. W. (1993). </w:t>
      </w:r>
      <w:r w:rsidRPr="006346E5">
        <w:rPr>
          <w:i/>
          <w:iCs/>
          <w:sz w:val="16"/>
          <w:szCs w:val="16"/>
        </w:rPr>
        <w:t>Street mathematics and school mathematics</w:t>
      </w:r>
      <w:r w:rsidRPr="006346E5">
        <w:rPr>
          <w:sz w:val="16"/>
          <w:szCs w:val="16"/>
        </w:rPr>
        <w:t>. Cambridge: Cambridge University Press.</w:t>
      </w:r>
    </w:p>
    <w:p w:rsidR="0015711E" w:rsidRPr="009407C8" w:rsidRDefault="0015711E" w:rsidP="009407C8">
      <w:pPr>
        <w:ind w:left="426" w:hanging="426"/>
        <w:rPr>
          <w:bCs/>
          <w:sz w:val="16"/>
          <w:szCs w:val="16"/>
          <w:lang w:val="en-GB"/>
        </w:rPr>
      </w:pPr>
      <w:r w:rsidRPr="009407C8">
        <w:rPr>
          <w:bCs/>
          <w:sz w:val="16"/>
          <w:szCs w:val="16"/>
          <w:lang w:val="en-US"/>
        </w:rPr>
        <w:t xml:space="preserve">OECD (2003). </w:t>
      </w:r>
      <w:r w:rsidRPr="009407C8">
        <w:rPr>
          <w:bCs/>
          <w:i/>
          <w:iCs/>
          <w:sz w:val="16"/>
          <w:szCs w:val="16"/>
          <w:lang w:val="en-US"/>
        </w:rPr>
        <w:t xml:space="preserve">The PISA 2003. </w:t>
      </w:r>
      <w:r w:rsidRPr="009407C8">
        <w:rPr>
          <w:bCs/>
          <w:i/>
          <w:iCs/>
          <w:sz w:val="16"/>
          <w:szCs w:val="16"/>
          <w:lang w:val="en-GB"/>
        </w:rPr>
        <w:t>Assessment framework: Mathematics, reading, science and problem solving knowledge and skills.</w:t>
      </w:r>
      <w:r w:rsidRPr="009407C8">
        <w:rPr>
          <w:bCs/>
          <w:sz w:val="16"/>
          <w:szCs w:val="16"/>
          <w:lang w:val="en-GB"/>
        </w:rPr>
        <w:t xml:space="preserve"> Paris: OECD.</w:t>
      </w:r>
    </w:p>
    <w:p w:rsidR="0015711E" w:rsidRPr="005A4315" w:rsidRDefault="0015711E" w:rsidP="005A4315">
      <w:pPr>
        <w:ind w:left="426" w:hanging="426"/>
        <w:rPr>
          <w:bCs/>
          <w:i/>
          <w:iCs/>
          <w:sz w:val="16"/>
          <w:szCs w:val="16"/>
        </w:rPr>
      </w:pPr>
      <w:r w:rsidRPr="005A4315">
        <w:rPr>
          <w:bCs/>
          <w:iCs/>
          <w:sz w:val="16"/>
          <w:szCs w:val="16"/>
        </w:rPr>
        <w:t xml:space="preserve">OECD. (2004). </w:t>
      </w:r>
      <w:r w:rsidRPr="005A4315">
        <w:rPr>
          <w:bCs/>
          <w:i/>
          <w:iCs/>
          <w:sz w:val="16"/>
          <w:szCs w:val="16"/>
        </w:rPr>
        <w:t xml:space="preserve">Learning for </w:t>
      </w:r>
      <w:r>
        <w:rPr>
          <w:bCs/>
          <w:i/>
          <w:iCs/>
          <w:sz w:val="16"/>
          <w:szCs w:val="16"/>
        </w:rPr>
        <w:t>t</w:t>
      </w:r>
      <w:r w:rsidRPr="005A4315">
        <w:rPr>
          <w:bCs/>
          <w:i/>
          <w:iCs/>
          <w:sz w:val="16"/>
          <w:szCs w:val="16"/>
        </w:rPr>
        <w:t xml:space="preserve">omorrow’s </w:t>
      </w:r>
      <w:r>
        <w:rPr>
          <w:bCs/>
          <w:i/>
          <w:iCs/>
          <w:sz w:val="16"/>
          <w:szCs w:val="16"/>
        </w:rPr>
        <w:t>w</w:t>
      </w:r>
      <w:r w:rsidRPr="005A4315">
        <w:rPr>
          <w:bCs/>
          <w:i/>
          <w:iCs/>
          <w:sz w:val="16"/>
          <w:szCs w:val="16"/>
        </w:rPr>
        <w:t xml:space="preserve">orld – </w:t>
      </w:r>
      <w:r>
        <w:rPr>
          <w:bCs/>
          <w:i/>
          <w:iCs/>
          <w:sz w:val="16"/>
          <w:szCs w:val="16"/>
        </w:rPr>
        <w:t>f</w:t>
      </w:r>
      <w:r w:rsidRPr="005A4315">
        <w:rPr>
          <w:bCs/>
          <w:i/>
          <w:iCs/>
          <w:sz w:val="16"/>
          <w:szCs w:val="16"/>
        </w:rPr>
        <w:t xml:space="preserve">irst </w:t>
      </w:r>
      <w:r>
        <w:rPr>
          <w:bCs/>
          <w:i/>
          <w:iCs/>
          <w:sz w:val="16"/>
          <w:szCs w:val="16"/>
        </w:rPr>
        <w:t>m</w:t>
      </w:r>
      <w:r w:rsidRPr="005A4315">
        <w:rPr>
          <w:bCs/>
          <w:i/>
          <w:iCs/>
          <w:sz w:val="16"/>
          <w:szCs w:val="16"/>
        </w:rPr>
        <w:t xml:space="preserve">easures of </w:t>
      </w:r>
      <w:r>
        <w:rPr>
          <w:bCs/>
          <w:i/>
          <w:iCs/>
          <w:sz w:val="16"/>
          <w:szCs w:val="16"/>
        </w:rPr>
        <w:t>c</w:t>
      </w:r>
      <w:r w:rsidRPr="005A4315">
        <w:rPr>
          <w:bCs/>
          <w:i/>
          <w:iCs/>
          <w:sz w:val="16"/>
          <w:szCs w:val="16"/>
        </w:rPr>
        <w:t>ross-</w:t>
      </w:r>
      <w:r>
        <w:rPr>
          <w:bCs/>
          <w:i/>
          <w:iCs/>
          <w:sz w:val="16"/>
          <w:szCs w:val="16"/>
        </w:rPr>
        <w:t>c</w:t>
      </w:r>
      <w:r w:rsidRPr="005A4315">
        <w:rPr>
          <w:bCs/>
          <w:i/>
          <w:iCs/>
          <w:sz w:val="16"/>
          <w:szCs w:val="16"/>
        </w:rPr>
        <w:t xml:space="preserve">urricular </w:t>
      </w:r>
      <w:r>
        <w:rPr>
          <w:bCs/>
          <w:i/>
          <w:iCs/>
          <w:sz w:val="16"/>
          <w:szCs w:val="16"/>
        </w:rPr>
        <w:t>s</w:t>
      </w:r>
      <w:r w:rsidRPr="005A4315">
        <w:rPr>
          <w:bCs/>
          <w:i/>
          <w:iCs/>
          <w:sz w:val="16"/>
          <w:szCs w:val="16"/>
        </w:rPr>
        <w:t>kills</w:t>
      </w:r>
      <w:r>
        <w:rPr>
          <w:bCs/>
          <w:i/>
          <w:iCs/>
          <w:sz w:val="16"/>
          <w:szCs w:val="16"/>
        </w:rPr>
        <w:t xml:space="preserve"> </w:t>
      </w:r>
      <w:r w:rsidRPr="005A4315">
        <w:rPr>
          <w:bCs/>
          <w:i/>
          <w:iCs/>
          <w:sz w:val="16"/>
          <w:szCs w:val="16"/>
        </w:rPr>
        <w:t>from PISA 2003</w:t>
      </w:r>
      <w:r w:rsidRPr="005A4315">
        <w:rPr>
          <w:bCs/>
          <w:iCs/>
          <w:sz w:val="16"/>
          <w:szCs w:val="16"/>
        </w:rPr>
        <w:t>. Paris: OECD.</w:t>
      </w:r>
    </w:p>
    <w:p w:rsidR="0015711E" w:rsidRPr="005434D2" w:rsidRDefault="0015711E" w:rsidP="005434D2">
      <w:pPr>
        <w:ind w:left="426" w:hanging="426"/>
        <w:rPr>
          <w:bCs/>
          <w:sz w:val="16"/>
          <w:szCs w:val="16"/>
        </w:rPr>
      </w:pPr>
      <w:r w:rsidRPr="005434D2">
        <w:rPr>
          <w:bCs/>
          <w:sz w:val="16"/>
          <w:szCs w:val="16"/>
        </w:rPr>
        <w:t xml:space="preserve">Okoń, W. (1966). </w:t>
      </w:r>
      <w:r w:rsidRPr="005434D2">
        <w:rPr>
          <w:bCs/>
          <w:i/>
          <w:iCs/>
          <w:sz w:val="16"/>
          <w:szCs w:val="16"/>
        </w:rPr>
        <w:t>K základům problémového učení</w:t>
      </w:r>
      <w:r w:rsidRPr="005434D2">
        <w:rPr>
          <w:bCs/>
          <w:sz w:val="16"/>
          <w:szCs w:val="16"/>
        </w:rPr>
        <w:t>. Praha: SPN.</w:t>
      </w:r>
    </w:p>
    <w:p w:rsidR="0015711E" w:rsidRPr="007C0E29" w:rsidRDefault="0015711E" w:rsidP="007C0E29">
      <w:pPr>
        <w:ind w:left="426" w:hanging="426"/>
        <w:rPr>
          <w:b/>
          <w:bCs/>
          <w:sz w:val="16"/>
          <w:szCs w:val="16"/>
        </w:rPr>
      </w:pPr>
      <w:r w:rsidRPr="007C0E29">
        <w:rPr>
          <w:bCs/>
          <w:sz w:val="16"/>
          <w:szCs w:val="16"/>
        </w:rPr>
        <w:t>Otto, K.-H., Mönter, L., &amp; Hof, S. (2011). (Keine) Experimente wagen? In C. Meyer, R. Henrÿ, &amp; G. Stöber (Eds.), </w:t>
      </w:r>
      <w:r w:rsidRPr="007C0E29">
        <w:rPr>
          <w:bCs/>
          <w:i/>
          <w:sz w:val="16"/>
          <w:szCs w:val="16"/>
        </w:rPr>
        <w:t>Geographische Bildung. Kompetenzen in didaktischer Forschung und Schulpraxis</w:t>
      </w:r>
      <w:r w:rsidRPr="007C0E29">
        <w:rPr>
          <w:bCs/>
          <w:sz w:val="16"/>
          <w:szCs w:val="16"/>
        </w:rPr>
        <w:t xml:space="preserve"> (s. 36–48). Braunschweig: Westermann.</w:t>
      </w:r>
    </w:p>
    <w:p w:rsidR="0015711E" w:rsidRDefault="0015711E" w:rsidP="00AC1737">
      <w:pPr>
        <w:ind w:left="426" w:hanging="426"/>
        <w:rPr>
          <w:sz w:val="16"/>
          <w:szCs w:val="16"/>
        </w:rPr>
      </w:pPr>
      <w:r>
        <w:rPr>
          <w:sz w:val="16"/>
          <w:szCs w:val="16"/>
        </w:rPr>
        <w:t>Papáček, M. (2010a</w:t>
      </w:r>
      <w:r w:rsidRPr="003F3321">
        <w:rPr>
          <w:sz w:val="16"/>
          <w:szCs w:val="16"/>
        </w:rPr>
        <w:t xml:space="preserve">). Badatelsky orientované přírodovědné vyučování cesta pro biologické vzdělávání generací Y, Z a alfa? </w:t>
      </w:r>
      <w:r w:rsidRPr="003F3321">
        <w:rPr>
          <w:i/>
          <w:iCs/>
          <w:sz w:val="16"/>
          <w:szCs w:val="16"/>
        </w:rPr>
        <w:t xml:space="preserve">Scientia </w:t>
      </w:r>
      <w:r>
        <w:rPr>
          <w:i/>
          <w:iCs/>
          <w:sz w:val="16"/>
          <w:szCs w:val="16"/>
        </w:rPr>
        <w:t>i</w:t>
      </w:r>
      <w:r w:rsidRPr="003F3321">
        <w:rPr>
          <w:i/>
          <w:iCs/>
          <w:sz w:val="16"/>
          <w:szCs w:val="16"/>
        </w:rPr>
        <w:t>n Educatione, 1</w:t>
      </w:r>
      <w:r>
        <w:rPr>
          <w:sz w:val="16"/>
          <w:szCs w:val="16"/>
        </w:rPr>
        <w:t>(1), 33–49.</w:t>
      </w:r>
    </w:p>
    <w:p w:rsidR="0015711E" w:rsidRDefault="0015711E" w:rsidP="003F3321">
      <w:pPr>
        <w:ind w:left="426" w:hanging="426"/>
        <w:rPr>
          <w:sz w:val="16"/>
          <w:szCs w:val="16"/>
        </w:rPr>
      </w:pPr>
      <w:r>
        <w:rPr>
          <w:bCs/>
          <w:sz w:val="16"/>
          <w:szCs w:val="16"/>
        </w:rPr>
        <w:t xml:space="preserve">Papáček, M. (2010b). </w:t>
      </w:r>
      <w:r w:rsidRPr="003F3321">
        <w:rPr>
          <w:bCs/>
          <w:sz w:val="16"/>
          <w:szCs w:val="16"/>
        </w:rPr>
        <w:t>Limity a šance zavádění badatelsky orientovaného vyučování</w:t>
      </w:r>
      <w:r>
        <w:rPr>
          <w:bCs/>
          <w:sz w:val="16"/>
          <w:szCs w:val="16"/>
        </w:rPr>
        <w:t xml:space="preserve"> </w:t>
      </w:r>
      <w:r w:rsidRPr="003F3321">
        <w:rPr>
          <w:bCs/>
          <w:sz w:val="16"/>
          <w:szCs w:val="16"/>
        </w:rPr>
        <w:t>přírodopisu a biologie v</w:t>
      </w:r>
      <w:r>
        <w:rPr>
          <w:bCs/>
          <w:sz w:val="16"/>
          <w:szCs w:val="16"/>
        </w:rPr>
        <w:t xml:space="preserve"> </w:t>
      </w:r>
      <w:r w:rsidRPr="003F3321">
        <w:rPr>
          <w:bCs/>
          <w:sz w:val="16"/>
          <w:szCs w:val="16"/>
        </w:rPr>
        <w:t>České republice</w:t>
      </w:r>
      <w:r>
        <w:rPr>
          <w:bCs/>
          <w:sz w:val="16"/>
          <w:szCs w:val="16"/>
        </w:rPr>
        <w:t>.</w:t>
      </w:r>
      <w:r w:rsidRPr="003F3321">
        <w:rPr>
          <w:bCs/>
          <w:sz w:val="16"/>
          <w:szCs w:val="16"/>
        </w:rPr>
        <w:t xml:space="preserve"> </w:t>
      </w:r>
      <w:r w:rsidRPr="00AC1737">
        <w:rPr>
          <w:bCs/>
          <w:sz w:val="16"/>
          <w:szCs w:val="16"/>
        </w:rPr>
        <w:t>In</w:t>
      </w:r>
      <w:r>
        <w:rPr>
          <w:bCs/>
          <w:sz w:val="16"/>
          <w:szCs w:val="16"/>
        </w:rPr>
        <w:t xml:space="preserve"> M. Papáček (Ed.). </w:t>
      </w:r>
      <w:r w:rsidRPr="008E1CDD">
        <w:rPr>
          <w:bCs/>
          <w:i/>
          <w:sz w:val="16"/>
          <w:szCs w:val="16"/>
        </w:rPr>
        <w:t>Didaktika biologie v české republice 2010 a badatelsky orientované vyučování</w:t>
      </w:r>
      <w:r>
        <w:rPr>
          <w:bCs/>
          <w:sz w:val="16"/>
          <w:szCs w:val="16"/>
        </w:rPr>
        <w:t xml:space="preserve"> (s. 145–162)</w:t>
      </w:r>
      <w:r w:rsidRPr="00AC1737">
        <w:rPr>
          <w:bCs/>
          <w:sz w:val="16"/>
          <w:szCs w:val="16"/>
        </w:rPr>
        <w:t>. České Budějovice: Jihočeská univerzita.</w:t>
      </w:r>
    </w:p>
    <w:p w:rsidR="0015711E" w:rsidRPr="007C0E29" w:rsidRDefault="0015711E" w:rsidP="007C0E29">
      <w:pPr>
        <w:ind w:left="426" w:hanging="426"/>
        <w:rPr>
          <w:sz w:val="16"/>
          <w:szCs w:val="16"/>
        </w:rPr>
      </w:pPr>
      <w:r w:rsidRPr="007C0E29">
        <w:rPr>
          <w:sz w:val="16"/>
          <w:szCs w:val="16"/>
        </w:rPr>
        <w:t xml:space="preserve">Parsons, T., &amp; Jones, I. (1960). </w:t>
      </w:r>
      <w:r w:rsidRPr="007C0E29">
        <w:rPr>
          <w:i/>
          <w:sz w:val="16"/>
          <w:szCs w:val="16"/>
        </w:rPr>
        <w:t>Structure and process in modern societies</w:t>
      </w:r>
      <w:r w:rsidRPr="007C0E29">
        <w:rPr>
          <w:sz w:val="16"/>
          <w:szCs w:val="16"/>
        </w:rPr>
        <w:t>. New York: Free Press.</w:t>
      </w:r>
    </w:p>
    <w:p w:rsidR="0015711E" w:rsidRPr="007E51DC" w:rsidRDefault="0015711E" w:rsidP="007E51DC">
      <w:pPr>
        <w:ind w:left="426" w:hanging="426"/>
        <w:rPr>
          <w:sz w:val="16"/>
          <w:szCs w:val="16"/>
        </w:rPr>
      </w:pPr>
      <w:r w:rsidRPr="007E51DC">
        <w:rPr>
          <w:sz w:val="16"/>
          <w:szCs w:val="16"/>
        </w:rPr>
        <w:t xml:space="preserve">Pasch, M., </w:t>
      </w:r>
      <w:r>
        <w:rPr>
          <w:sz w:val="16"/>
          <w:szCs w:val="16"/>
        </w:rPr>
        <w:t>Gardner, T. G., Sparks-Langer, G., Stark, A. J., &amp; Moody</w:t>
      </w:r>
      <w:r w:rsidRPr="007E51DC">
        <w:rPr>
          <w:sz w:val="16"/>
          <w:szCs w:val="16"/>
        </w:rPr>
        <w:t xml:space="preserve">, C. D. (1998). </w:t>
      </w:r>
      <w:r w:rsidRPr="007E51DC">
        <w:rPr>
          <w:i/>
          <w:iCs/>
          <w:sz w:val="16"/>
          <w:szCs w:val="16"/>
        </w:rPr>
        <w:t>Od vzdělávacího programu k vyučovací hodině</w:t>
      </w:r>
      <w:r w:rsidRPr="007E51DC">
        <w:rPr>
          <w:sz w:val="16"/>
          <w:szCs w:val="16"/>
        </w:rPr>
        <w:t>. Praha: Portál.</w:t>
      </w:r>
    </w:p>
    <w:p w:rsidR="0015711E" w:rsidRPr="007C0E29" w:rsidRDefault="0015711E" w:rsidP="007C0E29">
      <w:pPr>
        <w:ind w:left="426" w:hanging="426"/>
        <w:rPr>
          <w:sz w:val="16"/>
          <w:szCs w:val="16"/>
        </w:rPr>
      </w:pPr>
      <w:r w:rsidRPr="007C0E29">
        <w:rPr>
          <w:sz w:val="16"/>
          <w:szCs w:val="16"/>
        </w:rPr>
        <w:t xml:space="preserve">Pätzold, G., &amp; Lang, M. (1999). </w:t>
      </w:r>
      <w:r w:rsidRPr="007C0E29">
        <w:rPr>
          <w:i/>
          <w:iCs/>
          <w:sz w:val="16"/>
          <w:szCs w:val="16"/>
        </w:rPr>
        <w:t>Lernkulturen im Wandel</w:t>
      </w:r>
      <w:r w:rsidRPr="007C0E29">
        <w:rPr>
          <w:sz w:val="16"/>
          <w:szCs w:val="16"/>
        </w:rPr>
        <w:t>. Bielefeld: Bertelsmann.</w:t>
      </w:r>
    </w:p>
    <w:p w:rsidR="0015711E" w:rsidRPr="005434D2" w:rsidRDefault="0015711E" w:rsidP="005434D2">
      <w:pPr>
        <w:ind w:left="426" w:hanging="426"/>
        <w:rPr>
          <w:bCs/>
          <w:sz w:val="16"/>
          <w:szCs w:val="16"/>
        </w:rPr>
      </w:pPr>
      <w:r w:rsidRPr="005434D2">
        <w:rPr>
          <w:bCs/>
          <w:sz w:val="16"/>
          <w:szCs w:val="16"/>
        </w:rPr>
        <w:t xml:space="preserve">Pawson, E., Fournier, E., Haigh, M., Muniz, O., Trafford, J., &amp; Vajoczki, S. (2006). Problem-based learning in geography: </w:t>
      </w:r>
      <w:r>
        <w:rPr>
          <w:bCs/>
          <w:sz w:val="16"/>
          <w:szCs w:val="16"/>
        </w:rPr>
        <w:t>T</w:t>
      </w:r>
      <w:r w:rsidRPr="005434D2">
        <w:rPr>
          <w:bCs/>
          <w:sz w:val="16"/>
          <w:szCs w:val="16"/>
        </w:rPr>
        <w:t>owards a critical assessment of its purposes, benefits and risks. </w:t>
      </w:r>
      <w:r w:rsidRPr="005434D2">
        <w:rPr>
          <w:bCs/>
          <w:i/>
          <w:iCs/>
          <w:sz w:val="16"/>
          <w:szCs w:val="16"/>
        </w:rPr>
        <w:t>Journal of Geography in Higher Education</w:t>
      </w:r>
      <w:r w:rsidRPr="005434D2">
        <w:rPr>
          <w:bCs/>
          <w:sz w:val="16"/>
          <w:szCs w:val="16"/>
        </w:rPr>
        <w:t>,</w:t>
      </w:r>
      <w:r>
        <w:rPr>
          <w:bCs/>
          <w:sz w:val="16"/>
          <w:szCs w:val="16"/>
        </w:rPr>
        <w:t xml:space="preserve"> </w:t>
      </w:r>
      <w:r w:rsidRPr="005434D2">
        <w:rPr>
          <w:bCs/>
          <w:i/>
          <w:iCs/>
          <w:sz w:val="16"/>
          <w:szCs w:val="16"/>
        </w:rPr>
        <w:t>30</w:t>
      </w:r>
      <w:r w:rsidRPr="005434D2">
        <w:rPr>
          <w:bCs/>
          <w:sz w:val="16"/>
          <w:szCs w:val="16"/>
        </w:rPr>
        <w:t>(1), 103</w:t>
      </w:r>
      <w:r>
        <w:rPr>
          <w:bCs/>
          <w:sz w:val="16"/>
          <w:szCs w:val="16"/>
        </w:rPr>
        <w:t>–</w:t>
      </w:r>
      <w:r w:rsidRPr="005434D2">
        <w:rPr>
          <w:bCs/>
          <w:sz w:val="16"/>
          <w:szCs w:val="16"/>
        </w:rPr>
        <w:t>116.</w:t>
      </w:r>
    </w:p>
    <w:p w:rsidR="0015711E" w:rsidRDefault="0015711E" w:rsidP="002A48DD">
      <w:pPr>
        <w:ind w:left="426" w:hanging="426"/>
        <w:rPr>
          <w:sz w:val="16"/>
          <w:szCs w:val="16"/>
        </w:rPr>
      </w:pPr>
      <w:r w:rsidRPr="00B41A78">
        <w:rPr>
          <w:sz w:val="16"/>
          <w:szCs w:val="16"/>
        </w:rPr>
        <w:t xml:space="preserve">Pelikán, J. (1995). </w:t>
      </w:r>
      <w:r w:rsidRPr="00B41A78">
        <w:rPr>
          <w:i/>
          <w:sz w:val="16"/>
          <w:szCs w:val="16"/>
        </w:rPr>
        <w:t xml:space="preserve">Výchova jako teoretický problém. </w:t>
      </w:r>
      <w:r w:rsidRPr="00B41A78">
        <w:rPr>
          <w:sz w:val="16"/>
          <w:szCs w:val="16"/>
        </w:rPr>
        <w:t>Ostrava: Amosium servis.</w:t>
      </w:r>
    </w:p>
    <w:p w:rsidR="0015711E" w:rsidRPr="007C0E29" w:rsidRDefault="0015711E" w:rsidP="007C0E29">
      <w:pPr>
        <w:ind w:left="426" w:hanging="426"/>
        <w:rPr>
          <w:sz w:val="16"/>
          <w:szCs w:val="16"/>
        </w:rPr>
      </w:pPr>
      <w:r w:rsidRPr="007C0E29">
        <w:rPr>
          <w:color w:val="222222"/>
          <w:sz w:val="16"/>
          <w:szCs w:val="16"/>
          <w:shd w:val="clear" w:color="auto" w:fill="FFFFFF"/>
        </w:rPr>
        <w:t>Peschar, J. L., &amp; Waslander, S. (1997).</w:t>
      </w:r>
      <w:r w:rsidRPr="007C0E29">
        <w:rPr>
          <w:rStyle w:val="apple-converted-space"/>
          <w:color w:val="222222"/>
          <w:sz w:val="16"/>
          <w:szCs w:val="16"/>
          <w:shd w:val="clear" w:color="auto" w:fill="FFFFFF"/>
        </w:rPr>
        <w:t> </w:t>
      </w:r>
      <w:r w:rsidRPr="007C0E29">
        <w:rPr>
          <w:i/>
          <w:iCs/>
          <w:color w:val="222222"/>
          <w:sz w:val="16"/>
          <w:szCs w:val="16"/>
          <w:shd w:val="clear" w:color="auto" w:fill="FFFFFF"/>
        </w:rPr>
        <w:t xml:space="preserve">Prepared for life? How to measure cross-curricular competencies. </w:t>
      </w:r>
      <w:r w:rsidRPr="00950897">
        <w:rPr>
          <w:iCs/>
          <w:color w:val="222222"/>
          <w:sz w:val="16"/>
          <w:szCs w:val="16"/>
          <w:shd w:val="clear" w:color="auto" w:fill="FFFFFF"/>
        </w:rPr>
        <w:t xml:space="preserve">Paris: OECD. </w:t>
      </w:r>
    </w:p>
    <w:p w:rsidR="0015711E" w:rsidRPr="00295B58" w:rsidRDefault="0015711E" w:rsidP="00295B58">
      <w:pPr>
        <w:ind w:left="426" w:hanging="426"/>
        <w:rPr>
          <w:bCs/>
          <w:iCs/>
          <w:sz w:val="16"/>
          <w:szCs w:val="16"/>
        </w:rPr>
      </w:pPr>
      <w:r w:rsidRPr="00295B58">
        <w:rPr>
          <w:bCs/>
          <w:iCs/>
          <w:sz w:val="16"/>
          <w:szCs w:val="16"/>
        </w:rPr>
        <w:t>Peterson, R. F., &amp; Treagust, D. F. (1998). Learning to teach primary science through problem</w:t>
      </w:r>
      <w:r w:rsidRPr="00295B58">
        <w:rPr>
          <w:rFonts w:ascii="Cambria Math" w:hAnsi="Cambria Math" w:cs="Cambria Math"/>
          <w:bCs/>
          <w:iCs/>
          <w:sz w:val="16"/>
          <w:szCs w:val="16"/>
        </w:rPr>
        <w:t>‐</w:t>
      </w:r>
      <w:r w:rsidRPr="00295B58">
        <w:rPr>
          <w:bCs/>
          <w:iCs/>
          <w:sz w:val="16"/>
          <w:szCs w:val="16"/>
        </w:rPr>
        <w:t xml:space="preserve">based learning. </w:t>
      </w:r>
      <w:r w:rsidRPr="00295B58">
        <w:rPr>
          <w:bCs/>
          <w:i/>
          <w:iCs/>
          <w:sz w:val="16"/>
          <w:szCs w:val="16"/>
        </w:rPr>
        <w:t>Science Education, 82</w:t>
      </w:r>
      <w:r w:rsidRPr="00295B58">
        <w:rPr>
          <w:bCs/>
          <w:iCs/>
          <w:sz w:val="16"/>
          <w:szCs w:val="16"/>
        </w:rPr>
        <w:t>(2), 215</w:t>
      </w:r>
      <w:r>
        <w:rPr>
          <w:bCs/>
          <w:iCs/>
          <w:sz w:val="16"/>
          <w:szCs w:val="16"/>
        </w:rPr>
        <w:t>–</w:t>
      </w:r>
      <w:r w:rsidRPr="00295B58">
        <w:rPr>
          <w:bCs/>
          <w:iCs/>
          <w:sz w:val="16"/>
          <w:szCs w:val="16"/>
        </w:rPr>
        <w:t>237.</w:t>
      </w:r>
    </w:p>
    <w:p w:rsidR="0015711E" w:rsidRPr="00A32765" w:rsidRDefault="0015711E" w:rsidP="00A32765">
      <w:pPr>
        <w:ind w:left="426" w:hanging="426"/>
        <w:rPr>
          <w:sz w:val="16"/>
          <w:szCs w:val="16"/>
        </w:rPr>
      </w:pPr>
      <w:r w:rsidRPr="000C630C">
        <w:rPr>
          <w:sz w:val="16"/>
          <w:szCs w:val="16"/>
        </w:rPr>
        <w:t xml:space="preserve">Petrová, Z. (2011). </w:t>
      </w:r>
      <w:r w:rsidR="00386691" w:rsidRPr="000C630C">
        <w:rPr>
          <w:sz w:val="16"/>
          <w:szCs w:val="16"/>
        </w:rPr>
        <w:t xml:space="preserve">Dopady vzdelávacej reformy v Anglicku a vo Walese. </w:t>
      </w:r>
      <w:r w:rsidRPr="000C630C">
        <w:rPr>
          <w:sz w:val="16"/>
          <w:szCs w:val="16"/>
        </w:rPr>
        <w:t xml:space="preserve">In </w:t>
      </w:r>
      <w:r w:rsidR="00386691" w:rsidRPr="000C630C">
        <w:rPr>
          <w:sz w:val="16"/>
          <w:szCs w:val="16"/>
        </w:rPr>
        <w:t>O. Kaščák &amp; B. Pupala</w:t>
      </w:r>
      <w:r w:rsidRPr="000C630C">
        <w:rPr>
          <w:sz w:val="16"/>
          <w:szCs w:val="16"/>
        </w:rPr>
        <w:t xml:space="preserve"> (Eds.). </w:t>
      </w:r>
      <w:r w:rsidRPr="000C630C">
        <w:rPr>
          <w:i/>
          <w:iCs/>
          <w:sz w:val="16"/>
          <w:szCs w:val="16"/>
        </w:rPr>
        <w:t xml:space="preserve">Školy v prúde </w:t>
      </w:r>
      <w:r w:rsidR="00386691" w:rsidRPr="000C630C">
        <w:rPr>
          <w:i/>
          <w:iCs/>
          <w:sz w:val="16"/>
          <w:szCs w:val="16"/>
        </w:rPr>
        <w:t>refor</w:t>
      </w:r>
      <w:r w:rsidR="000C630C">
        <w:rPr>
          <w:i/>
          <w:iCs/>
          <w:sz w:val="16"/>
          <w:szCs w:val="16"/>
        </w:rPr>
        <w:t>i</w:t>
      </w:r>
      <w:r w:rsidR="00386691" w:rsidRPr="000C630C">
        <w:rPr>
          <w:i/>
          <w:iCs/>
          <w:sz w:val="16"/>
          <w:szCs w:val="16"/>
        </w:rPr>
        <w:t xml:space="preserve">em </w:t>
      </w:r>
      <w:r w:rsidR="00386691" w:rsidRPr="000C630C">
        <w:rPr>
          <w:iCs/>
          <w:sz w:val="16"/>
          <w:szCs w:val="16"/>
        </w:rPr>
        <w:t>(s. 84–</w:t>
      </w:r>
      <w:r w:rsidR="000C630C" w:rsidRPr="000C630C">
        <w:rPr>
          <w:iCs/>
          <w:sz w:val="16"/>
          <w:szCs w:val="16"/>
        </w:rPr>
        <w:t>106).</w:t>
      </w:r>
      <w:r w:rsidR="000C630C" w:rsidRPr="000C630C">
        <w:rPr>
          <w:i/>
          <w:iCs/>
          <w:sz w:val="16"/>
          <w:szCs w:val="16"/>
        </w:rPr>
        <w:t xml:space="preserve"> </w:t>
      </w:r>
      <w:r w:rsidRPr="000C630C">
        <w:rPr>
          <w:sz w:val="16"/>
          <w:szCs w:val="16"/>
        </w:rPr>
        <w:t>Bratislava: Rene</w:t>
      </w:r>
      <w:r w:rsidRPr="000C630C">
        <w:rPr>
          <w:sz w:val="16"/>
          <w:szCs w:val="16"/>
        </w:rPr>
        <w:softHyphen/>
        <w:t>sans.</w:t>
      </w:r>
    </w:p>
    <w:p w:rsidR="0015711E" w:rsidRPr="00BC7DCD" w:rsidRDefault="0015711E" w:rsidP="00BC7DCD">
      <w:pPr>
        <w:ind w:left="426" w:hanging="426"/>
        <w:rPr>
          <w:sz w:val="16"/>
          <w:szCs w:val="16"/>
        </w:rPr>
      </w:pPr>
      <w:r w:rsidRPr="00BC7DCD">
        <w:rPr>
          <w:sz w:val="16"/>
          <w:szCs w:val="16"/>
        </w:rPr>
        <w:t xml:space="preserve">Píšová, M. </w:t>
      </w:r>
      <w:r>
        <w:rPr>
          <w:sz w:val="16"/>
          <w:szCs w:val="16"/>
        </w:rPr>
        <w:t xml:space="preserve">(2005). </w:t>
      </w:r>
      <w:r w:rsidRPr="00BC7DCD">
        <w:rPr>
          <w:i/>
          <w:sz w:val="16"/>
          <w:szCs w:val="16"/>
        </w:rPr>
        <w:t>Klinický rok: procesy profesního rozvoje studentů učitelství a jejich podpora</w:t>
      </w:r>
      <w:r>
        <w:rPr>
          <w:sz w:val="16"/>
          <w:szCs w:val="16"/>
        </w:rPr>
        <w:t>. Pardubice</w:t>
      </w:r>
      <w:r w:rsidRPr="00BC7DCD">
        <w:rPr>
          <w:sz w:val="16"/>
          <w:szCs w:val="16"/>
        </w:rPr>
        <w:t>: UP</w:t>
      </w:r>
      <w:r>
        <w:rPr>
          <w:sz w:val="16"/>
          <w:szCs w:val="16"/>
        </w:rPr>
        <w:t>.</w:t>
      </w:r>
      <w:r w:rsidRPr="00BC7DCD">
        <w:rPr>
          <w:sz w:val="16"/>
          <w:szCs w:val="16"/>
        </w:rPr>
        <w:t xml:space="preserve"> </w:t>
      </w:r>
    </w:p>
    <w:p w:rsidR="0015711E" w:rsidRPr="007C0E29" w:rsidRDefault="0015711E" w:rsidP="007C0E29">
      <w:pPr>
        <w:ind w:left="426" w:hanging="426"/>
        <w:rPr>
          <w:sz w:val="16"/>
          <w:szCs w:val="16"/>
        </w:rPr>
      </w:pPr>
      <w:r w:rsidRPr="007C0E29">
        <w:rPr>
          <w:sz w:val="16"/>
          <w:szCs w:val="16"/>
        </w:rPr>
        <w:t xml:space="preserve">Polya, G. (1981). </w:t>
      </w:r>
      <w:r w:rsidRPr="007C0E29">
        <w:rPr>
          <w:i/>
          <w:sz w:val="16"/>
          <w:szCs w:val="16"/>
        </w:rPr>
        <w:t>Mathematical discovery: On understanding, learning, and teaching problem solving.</w:t>
      </w:r>
      <w:r w:rsidRPr="007C0E29">
        <w:rPr>
          <w:sz w:val="16"/>
          <w:szCs w:val="16"/>
        </w:rPr>
        <w:t xml:space="preserve"> New York: Wiley.</w:t>
      </w:r>
    </w:p>
    <w:p w:rsidR="0015711E" w:rsidRPr="001D60CE" w:rsidRDefault="0015711E" w:rsidP="001D60CE">
      <w:pPr>
        <w:ind w:left="426" w:hanging="426"/>
        <w:rPr>
          <w:bCs/>
          <w:sz w:val="16"/>
          <w:szCs w:val="16"/>
        </w:rPr>
      </w:pPr>
      <w:r w:rsidRPr="001D60CE">
        <w:rPr>
          <w:bCs/>
          <w:sz w:val="16"/>
          <w:szCs w:val="16"/>
        </w:rPr>
        <w:t xml:space="preserve">Popper, K. R. (1997). </w:t>
      </w:r>
      <w:r w:rsidRPr="001D60CE">
        <w:rPr>
          <w:bCs/>
          <w:i/>
          <w:iCs/>
          <w:sz w:val="16"/>
          <w:szCs w:val="16"/>
        </w:rPr>
        <w:t>Život je řešení problémů: o poznání, dějinách a politice.</w:t>
      </w:r>
      <w:r w:rsidRPr="001D60CE">
        <w:rPr>
          <w:bCs/>
          <w:sz w:val="16"/>
          <w:szCs w:val="16"/>
        </w:rPr>
        <w:t xml:space="preserve"> Praha: Mladá fronta.</w:t>
      </w:r>
    </w:p>
    <w:p w:rsidR="0015711E" w:rsidRDefault="0015711E" w:rsidP="006B2AFF">
      <w:pPr>
        <w:ind w:left="426" w:hanging="426"/>
        <w:rPr>
          <w:sz w:val="16"/>
          <w:szCs w:val="16"/>
        </w:rPr>
      </w:pPr>
      <w:r w:rsidRPr="006D3EF5">
        <w:rPr>
          <w:sz w:val="16"/>
          <w:szCs w:val="16"/>
        </w:rPr>
        <w:t>P</w:t>
      </w:r>
      <w:r>
        <w:rPr>
          <w:sz w:val="16"/>
          <w:szCs w:val="16"/>
        </w:rPr>
        <w:t>růcha</w:t>
      </w:r>
      <w:r w:rsidRPr="006D3EF5">
        <w:rPr>
          <w:sz w:val="16"/>
          <w:szCs w:val="16"/>
        </w:rPr>
        <w:t xml:space="preserve">, J. (2005). Rámcové vzdělávací programy: problém vymezování „kompetencí žáků “. </w:t>
      </w:r>
      <w:r w:rsidRPr="006D3EF5">
        <w:rPr>
          <w:i/>
          <w:sz w:val="16"/>
          <w:szCs w:val="16"/>
        </w:rPr>
        <w:t>Pedagogika, 55</w:t>
      </w:r>
      <w:r>
        <w:rPr>
          <w:sz w:val="16"/>
          <w:szCs w:val="16"/>
        </w:rPr>
        <w:t xml:space="preserve">(1), </w:t>
      </w:r>
      <w:r w:rsidRPr="006D3EF5">
        <w:rPr>
          <w:sz w:val="16"/>
          <w:szCs w:val="16"/>
        </w:rPr>
        <w:t>26</w:t>
      </w:r>
      <w:r>
        <w:rPr>
          <w:sz w:val="16"/>
          <w:szCs w:val="16"/>
        </w:rPr>
        <w:t>–</w:t>
      </w:r>
      <w:r w:rsidRPr="006D3EF5">
        <w:rPr>
          <w:sz w:val="16"/>
          <w:szCs w:val="16"/>
        </w:rPr>
        <w:t>36.</w:t>
      </w:r>
    </w:p>
    <w:p w:rsidR="0015711E" w:rsidRPr="006B2AFF" w:rsidRDefault="0015711E" w:rsidP="006B2AFF">
      <w:pPr>
        <w:ind w:left="426" w:hanging="426"/>
        <w:rPr>
          <w:sz w:val="16"/>
          <w:szCs w:val="16"/>
        </w:rPr>
      </w:pPr>
      <w:r w:rsidRPr="006B2AFF">
        <w:rPr>
          <w:sz w:val="16"/>
          <w:szCs w:val="16"/>
        </w:rPr>
        <w:t xml:space="preserve">Průcha, J., Walterová, E., &amp; Mareš, J. (2009). </w:t>
      </w:r>
      <w:r w:rsidRPr="006B2AFF">
        <w:rPr>
          <w:i/>
          <w:iCs/>
          <w:sz w:val="16"/>
          <w:szCs w:val="16"/>
        </w:rPr>
        <w:t>Pedagogický slovník</w:t>
      </w:r>
      <w:r w:rsidRPr="006B2AFF">
        <w:rPr>
          <w:sz w:val="16"/>
          <w:szCs w:val="16"/>
        </w:rPr>
        <w:t>. Praha: Portál.</w:t>
      </w:r>
    </w:p>
    <w:p w:rsidR="0015711E" w:rsidRPr="008E1CDD" w:rsidRDefault="0015711E" w:rsidP="008E1CDD">
      <w:pPr>
        <w:ind w:left="426" w:hanging="426"/>
        <w:rPr>
          <w:sz w:val="16"/>
          <w:szCs w:val="16"/>
        </w:rPr>
      </w:pPr>
      <w:r w:rsidRPr="008E1CDD">
        <w:rPr>
          <w:sz w:val="16"/>
          <w:szCs w:val="16"/>
        </w:rPr>
        <w:t xml:space="preserve">Pstružinová, J. (1992). Některé pedagogicko-psychologické aspekty učitelových otázek. </w:t>
      </w:r>
      <w:r w:rsidRPr="008E1CDD">
        <w:rPr>
          <w:i/>
          <w:iCs/>
          <w:sz w:val="16"/>
          <w:szCs w:val="16"/>
        </w:rPr>
        <w:t>Pedagogika, 42</w:t>
      </w:r>
      <w:r w:rsidRPr="008E1CDD">
        <w:rPr>
          <w:sz w:val="16"/>
          <w:szCs w:val="16"/>
        </w:rPr>
        <w:t>(2), 223–228.</w:t>
      </w:r>
    </w:p>
    <w:p w:rsidR="0015711E" w:rsidRPr="008473B0" w:rsidRDefault="0015711E" w:rsidP="00387BD3">
      <w:pPr>
        <w:ind w:left="426" w:hanging="426"/>
        <w:rPr>
          <w:sz w:val="16"/>
          <w:szCs w:val="16"/>
        </w:rPr>
      </w:pPr>
      <w:r w:rsidRPr="0050764E">
        <w:rPr>
          <w:i/>
          <w:sz w:val="16"/>
          <w:szCs w:val="16"/>
        </w:rPr>
        <w:t xml:space="preserve">Rámcový vzdělávací program pro základní vzdělávání </w:t>
      </w:r>
      <w:r w:rsidRPr="0050764E">
        <w:rPr>
          <w:sz w:val="16"/>
          <w:szCs w:val="16"/>
        </w:rPr>
        <w:t>(</w:t>
      </w:r>
      <w:r>
        <w:rPr>
          <w:sz w:val="16"/>
          <w:szCs w:val="16"/>
        </w:rPr>
        <w:t>2005/</w:t>
      </w:r>
      <w:r w:rsidRPr="0050764E">
        <w:rPr>
          <w:sz w:val="16"/>
          <w:szCs w:val="16"/>
        </w:rPr>
        <w:t>200</w:t>
      </w:r>
      <w:r>
        <w:rPr>
          <w:sz w:val="16"/>
          <w:szCs w:val="16"/>
        </w:rPr>
        <w:t>7</w:t>
      </w:r>
      <w:r w:rsidRPr="0050764E">
        <w:rPr>
          <w:sz w:val="16"/>
          <w:szCs w:val="16"/>
        </w:rPr>
        <w:t>).</w:t>
      </w:r>
      <w:r w:rsidRPr="0050764E">
        <w:rPr>
          <w:i/>
          <w:sz w:val="16"/>
          <w:szCs w:val="16"/>
        </w:rPr>
        <w:t xml:space="preserve"> </w:t>
      </w:r>
      <w:r w:rsidRPr="0050764E">
        <w:rPr>
          <w:sz w:val="16"/>
          <w:szCs w:val="16"/>
        </w:rPr>
        <w:t>Praha: VÚP.</w:t>
      </w:r>
    </w:p>
    <w:p w:rsidR="0015711E" w:rsidRPr="006320FD" w:rsidRDefault="0015711E" w:rsidP="006320FD">
      <w:pPr>
        <w:ind w:left="426" w:hanging="426"/>
        <w:rPr>
          <w:bCs/>
          <w:iCs/>
          <w:sz w:val="16"/>
          <w:szCs w:val="16"/>
        </w:rPr>
      </w:pPr>
      <w:r w:rsidRPr="006320FD">
        <w:rPr>
          <w:bCs/>
          <w:iCs/>
          <w:sz w:val="16"/>
          <w:szCs w:val="16"/>
        </w:rPr>
        <w:t xml:space="preserve">Rawling, E. (2001). </w:t>
      </w:r>
      <w:r>
        <w:rPr>
          <w:bCs/>
          <w:i/>
          <w:iCs/>
          <w:sz w:val="16"/>
          <w:szCs w:val="16"/>
        </w:rPr>
        <w:t>Changing the subject: T</w:t>
      </w:r>
      <w:r w:rsidRPr="006320FD">
        <w:rPr>
          <w:bCs/>
          <w:i/>
          <w:iCs/>
          <w:sz w:val="16"/>
          <w:szCs w:val="16"/>
        </w:rPr>
        <w:t>he impact of national policy on school geography 1980</w:t>
      </w:r>
      <w:r>
        <w:rPr>
          <w:bCs/>
          <w:i/>
          <w:iCs/>
          <w:sz w:val="16"/>
          <w:szCs w:val="16"/>
        </w:rPr>
        <w:t>–</w:t>
      </w:r>
      <w:r w:rsidRPr="006320FD">
        <w:rPr>
          <w:bCs/>
          <w:i/>
          <w:iCs/>
          <w:sz w:val="16"/>
          <w:szCs w:val="16"/>
        </w:rPr>
        <w:t>2000</w:t>
      </w:r>
      <w:r w:rsidRPr="006320FD">
        <w:rPr>
          <w:bCs/>
          <w:iCs/>
          <w:sz w:val="16"/>
          <w:szCs w:val="16"/>
        </w:rPr>
        <w:t>. Sheffield: Geographical Association.</w:t>
      </w:r>
    </w:p>
    <w:p w:rsidR="0015711E" w:rsidRPr="009407C8" w:rsidRDefault="0015711E" w:rsidP="009407C8">
      <w:pPr>
        <w:ind w:left="426" w:hanging="426"/>
        <w:rPr>
          <w:bCs/>
          <w:sz w:val="16"/>
          <w:szCs w:val="16"/>
          <w:lang w:val="en-GB"/>
        </w:rPr>
      </w:pPr>
      <w:r w:rsidRPr="00B717AE">
        <w:rPr>
          <w:bCs/>
          <w:sz w:val="16"/>
          <w:szCs w:val="16"/>
          <w:lang w:val="en-US"/>
        </w:rPr>
        <w:t xml:space="preserve">Redfield, D. L., &amp; Rousseau, E. W. (1981). </w:t>
      </w:r>
      <w:r w:rsidRPr="009407C8">
        <w:rPr>
          <w:bCs/>
          <w:sz w:val="16"/>
          <w:szCs w:val="16"/>
          <w:lang w:val="en-GB"/>
        </w:rPr>
        <w:t xml:space="preserve">A meta-analysis of experimental research on teacher questioning behavior. </w:t>
      </w:r>
      <w:r w:rsidRPr="009407C8">
        <w:rPr>
          <w:bCs/>
          <w:i/>
          <w:iCs/>
          <w:sz w:val="16"/>
          <w:szCs w:val="16"/>
          <w:lang w:val="en-GB"/>
        </w:rPr>
        <w:t>Review of Educational Research</w:t>
      </w:r>
      <w:r w:rsidRPr="009407C8">
        <w:rPr>
          <w:bCs/>
          <w:i/>
          <w:sz w:val="16"/>
          <w:szCs w:val="16"/>
          <w:lang w:val="en-GB"/>
        </w:rPr>
        <w:t>, 51</w:t>
      </w:r>
      <w:r w:rsidRPr="00966BE2">
        <w:rPr>
          <w:bCs/>
          <w:sz w:val="16"/>
          <w:szCs w:val="16"/>
          <w:lang w:val="en-GB"/>
        </w:rPr>
        <w:t>(2),</w:t>
      </w:r>
      <w:r w:rsidRPr="009407C8">
        <w:rPr>
          <w:bCs/>
          <w:sz w:val="16"/>
          <w:szCs w:val="16"/>
          <w:lang w:val="en-GB"/>
        </w:rPr>
        <w:t xml:space="preserve"> 237–245.</w:t>
      </w:r>
    </w:p>
    <w:p w:rsidR="0015711E" w:rsidRPr="00015FB5" w:rsidRDefault="0015711E" w:rsidP="00015FB5">
      <w:pPr>
        <w:ind w:left="426" w:hanging="426"/>
        <w:rPr>
          <w:sz w:val="16"/>
          <w:szCs w:val="16"/>
        </w:rPr>
      </w:pPr>
      <w:r w:rsidRPr="00015FB5">
        <w:rPr>
          <w:sz w:val="16"/>
          <w:szCs w:val="16"/>
        </w:rPr>
        <w:t xml:space="preserve">Reed, S. K., Ernst, G. W., &amp; Banerji, R. (1974). The role of analogy in transfer between similar problem states. </w:t>
      </w:r>
      <w:r w:rsidRPr="005C4A68">
        <w:rPr>
          <w:i/>
          <w:sz w:val="16"/>
          <w:szCs w:val="16"/>
        </w:rPr>
        <w:t>Cognitive Psychology, 6</w:t>
      </w:r>
      <w:r w:rsidRPr="00015FB5">
        <w:rPr>
          <w:sz w:val="16"/>
          <w:szCs w:val="16"/>
        </w:rPr>
        <w:t>(3), 436</w:t>
      </w:r>
      <w:r>
        <w:rPr>
          <w:sz w:val="16"/>
          <w:szCs w:val="16"/>
        </w:rPr>
        <w:t>–</w:t>
      </w:r>
      <w:r w:rsidRPr="00015FB5">
        <w:rPr>
          <w:sz w:val="16"/>
          <w:szCs w:val="16"/>
        </w:rPr>
        <w:t>450.</w:t>
      </w:r>
    </w:p>
    <w:p w:rsidR="0015711E" w:rsidRPr="00600D20" w:rsidRDefault="0015711E" w:rsidP="00600D20">
      <w:pPr>
        <w:ind w:left="426" w:hanging="426"/>
        <w:rPr>
          <w:bCs/>
          <w:sz w:val="16"/>
          <w:szCs w:val="16"/>
        </w:rPr>
      </w:pPr>
      <w:r w:rsidRPr="00600D20">
        <w:rPr>
          <w:bCs/>
          <w:sz w:val="16"/>
          <w:szCs w:val="16"/>
        </w:rPr>
        <w:t>Reeff, J. P. (Ed.)</w:t>
      </w:r>
      <w:r>
        <w:rPr>
          <w:bCs/>
          <w:sz w:val="16"/>
          <w:szCs w:val="16"/>
        </w:rPr>
        <w:t>. (1999).</w:t>
      </w:r>
      <w:r w:rsidRPr="00600D20">
        <w:rPr>
          <w:bCs/>
          <w:sz w:val="16"/>
          <w:szCs w:val="16"/>
        </w:rPr>
        <w:t xml:space="preserve"> </w:t>
      </w:r>
      <w:r w:rsidRPr="00F708AC">
        <w:rPr>
          <w:bCs/>
          <w:i/>
          <w:sz w:val="16"/>
          <w:szCs w:val="16"/>
        </w:rPr>
        <w:t>New assessment tools for cross-curricular competencies in the domain of problem solving.</w:t>
      </w:r>
      <w:r w:rsidRPr="00600D20">
        <w:rPr>
          <w:bCs/>
          <w:sz w:val="16"/>
          <w:szCs w:val="16"/>
        </w:rPr>
        <w:t xml:space="preserve"> </w:t>
      </w:r>
      <w:r>
        <w:rPr>
          <w:bCs/>
          <w:sz w:val="16"/>
          <w:szCs w:val="16"/>
        </w:rPr>
        <w:t xml:space="preserve">Dostupné z </w:t>
      </w:r>
      <w:r w:rsidRPr="00F636D4">
        <w:rPr>
          <w:bCs/>
          <w:sz w:val="16"/>
          <w:szCs w:val="16"/>
        </w:rPr>
        <w:t>http://www.ppsw.rug.nl/~peschar/TSE.pdf</w:t>
      </w:r>
      <w:r w:rsidRPr="00600D20">
        <w:rPr>
          <w:bCs/>
          <w:sz w:val="16"/>
          <w:szCs w:val="16"/>
        </w:rPr>
        <w:t xml:space="preserve"> </w:t>
      </w:r>
    </w:p>
    <w:p w:rsidR="0015711E" w:rsidRPr="007C0E29" w:rsidRDefault="0015711E" w:rsidP="007C0E29">
      <w:pPr>
        <w:ind w:left="426" w:hanging="426"/>
        <w:rPr>
          <w:sz w:val="16"/>
          <w:szCs w:val="16"/>
        </w:rPr>
      </w:pPr>
      <w:r w:rsidRPr="007C0E29">
        <w:rPr>
          <w:sz w:val="16"/>
          <w:szCs w:val="16"/>
        </w:rPr>
        <w:t xml:space="preserve">Reich, K. (2004). </w:t>
      </w:r>
      <w:r w:rsidRPr="007C0E29">
        <w:rPr>
          <w:i/>
          <w:iCs/>
          <w:sz w:val="16"/>
          <w:szCs w:val="16"/>
        </w:rPr>
        <w:t>Konstruktivismus – Vielfalt der Ansätze und Berührungspunkte zum Pragmatismus</w:t>
      </w:r>
      <w:r w:rsidRPr="007C0E29">
        <w:rPr>
          <w:sz w:val="16"/>
          <w:szCs w:val="16"/>
        </w:rPr>
        <w:t xml:space="preserve">. In L. A. Hickman, S. Neubert, &amp; K. Reich (Eds.), </w:t>
      </w:r>
      <w:r w:rsidRPr="007C0E29">
        <w:rPr>
          <w:i/>
          <w:sz w:val="16"/>
          <w:szCs w:val="16"/>
        </w:rPr>
        <w:t>John Dewey.</w:t>
      </w:r>
      <w:r w:rsidRPr="007C0E29">
        <w:rPr>
          <w:sz w:val="16"/>
          <w:szCs w:val="16"/>
        </w:rPr>
        <w:t xml:space="preserve"> </w:t>
      </w:r>
      <w:r w:rsidRPr="007C0E29">
        <w:rPr>
          <w:i/>
          <w:iCs/>
          <w:sz w:val="16"/>
          <w:szCs w:val="16"/>
        </w:rPr>
        <w:t xml:space="preserve">Zwischen Pragmatismus und Konstruktivismus </w:t>
      </w:r>
      <w:r w:rsidRPr="007C0E29">
        <w:rPr>
          <w:iCs/>
          <w:sz w:val="16"/>
          <w:szCs w:val="16"/>
        </w:rPr>
        <w:t xml:space="preserve">(s. 28–45). </w:t>
      </w:r>
      <w:r w:rsidRPr="007C0E29">
        <w:rPr>
          <w:sz w:val="16"/>
          <w:szCs w:val="16"/>
        </w:rPr>
        <w:t>Münster: Waxmann.</w:t>
      </w:r>
    </w:p>
    <w:p w:rsidR="0015711E" w:rsidRPr="006346E5" w:rsidRDefault="0015711E" w:rsidP="00387BD3">
      <w:pPr>
        <w:ind w:left="426" w:hanging="426"/>
        <w:rPr>
          <w:sz w:val="16"/>
          <w:szCs w:val="16"/>
        </w:rPr>
      </w:pPr>
      <w:r w:rsidRPr="006346E5">
        <w:rPr>
          <w:sz w:val="16"/>
          <w:szCs w:val="16"/>
        </w:rPr>
        <w:t xml:space="preserve">Reimann, P. (1998). Novizen- und Expertenwissen. In F. Klix &amp; H. Spada (Hrsg.). </w:t>
      </w:r>
      <w:r w:rsidRPr="006346E5">
        <w:rPr>
          <w:i/>
          <w:iCs/>
          <w:sz w:val="16"/>
          <w:szCs w:val="16"/>
        </w:rPr>
        <w:t>Enzyklopädie der Psychologie, Serie II</w:t>
      </w:r>
      <w:r w:rsidRPr="006346E5">
        <w:rPr>
          <w:i/>
          <w:sz w:val="16"/>
          <w:szCs w:val="16"/>
        </w:rPr>
        <w:t xml:space="preserve">, Band </w:t>
      </w:r>
      <w:r w:rsidRPr="006346E5">
        <w:rPr>
          <w:i/>
          <w:iCs/>
          <w:sz w:val="16"/>
          <w:szCs w:val="16"/>
        </w:rPr>
        <w:t xml:space="preserve">6 </w:t>
      </w:r>
      <w:r w:rsidRPr="006346E5">
        <w:rPr>
          <w:iCs/>
          <w:sz w:val="16"/>
          <w:szCs w:val="16"/>
        </w:rPr>
        <w:t>(</w:t>
      </w:r>
      <w:r>
        <w:rPr>
          <w:iCs/>
          <w:sz w:val="16"/>
          <w:szCs w:val="16"/>
        </w:rPr>
        <w:t xml:space="preserve">s. </w:t>
      </w:r>
      <w:r w:rsidRPr="006346E5">
        <w:rPr>
          <w:sz w:val="16"/>
          <w:szCs w:val="16"/>
        </w:rPr>
        <w:t>335–367). Göttingen: Hogrefe</w:t>
      </w:r>
      <w:r>
        <w:rPr>
          <w:sz w:val="16"/>
          <w:szCs w:val="16"/>
        </w:rPr>
        <w:t>.</w:t>
      </w:r>
    </w:p>
    <w:p w:rsidR="0015711E" w:rsidRPr="007C0E29" w:rsidRDefault="0015711E" w:rsidP="007C0E29">
      <w:pPr>
        <w:ind w:left="426" w:hanging="426"/>
        <w:rPr>
          <w:bCs/>
          <w:sz w:val="16"/>
          <w:szCs w:val="16"/>
        </w:rPr>
      </w:pPr>
      <w:r w:rsidRPr="007C0E29">
        <w:rPr>
          <w:bCs/>
          <w:sz w:val="16"/>
          <w:szCs w:val="16"/>
        </w:rPr>
        <w:t xml:space="preserve">Rempfler, A. (2009). Systemkomptenz: Forschungsstand und Forschungsfragen. </w:t>
      </w:r>
      <w:r w:rsidRPr="007C0E29">
        <w:rPr>
          <w:bCs/>
          <w:i/>
          <w:sz w:val="16"/>
          <w:szCs w:val="16"/>
        </w:rPr>
        <w:t>Geographie und ihre Didaktik, 37</w:t>
      </w:r>
      <w:r w:rsidRPr="007C0E29">
        <w:rPr>
          <w:bCs/>
          <w:sz w:val="16"/>
          <w:szCs w:val="16"/>
        </w:rPr>
        <w:t>(2), 58–79.</w:t>
      </w:r>
    </w:p>
    <w:p w:rsidR="0015711E" w:rsidRPr="007C0E29" w:rsidRDefault="0015711E" w:rsidP="007C0E29">
      <w:pPr>
        <w:ind w:left="426" w:hanging="426"/>
        <w:rPr>
          <w:b/>
          <w:bCs/>
          <w:sz w:val="16"/>
          <w:szCs w:val="16"/>
        </w:rPr>
      </w:pPr>
      <w:r w:rsidRPr="007C0E29">
        <w:rPr>
          <w:bCs/>
          <w:sz w:val="16"/>
          <w:szCs w:val="16"/>
        </w:rPr>
        <w:t>Rempfler, A.</w:t>
      </w:r>
      <w:r>
        <w:rPr>
          <w:bCs/>
          <w:sz w:val="16"/>
          <w:szCs w:val="16"/>
        </w:rPr>
        <w:t>,</w:t>
      </w:r>
      <w:r w:rsidRPr="007C0E29">
        <w:rPr>
          <w:bCs/>
          <w:sz w:val="16"/>
          <w:szCs w:val="16"/>
        </w:rPr>
        <w:t xml:space="preserve"> &amp; Uphues R. (2011). Systemkompetenz im Geographieunterricht. Die Entwicklung eines Kompetenzmodells. In C. Meyer, R. Henrÿ, &amp; G. Stöber (Eds.), </w:t>
      </w:r>
      <w:r w:rsidRPr="007C0E29">
        <w:rPr>
          <w:bCs/>
          <w:i/>
          <w:sz w:val="16"/>
          <w:szCs w:val="16"/>
        </w:rPr>
        <w:t>Geographische Bildung. Kompetenzen in didaktischer Forschung und Schulpraxis</w:t>
      </w:r>
      <w:r w:rsidRPr="007C0E29">
        <w:rPr>
          <w:bCs/>
          <w:sz w:val="16"/>
          <w:szCs w:val="16"/>
        </w:rPr>
        <w:t xml:space="preserve"> (s. 36–48). Braunschweig: Westermann.</w:t>
      </w:r>
    </w:p>
    <w:p w:rsidR="0015711E" w:rsidRPr="007C0E29" w:rsidRDefault="0015711E" w:rsidP="007C0E29">
      <w:pPr>
        <w:ind w:left="426" w:hanging="426"/>
        <w:rPr>
          <w:bCs/>
          <w:sz w:val="16"/>
          <w:szCs w:val="16"/>
        </w:rPr>
      </w:pPr>
      <w:r w:rsidRPr="007C0E29">
        <w:rPr>
          <w:bCs/>
          <w:sz w:val="16"/>
          <w:szCs w:val="16"/>
        </w:rPr>
        <w:t>Rempfler, A., &amp; Uphues, R. (2012). System competence in geography education development of competence models, diagnosing pupils’</w:t>
      </w:r>
      <w:r>
        <w:rPr>
          <w:bCs/>
          <w:sz w:val="16"/>
          <w:szCs w:val="16"/>
        </w:rPr>
        <w:t xml:space="preserve"> </w:t>
      </w:r>
      <w:r w:rsidRPr="007C0E29">
        <w:rPr>
          <w:bCs/>
          <w:sz w:val="16"/>
          <w:szCs w:val="16"/>
        </w:rPr>
        <w:t xml:space="preserve">achievement. </w:t>
      </w:r>
      <w:r w:rsidRPr="007C0E29">
        <w:rPr>
          <w:bCs/>
          <w:i/>
          <w:sz w:val="16"/>
          <w:szCs w:val="16"/>
        </w:rPr>
        <w:t>European Journal of Geography, 3</w:t>
      </w:r>
      <w:r w:rsidRPr="007C0E29">
        <w:rPr>
          <w:bCs/>
          <w:sz w:val="16"/>
          <w:szCs w:val="16"/>
        </w:rPr>
        <w:t xml:space="preserve">(1), 6–22. </w:t>
      </w:r>
    </w:p>
    <w:p w:rsidR="0015711E" w:rsidRPr="006346E5" w:rsidRDefault="0015711E" w:rsidP="006346E5">
      <w:pPr>
        <w:ind w:left="426" w:hanging="426"/>
        <w:rPr>
          <w:sz w:val="16"/>
          <w:szCs w:val="16"/>
        </w:rPr>
      </w:pPr>
      <w:r w:rsidRPr="006346E5">
        <w:rPr>
          <w:sz w:val="16"/>
          <w:szCs w:val="16"/>
        </w:rPr>
        <w:t xml:space="preserve">Rendl, M., &amp; Štech, S. (2012). Should learning (mathematics) at school aim at knowledge or at competences? </w:t>
      </w:r>
      <w:r w:rsidRPr="006346E5">
        <w:rPr>
          <w:i/>
          <w:iCs/>
          <w:sz w:val="16"/>
          <w:szCs w:val="16"/>
        </w:rPr>
        <w:t xml:space="preserve">Orbis </w:t>
      </w:r>
      <w:r>
        <w:rPr>
          <w:i/>
          <w:iCs/>
          <w:sz w:val="16"/>
          <w:szCs w:val="16"/>
        </w:rPr>
        <w:t>s</w:t>
      </w:r>
      <w:r w:rsidRPr="006346E5">
        <w:rPr>
          <w:i/>
          <w:iCs/>
          <w:sz w:val="16"/>
          <w:szCs w:val="16"/>
        </w:rPr>
        <w:t>cholae</w:t>
      </w:r>
      <w:r w:rsidRPr="006346E5">
        <w:rPr>
          <w:sz w:val="16"/>
          <w:szCs w:val="16"/>
        </w:rPr>
        <w:t xml:space="preserve">, </w:t>
      </w:r>
      <w:r w:rsidRPr="006346E5">
        <w:rPr>
          <w:i/>
          <w:iCs/>
          <w:sz w:val="16"/>
          <w:szCs w:val="16"/>
        </w:rPr>
        <w:t>6</w:t>
      </w:r>
      <w:r w:rsidRPr="006346E5">
        <w:rPr>
          <w:sz w:val="16"/>
          <w:szCs w:val="16"/>
        </w:rPr>
        <w:t>(2), 23</w:t>
      </w:r>
      <w:r>
        <w:rPr>
          <w:sz w:val="16"/>
          <w:szCs w:val="16"/>
        </w:rPr>
        <w:t>–</w:t>
      </w:r>
      <w:r w:rsidRPr="006346E5">
        <w:rPr>
          <w:sz w:val="16"/>
          <w:szCs w:val="16"/>
        </w:rPr>
        <w:t>40.</w:t>
      </w:r>
    </w:p>
    <w:p w:rsidR="0015711E" w:rsidRPr="00487AE3" w:rsidRDefault="0015711E" w:rsidP="00487AE3">
      <w:pPr>
        <w:ind w:left="426" w:hanging="426"/>
        <w:rPr>
          <w:bCs/>
          <w:iCs/>
          <w:sz w:val="16"/>
          <w:szCs w:val="16"/>
        </w:rPr>
      </w:pPr>
      <w:r w:rsidRPr="00487AE3">
        <w:rPr>
          <w:bCs/>
          <w:iCs/>
          <w:sz w:val="16"/>
          <w:szCs w:val="16"/>
        </w:rPr>
        <w:t xml:space="preserve">Rendl, M., &amp; Vondrová, N. (2014). Kritická místa v matematice u českých žáků na základě výsledků šetření TIMSS 2007. </w:t>
      </w:r>
      <w:r w:rsidRPr="00487AE3">
        <w:rPr>
          <w:bCs/>
          <w:i/>
          <w:iCs/>
          <w:sz w:val="16"/>
          <w:szCs w:val="16"/>
        </w:rPr>
        <w:t>Pedagogická orientace, 24</w:t>
      </w:r>
      <w:r w:rsidRPr="00487AE3">
        <w:rPr>
          <w:bCs/>
          <w:iCs/>
          <w:sz w:val="16"/>
          <w:szCs w:val="16"/>
        </w:rPr>
        <w:t xml:space="preserve">(1), 22–57. </w:t>
      </w:r>
    </w:p>
    <w:p w:rsidR="0015711E" w:rsidRPr="007C0E29" w:rsidRDefault="0015711E" w:rsidP="007C0E29">
      <w:pPr>
        <w:ind w:left="426" w:hanging="426"/>
        <w:rPr>
          <w:sz w:val="16"/>
          <w:szCs w:val="16"/>
        </w:rPr>
      </w:pPr>
      <w:r w:rsidRPr="007C0E29">
        <w:rPr>
          <w:sz w:val="16"/>
          <w:szCs w:val="16"/>
        </w:rPr>
        <w:t xml:space="preserve">Renkl, A. (1994). </w:t>
      </w:r>
      <w:r w:rsidRPr="007C0E29">
        <w:rPr>
          <w:i/>
          <w:sz w:val="16"/>
          <w:szCs w:val="16"/>
        </w:rPr>
        <w:t>Tr</w:t>
      </w:r>
      <w:r>
        <w:rPr>
          <w:i/>
          <w:sz w:val="16"/>
          <w:szCs w:val="16"/>
        </w:rPr>
        <w:t>äges Wissen: Die „unerklärliche</w:t>
      </w:r>
      <w:r w:rsidRPr="007C0E29">
        <w:rPr>
          <w:i/>
          <w:sz w:val="16"/>
          <w:szCs w:val="16"/>
        </w:rPr>
        <w:t>“</w:t>
      </w:r>
      <w:r>
        <w:rPr>
          <w:i/>
          <w:sz w:val="16"/>
          <w:szCs w:val="16"/>
        </w:rPr>
        <w:t xml:space="preserve"> </w:t>
      </w:r>
      <w:r w:rsidRPr="007C0E29">
        <w:rPr>
          <w:i/>
          <w:sz w:val="16"/>
          <w:szCs w:val="16"/>
        </w:rPr>
        <w:t>Kluft zwischen Wissen und Handeln</w:t>
      </w:r>
      <w:r>
        <w:rPr>
          <w:sz w:val="16"/>
          <w:szCs w:val="16"/>
        </w:rPr>
        <w:t xml:space="preserve">. </w:t>
      </w:r>
      <w:r w:rsidRPr="007C0E29">
        <w:rPr>
          <w:sz w:val="16"/>
          <w:szCs w:val="16"/>
        </w:rPr>
        <w:t>München: Ludwig-Maximilians-Universität.</w:t>
      </w:r>
    </w:p>
    <w:p w:rsidR="0015711E" w:rsidRPr="000574E2" w:rsidRDefault="0015711E" w:rsidP="000574E2">
      <w:pPr>
        <w:ind w:left="426" w:hanging="426"/>
        <w:rPr>
          <w:sz w:val="16"/>
          <w:szCs w:val="16"/>
        </w:rPr>
      </w:pPr>
      <w:r w:rsidRPr="000574E2">
        <w:rPr>
          <w:sz w:val="16"/>
          <w:szCs w:val="16"/>
        </w:rPr>
        <w:t xml:space="preserve">Reusser, K. (2001). Unterricht zwischen Wissensvermittlung und Lernen lernen. In C. Finkbeiner &amp; G. W. Schnaitmann (Eds.), </w:t>
      </w:r>
      <w:r w:rsidRPr="000574E2">
        <w:rPr>
          <w:i/>
          <w:sz w:val="16"/>
          <w:szCs w:val="16"/>
        </w:rPr>
        <w:t xml:space="preserve">Lehren und Lernen im Kontext empirischer Forschung und Fachdidaktik </w:t>
      </w:r>
      <w:r w:rsidRPr="000574E2">
        <w:rPr>
          <w:sz w:val="16"/>
          <w:szCs w:val="16"/>
        </w:rPr>
        <w:t>(s. 106–140)</w:t>
      </w:r>
      <w:r>
        <w:rPr>
          <w:sz w:val="16"/>
          <w:szCs w:val="16"/>
        </w:rPr>
        <w:t>. Donauwörth: Auer Verlag.</w:t>
      </w:r>
    </w:p>
    <w:p w:rsidR="0015711E" w:rsidRPr="00BF123C" w:rsidRDefault="0015711E" w:rsidP="00BF123C">
      <w:pPr>
        <w:ind w:left="426" w:hanging="426"/>
        <w:rPr>
          <w:bCs/>
          <w:sz w:val="16"/>
          <w:szCs w:val="16"/>
        </w:rPr>
      </w:pPr>
      <w:r w:rsidRPr="00BF123C">
        <w:rPr>
          <w:bCs/>
          <w:sz w:val="16"/>
          <w:szCs w:val="16"/>
        </w:rPr>
        <w:t xml:space="preserve">Reusser, K. (2005). Problemorientiertes Lernen – Tiefenstruktur, Gestaltungsformen, Wirkung. </w:t>
      </w:r>
      <w:r w:rsidRPr="00BF123C">
        <w:rPr>
          <w:bCs/>
          <w:i/>
          <w:sz w:val="16"/>
          <w:szCs w:val="16"/>
        </w:rPr>
        <w:t>Beiträge zur Lehrerbildung, 23</w:t>
      </w:r>
      <w:r w:rsidRPr="00BF123C">
        <w:rPr>
          <w:bCs/>
          <w:sz w:val="16"/>
          <w:szCs w:val="16"/>
        </w:rPr>
        <w:t>(2), 159–182.</w:t>
      </w:r>
    </w:p>
    <w:p w:rsidR="0015711E" w:rsidRPr="00AE1791" w:rsidRDefault="0015711E" w:rsidP="00AE1791">
      <w:pPr>
        <w:ind w:left="426" w:hanging="426"/>
        <w:rPr>
          <w:bCs/>
          <w:iCs/>
          <w:sz w:val="16"/>
          <w:szCs w:val="16"/>
        </w:rPr>
      </w:pPr>
      <w:r w:rsidRPr="00AE1791">
        <w:rPr>
          <w:bCs/>
          <w:iCs/>
          <w:sz w:val="16"/>
          <w:szCs w:val="16"/>
        </w:rPr>
        <w:t xml:space="preserve">Reusser, K., Pauli, C., &amp; Waldis, M. (Eds.). (2010). </w:t>
      </w:r>
      <w:r w:rsidRPr="00AE1791">
        <w:rPr>
          <w:bCs/>
          <w:i/>
          <w:iCs/>
          <w:sz w:val="16"/>
          <w:szCs w:val="16"/>
        </w:rPr>
        <w:t>Unterrichtsgestaltung und Unterrichtsqualität. Ergebnisse einer internationalen und schweizerischen Videostudie zum Mathematikunterricht</w:t>
      </w:r>
      <w:r w:rsidRPr="00AE1791">
        <w:rPr>
          <w:bCs/>
          <w:iCs/>
          <w:sz w:val="16"/>
          <w:szCs w:val="16"/>
        </w:rPr>
        <w:t xml:space="preserve">. Münster: Waxmann. </w:t>
      </w:r>
    </w:p>
    <w:p w:rsidR="0015711E" w:rsidRDefault="0015711E" w:rsidP="00CF0784">
      <w:pPr>
        <w:ind w:left="426" w:hanging="426"/>
        <w:rPr>
          <w:sz w:val="16"/>
          <w:szCs w:val="16"/>
        </w:rPr>
      </w:pPr>
      <w:r w:rsidRPr="00CF0784">
        <w:rPr>
          <w:sz w:val="16"/>
          <w:szCs w:val="16"/>
        </w:rPr>
        <w:t xml:space="preserve">Roberts, M. (2003). </w:t>
      </w:r>
      <w:r w:rsidRPr="00CF0784">
        <w:rPr>
          <w:i/>
          <w:sz w:val="16"/>
          <w:szCs w:val="16"/>
        </w:rPr>
        <w:t xml:space="preserve">Learning </w:t>
      </w:r>
      <w:r>
        <w:rPr>
          <w:i/>
          <w:sz w:val="16"/>
          <w:szCs w:val="16"/>
        </w:rPr>
        <w:t>t</w:t>
      </w:r>
      <w:r w:rsidRPr="00CF0784">
        <w:rPr>
          <w:i/>
          <w:sz w:val="16"/>
          <w:szCs w:val="16"/>
        </w:rPr>
        <w:t xml:space="preserve">hrough </w:t>
      </w:r>
      <w:r>
        <w:rPr>
          <w:i/>
          <w:sz w:val="16"/>
          <w:szCs w:val="16"/>
        </w:rPr>
        <w:t>e</w:t>
      </w:r>
      <w:r w:rsidRPr="00CF0784">
        <w:rPr>
          <w:i/>
          <w:sz w:val="16"/>
          <w:szCs w:val="16"/>
        </w:rPr>
        <w:t>nquiry: Making sense of geography in the key stage 3 classroom.</w:t>
      </w:r>
      <w:r w:rsidRPr="00CF0784">
        <w:rPr>
          <w:sz w:val="16"/>
          <w:szCs w:val="16"/>
        </w:rPr>
        <w:t xml:space="preserve"> Sheffield: Geographical Association.</w:t>
      </w:r>
    </w:p>
    <w:p w:rsidR="0015711E" w:rsidRDefault="0015711E" w:rsidP="00F06BE8">
      <w:pPr>
        <w:ind w:left="426" w:hanging="426"/>
        <w:rPr>
          <w:sz w:val="16"/>
          <w:szCs w:val="16"/>
        </w:rPr>
      </w:pPr>
      <w:r>
        <w:rPr>
          <w:sz w:val="16"/>
          <w:szCs w:val="16"/>
        </w:rPr>
        <w:t xml:space="preserve">Roberts, M. (2013). </w:t>
      </w:r>
      <w:r w:rsidRPr="004E4956">
        <w:rPr>
          <w:i/>
          <w:sz w:val="16"/>
          <w:szCs w:val="16"/>
        </w:rPr>
        <w:t>Geography through enquiry: Approaches to teaching and learning in the secondary school</w:t>
      </w:r>
      <w:r>
        <w:rPr>
          <w:sz w:val="16"/>
          <w:szCs w:val="16"/>
        </w:rPr>
        <w:t xml:space="preserve">. Sheffield: Geographical Association. </w:t>
      </w:r>
    </w:p>
    <w:p w:rsidR="0015711E" w:rsidRPr="007C0E29" w:rsidRDefault="0015711E" w:rsidP="007C0E29">
      <w:pPr>
        <w:ind w:left="426" w:hanging="426"/>
        <w:rPr>
          <w:bCs/>
          <w:sz w:val="16"/>
          <w:szCs w:val="16"/>
        </w:rPr>
      </w:pPr>
      <w:r w:rsidRPr="007C0E29">
        <w:rPr>
          <w:bCs/>
          <w:sz w:val="16"/>
          <w:szCs w:val="16"/>
        </w:rPr>
        <w:t xml:space="preserve">Rollett, W. (2008). </w:t>
      </w:r>
      <w:r w:rsidRPr="007C0E29">
        <w:rPr>
          <w:bCs/>
          <w:i/>
          <w:sz w:val="16"/>
          <w:szCs w:val="16"/>
        </w:rPr>
        <w:t>Strategieeinsatz, erzeugte Information und Informationsnutzung bei der Exploration und Steuerung komplexer dynamischer Systeme.</w:t>
      </w:r>
      <w:r w:rsidRPr="007C0E29">
        <w:rPr>
          <w:bCs/>
          <w:sz w:val="16"/>
          <w:szCs w:val="16"/>
        </w:rPr>
        <w:t xml:space="preserve"> Münster: LIT Verlag.</w:t>
      </w:r>
    </w:p>
    <w:p w:rsidR="0015711E" w:rsidRPr="00492BA1" w:rsidRDefault="0015711E" w:rsidP="00492BA1">
      <w:pPr>
        <w:ind w:left="426" w:hanging="426"/>
        <w:rPr>
          <w:bCs/>
          <w:iCs/>
          <w:sz w:val="16"/>
          <w:szCs w:val="16"/>
        </w:rPr>
      </w:pPr>
      <w:r w:rsidRPr="00492BA1">
        <w:rPr>
          <w:bCs/>
          <w:iCs/>
          <w:sz w:val="16"/>
          <w:szCs w:val="16"/>
        </w:rPr>
        <w:t xml:space="preserve">Ross, B. (1997). Towards a framework for problem-based curricula. In D. Boud &amp; G. Feletti (Eds.), </w:t>
      </w:r>
      <w:r w:rsidRPr="00FA3441">
        <w:rPr>
          <w:bCs/>
          <w:i/>
          <w:iCs/>
          <w:sz w:val="16"/>
          <w:szCs w:val="16"/>
        </w:rPr>
        <w:t>The challenge of problem-based learning</w:t>
      </w:r>
      <w:r w:rsidRPr="00492BA1">
        <w:rPr>
          <w:bCs/>
          <w:iCs/>
          <w:sz w:val="16"/>
          <w:szCs w:val="16"/>
        </w:rPr>
        <w:t xml:space="preserve"> (s. 28</w:t>
      </w:r>
      <w:r>
        <w:rPr>
          <w:bCs/>
          <w:iCs/>
          <w:sz w:val="16"/>
          <w:szCs w:val="16"/>
        </w:rPr>
        <w:t>–</w:t>
      </w:r>
      <w:r w:rsidRPr="00492BA1">
        <w:rPr>
          <w:bCs/>
          <w:iCs/>
          <w:sz w:val="16"/>
          <w:szCs w:val="16"/>
        </w:rPr>
        <w:t>35). London: Kogan Page.</w:t>
      </w:r>
    </w:p>
    <w:p w:rsidR="0015711E" w:rsidRPr="003B3D46" w:rsidRDefault="0015711E" w:rsidP="003B3D46">
      <w:pPr>
        <w:ind w:left="426" w:hanging="426"/>
        <w:rPr>
          <w:bCs/>
          <w:sz w:val="16"/>
          <w:szCs w:val="16"/>
          <w:lang w:val="en-US"/>
        </w:rPr>
      </w:pPr>
      <w:r w:rsidRPr="003B3D46">
        <w:rPr>
          <w:bCs/>
          <w:sz w:val="16"/>
          <w:szCs w:val="16"/>
        </w:rPr>
        <w:t xml:space="preserve">Roth, K. J., Druker, S. L., Garnier, H. E., Lemmens, M., Chen, C., Kanawaka, T., </w:t>
      </w:r>
      <w:r>
        <w:rPr>
          <w:bCs/>
          <w:sz w:val="16"/>
          <w:szCs w:val="16"/>
        </w:rPr>
        <w:t>…</w:t>
      </w:r>
      <w:r w:rsidRPr="003B3D46">
        <w:rPr>
          <w:bCs/>
          <w:sz w:val="16"/>
          <w:szCs w:val="16"/>
        </w:rPr>
        <w:t xml:space="preserve"> &amp; Gallimore, R. (2006). </w:t>
      </w:r>
      <w:r w:rsidRPr="003B3D46">
        <w:rPr>
          <w:bCs/>
          <w:i/>
          <w:sz w:val="16"/>
          <w:szCs w:val="16"/>
          <w:lang w:val="en-US"/>
        </w:rPr>
        <w:t xml:space="preserve">Teaching science in five countries: Results from the TIMSS 1999 Video Study. Statistical analysis report. </w:t>
      </w:r>
      <w:r>
        <w:rPr>
          <w:bCs/>
          <w:sz w:val="16"/>
          <w:szCs w:val="16"/>
          <w:lang w:val="en-US"/>
        </w:rPr>
        <w:t>Washington</w:t>
      </w:r>
      <w:r w:rsidRPr="003B3D46">
        <w:rPr>
          <w:bCs/>
          <w:sz w:val="16"/>
          <w:szCs w:val="16"/>
          <w:lang w:val="en-US"/>
        </w:rPr>
        <w:t>: U.S. Department of Education.</w:t>
      </w:r>
    </w:p>
    <w:p w:rsidR="0015711E" w:rsidRPr="0015711E" w:rsidRDefault="0015711E" w:rsidP="0015711E">
      <w:pPr>
        <w:ind w:left="426" w:hanging="426"/>
        <w:rPr>
          <w:sz w:val="16"/>
          <w:szCs w:val="16"/>
          <w:lang w:val="en-US"/>
        </w:rPr>
      </w:pPr>
      <w:r w:rsidRPr="0015711E">
        <w:rPr>
          <w:sz w:val="16"/>
          <w:szCs w:val="16"/>
          <w:lang w:val="en-US"/>
        </w:rPr>
        <w:t xml:space="preserve">Roth, K., &amp; Garnier, H. (2006). What science teaching looks like: An international perspective. </w:t>
      </w:r>
      <w:r w:rsidRPr="0015711E">
        <w:rPr>
          <w:i/>
          <w:sz w:val="16"/>
          <w:szCs w:val="16"/>
          <w:lang w:val="en-US"/>
        </w:rPr>
        <w:t>Educational Leadership, 64</w:t>
      </w:r>
      <w:r w:rsidRPr="0015711E">
        <w:rPr>
          <w:sz w:val="16"/>
          <w:szCs w:val="16"/>
          <w:lang w:val="en-US"/>
        </w:rPr>
        <w:t>(4), 16</w:t>
      </w:r>
      <w:r>
        <w:rPr>
          <w:bCs/>
          <w:sz w:val="16"/>
          <w:szCs w:val="16"/>
        </w:rPr>
        <w:t>–</w:t>
      </w:r>
      <w:r w:rsidRPr="0015711E">
        <w:rPr>
          <w:sz w:val="16"/>
          <w:szCs w:val="16"/>
          <w:lang w:val="en-US"/>
        </w:rPr>
        <w:t>23.</w:t>
      </w:r>
    </w:p>
    <w:p w:rsidR="0015711E" w:rsidRPr="007C0E29" w:rsidRDefault="0015711E" w:rsidP="007C0E29">
      <w:pPr>
        <w:ind w:left="426" w:hanging="426"/>
        <w:rPr>
          <w:sz w:val="16"/>
          <w:szCs w:val="16"/>
        </w:rPr>
      </w:pPr>
      <w:r w:rsidRPr="007C0E29">
        <w:rPr>
          <w:sz w:val="16"/>
          <w:szCs w:val="16"/>
        </w:rPr>
        <w:t xml:space="preserve">Rubinštejn, S. L. (1960). </w:t>
      </w:r>
      <w:r w:rsidRPr="007C0E29">
        <w:rPr>
          <w:i/>
          <w:iCs/>
          <w:sz w:val="16"/>
          <w:szCs w:val="16"/>
        </w:rPr>
        <w:t>O myslení a spôsoboch jeho výskumu</w:t>
      </w:r>
      <w:r w:rsidRPr="007C0E29">
        <w:rPr>
          <w:sz w:val="16"/>
          <w:szCs w:val="16"/>
        </w:rPr>
        <w:t>. Bratislava: SPN.</w:t>
      </w:r>
    </w:p>
    <w:p w:rsidR="0015711E" w:rsidRPr="004A72F5" w:rsidRDefault="0015711E" w:rsidP="00C16F6D">
      <w:pPr>
        <w:ind w:left="426" w:hanging="426"/>
        <w:rPr>
          <w:sz w:val="16"/>
          <w:szCs w:val="16"/>
        </w:rPr>
      </w:pPr>
      <w:r w:rsidRPr="004A72F5">
        <w:rPr>
          <w:sz w:val="16"/>
          <w:szCs w:val="16"/>
        </w:rPr>
        <w:t xml:space="preserve">Rychen, D. S. (2003). Key competencies: Meeting important challenges in life. In D. S. Rychen &amp; L. H. Salganik (Eds.), </w:t>
      </w:r>
      <w:r w:rsidRPr="004A72F5">
        <w:rPr>
          <w:i/>
          <w:sz w:val="16"/>
          <w:szCs w:val="16"/>
        </w:rPr>
        <w:t>Key competencies for a successful life and well-functioning society</w:t>
      </w:r>
      <w:r w:rsidRPr="004A72F5">
        <w:rPr>
          <w:sz w:val="16"/>
          <w:szCs w:val="16"/>
        </w:rPr>
        <w:t xml:space="preserve"> (s. 63–107)</w:t>
      </w:r>
      <w:r w:rsidRPr="004A72F5">
        <w:rPr>
          <w:i/>
          <w:sz w:val="16"/>
          <w:szCs w:val="16"/>
        </w:rPr>
        <w:t>.</w:t>
      </w:r>
      <w:r w:rsidRPr="004A72F5">
        <w:rPr>
          <w:sz w:val="16"/>
          <w:szCs w:val="16"/>
        </w:rPr>
        <w:t xml:space="preserve"> Göttingen: Hogrefe. </w:t>
      </w:r>
    </w:p>
    <w:p w:rsidR="0015711E" w:rsidRDefault="0015711E" w:rsidP="00C16F6D">
      <w:pPr>
        <w:ind w:left="426" w:hanging="426"/>
        <w:rPr>
          <w:sz w:val="16"/>
          <w:szCs w:val="16"/>
        </w:rPr>
      </w:pPr>
      <w:r w:rsidRPr="00C16F6D">
        <w:rPr>
          <w:sz w:val="16"/>
          <w:szCs w:val="16"/>
        </w:rPr>
        <w:t xml:space="preserve">Rychen, D. S., </w:t>
      </w:r>
      <w:r>
        <w:rPr>
          <w:sz w:val="16"/>
          <w:szCs w:val="16"/>
        </w:rPr>
        <w:t xml:space="preserve">&amp; </w:t>
      </w:r>
      <w:r w:rsidRPr="00C16F6D">
        <w:rPr>
          <w:sz w:val="16"/>
          <w:szCs w:val="16"/>
        </w:rPr>
        <w:t xml:space="preserve">Salganik, L. H. </w:t>
      </w:r>
      <w:r>
        <w:rPr>
          <w:sz w:val="16"/>
          <w:szCs w:val="16"/>
        </w:rPr>
        <w:t xml:space="preserve">(2003b). </w:t>
      </w:r>
      <w:r w:rsidRPr="00C16F6D">
        <w:rPr>
          <w:sz w:val="16"/>
          <w:szCs w:val="16"/>
        </w:rPr>
        <w:t xml:space="preserve">A Holistic model of competence. In D. S. Rychen &amp; L. H. Salganik (Eds.), </w:t>
      </w:r>
      <w:r w:rsidRPr="00C16F6D">
        <w:rPr>
          <w:i/>
          <w:sz w:val="16"/>
          <w:szCs w:val="16"/>
        </w:rPr>
        <w:t>Key competencies for a successful life and well-functioning society</w:t>
      </w:r>
      <w:r w:rsidRPr="00C16F6D">
        <w:rPr>
          <w:sz w:val="16"/>
          <w:szCs w:val="16"/>
        </w:rPr>
        <w:t xml:space="preserve"> (s. 41–62)</w:t>
      </w:r>
      <w:r w:rsidRPr="00C16F6D">
        <w:rPr>
          <w:i/>
          <w:sz w:val="16"/>
          <w:szCs w:val="16"/>
        </w:rPr>
        <w:t>.</w:t>
      </w:r>
      <w:r w:rsidRPr="00C16F6D">
        <w:rPr>
          <w:sz w:val="16"/>
          <w:szCs w:val="16"/>
        </w:rPr>
        <w:t xml:space="preserve"> Göttingen: Hogrefe.</w:t>
      </w:r>
    </w:p>
    <w:p w:rsidR="0015711E" w:rsidRPr="00B717AE" w:rsidRDefault="0015711E" w:rsidP="00FB7088">
      <w:pPr>
        <w:ind w:left="426" w:hanging="426"/>
        <w:rPr>
          <w:bCs/>
          <w:sz w:val="16"/>
          <w:szCs w:val="16"/>
          <w:lang w:val="en-GB"/>
        </w:rPr>
      </w:pPr>
      <w:r w:rsidRPr="00B717AE">
        <w:rPr>
          <w:bCs/>
          <w:sz w:val="16"/>
          <w:szCs w:val="16"/>
          <w:lang w:val="de-DE"/>
        </w:rPr>
        <w:t xml:space="preserve">Rychen, D. S., &amp; Salganik, L. H. (Eds.). (2003a). </w:t>
      </w:r>
      <w:r w:rsidRPr="00FB7088">
        <w:rPr>
          <w:bCs/>
          <w:i/>
          <w:iCs/>
          <w:sz w:val="16"/>
          <w:szCs w:val="16"/>
          <w:lang w:val="en-GB"/>
        </w:rPr>
        <w:t>Key competencies for a successful life and well functioning society.</w:t>
      </w:r>
      <w:r w:rsidRPr="00FB7088">
        <w:rPr>
          <w:bCs/>
          <w:sz w:val="16"/>
          <w:szCs w:val="16"/>
          <w:lang w:val="en-GB"/>
        </w:rPr>
        <w:t xml:space="preserve"> </w:t>
      </w:r>
      <w:r w:rsidRPr="00B717AE">
        <w:rPr>
          <w:bCs/>
          <w:sz w:val="16"/>
          <w:szCs w:val="16"/>
          <w:lang w:val="en-GB"/>
        </w:rPr>
        <w:t>Göttingen: Hogrefe.</w:t>
      </w:r>
    </w:p>
    <w:p w:rsidR="0015711E" w:rsidRPr="001D60CE" w:rsidRDefault="0015711E" w:rsidP="001D60CE">
      <w:pPr>
        <w:ind w:left="426" w:hanging="426"/>
        <w:rPr>
          <w:bCs/>
          <w:sz w:val="16"/>
          <w:szCs w:val="16"/>
        </w:rPr>
      </w:pPr>
      <w:r w:rsidRPr="001D60CE">
        <w:rPr>
          <w:bCs/>
          <w:sz w:val="16"/>
          <w:szCs w:val="16"/>
        </w:rPr>
        <w:t xml:space="preserve">Řezníčková, D. (2003). Geografické dovednosti, jejich specifikace a kategorizace. </w:t>
      </w:r>
      <w:r w:rsidRPr="001D60CE">
        <w:rPr>
          <w:bCs/>
          <w:i/>
          <w:iCs/>
          <w:sz w:val="16"/>
          <w:szCs w:val="16"/>
        </w:rPr>
        <w:t>Geografie</w:t>
      </w:r>
      <w:r w:rsidRPr="001D60CE">
        <w:rPr>
          <w:bCs/>
          <w:sz w:val="16"/>
          <w:szCs w:val="16"/>
        </w:rPr>
        <w:t xml:space="preserve">, </w:t>
      </w:r>
      <w:r w:rsidRPr="001D60CE">
        <w:rPr>
          <w:bCs/>
          <w:i/>
          <w:iCs/>
          <w:sz w:val="16"/>
          <w:szCs w:val="16"/>
        </w:rPr>
        <w:t>108</w:t>
      </w:r>
      <w:r>
        <w:rPr>
          <w:bCs/>
          <w:iCs/>
          <w:sz w:val="16"/>
          <w:szCs w:val="16"/>
        </w:rPr>
        <w:t>(2)</w:t>
      </w:r>
      <w:r w:rsidRPr="001D60CE">
        <w:rPr>
          <w:bCs/>
          <w:sz w:val="16"/>
          <w:szCs w:val="16"/>
        </w:rPr>
        <w:t>, 146–163.</w:t>
      </w:r>
    </w:p>
    <w:p w:rsidR="0015711E" w:rsidRPr="001D60CE" w:rsidRDefault="0015711E" w:rsidP="001D60CE">
      <w:pPr>
        <w:ind w:left="426" w:hanging="426"/>
        <w:rPr>
          <w:bCs/>
          <w:sz w:val="16"/>
          <w:szCs w:val="16"/>
        </w:rPr>
      </w:pPr>
      <w:r w:rsidRPr="001D60CE">
        <w:rPr>
          <w:bCs/>
          <w:sz w:val="16"/>
          <w:szCs w:val="16"/>
        </w:rPr>
        <w:t xml:space="preserve">Řezníčková, D., Cídlová, H., Čížková, V., Čtrnáctová, H., Čudová, R., Hanus, M., ... &amp; Trnová, E. (2013). </w:t>
      </w:r>
      <w:r w:rsidRPr="00B578FC">
        <w:rPr>
          <w:bCs/>
          <w:i/>
          <w:sz w:val="16"/>
          <w:szCs w:val="16"/>
        </w:rPr>
        <w:t xml:space="preserve">Dovednosti žáků ve výuce biologie, geografie a chemie. </w:t>
      </w:r>
      <w:r w:rsidRPr="001D60CE">
        <w:rPr>
          <w:bCs/>
          <w:sz w:val="16"/>
          <w:szCs w:val="16"/>
        </w:rPr>
        <w:t>Praha: Nakladatelství P3K.</w:t>
      </w:r>
    </w:p>
    <w:p w:rsidR="0015711E" w:rsidRPr="00C16F6D" w:rsidRDefault="0015711E" w:rsidP="00F079F4">
      <w:pPr>
        <w:ind w:left="426" w:hanging="426"/>
        <w:rPr>
          <w:sz w:val="16"/>
          <w:szCs w:val="16"/>
        </w:rPr>
      </w:pPr>
      <w:r w:rsidRPr="0050764E">
        <w:rPr>
          <w:sz w:val="16"/>
          <w:szCs w:val="16"/>
        </w:rPr>
        <w:t>Salganik, L. H.</w:t>
      </w:r>
      <w:r>
        <w:rPr>
          <w:sz w:val="16"/>
          <w:szCs w:val="16"/>
        </w:rPr>
        <w:t xml:space="preserve"> (2001).</w:t>
      </w:r>
      <w:r w:rsidRPr="0050764E">
        <w:rPr>
          <w:sz w:val="16"/>
          <w:szCs w:val="16"/>
        </w:rPr>
        <w:t xml:space="preserve"> Competencies for </w:t>
      </w:r>
      <w:r>
        <w:rPr>
          <w:sz w:val="16"/>
          <w:szCs w:val="16"/>
        </w:rPr>
        <w:t>l</w:t>
      </w:r>
      <w:r w:rsidRPr="0050764E">
        <w:rPr>
          <w:sz w:val="16"/>
          <w:szCs w:val="16"/>
        </w:rPr>
        <w:t xml:space="preserve">ife: A </w:t>
      </w:r>
      <w:r>
        <w:rPr>
          <w:sz w:val="16"/>
          <w:szCs w:val="16"/>
        </w:rPr>
        <w:t>c</w:t>
      </w:r>
      <w:r w:rsidRPr="0050764E">
        <w:rPr>
          <w:sz w:val="16"/>
          <w:szCs w:val="16"/>
        </w:rPr>
        <w:t xml:space="preserve">onceptual and </w:t>
      </w:r>
      <w:r>
        <w:rPr>
          <w:sz w:val="16"/>
          <w:szCs w:val="16"/>
        </w:rPr>
        <w:t>e</w:t>
      </w:r>
      <w:r w:rsidRPr="0050764E">
        <w:rPr>
          <w:sz w:val="16"/>
          <w:szCs w:val="16"/>
        </w:rPr>
        <w:t xml:space="preserve">mpirical </w:t>
      </w:r>
      <w:r>
        <w:rPr>
          <w:sz w:val="16"/>
          <w:szCs w:val="16"/>
        </w:rPr>
        <w:t>c</w:t>
      </w:r>
      <w:r w:rsidRPr="0050764E">
        <w:rPr>
          <w:sz w:val="16"/>
          <w:szCs w:val="16"/>
        </w:rPr>
        <w:t xml:space="preserve">hallenge. In </w:t>
      </w:r>
      <w:r w:rsidRPr="00C16F6D">
        <w:rPr>
          <w:sz w:val="16"/>
          <w:szCs w:val="16"/>
        </w:rPr>
        <w:t>D. S. Rychen &amp; L. H. Salganik (Eds.),</w:t>
      </w:r>
      <w:r>
        <w:rPr>
          <w:sz w:val="16"/>
          <w:szCs w:val="16"/>
        </w:rPr>
        <w:t xml:space="preserve"> </w:t>
      </w:r>
      <w:r w:rsidRPr="0050764E">
        <w:rPr>
          <w:i/>
          <w:sz w:val="16"/>
          <w:szCs w:val="16"/>
        </w:rPr>
        <w:t>Defining and selecting key competencies</w:t>
      </w:r>
      <w:r w:rsidRPr="0050764E">
        <w:rPr>
          <w:sz w:val="16"/>
          <w:szCs w:val="16"/>
        </w:rPr>
        <w:t xml:space="preserve"> (s. 17–32). Seattle: Hogrefe &amp; Huber.</w:t>
      </w:r>
    </w:p>
    <w:p w:rsidR="0015711E" w:rsidRPr="00634EF5" w:rsidRDefault="0015711E" w:rsidP="00523E0F">
      <w:pPr>
        <w:ind w:left="426" w:hanging="426"/>
        <w:rPr>
          <w:sz w:val="16"/>
          <w:szCs w:val="16"/>
        </w:rPr>
      </w:pPr>
      <w:r w:rsidRPr="00634EF5">
        <w:rPr>
          <w:sz w:val="16"/>
          <w:szCs w:val="16"/>
        </w:rPr>
        <w:t xml:space="preserve">Salkind, N. J. (2012). </w:t>
      </w:r>
      <w:r w:rsidRPr="00740B8F">
        <w:rPr>
          <w:i/>
          <w:sz w:val="16"/>
          <w:szCs w:val="16"/>
        </w:rPr>
        <w:t>Statistics for people who (think</w:t>
      </w:r>
      <w:r>
        <w:rPr>
          <w:i/>
          <w:sz w:val="16"/>
          <w:szCs w:val="16"/>
        </w:rPr>
        <w:t xml:space="preserve"> they) hate statistics. </w:t>
      </w:r>
      <w:r w:rsidRPr="00634EF5">
        <w:rPr>
          <w:sz w:val="16"/>
          <w:szCs w:val="16"/>
        </w:rPr>
        <w:t>Thousand Oaks: Sage.</w:t>
      </w:r>
    </w:p>
    <w:p w:rsidR="0015711E" w:rsidRDefault="0015711E" w:rsidP="00E41598">
      <w:pPr>
        <w:ind w:left="426" w:hanging="426"/>
        <w:rPr>
          <w:sz w:val="16"/>
          <w:szCs w:val="16"/>
        </w:rPr>
      </w:pPr>
      <w:r w:rsidRPr="00E41598">
        <w:rPr>
          <w:sz w:val="16"/>
          <w:szCs w:val="16"/>
        </w:rPr>
        <w:t xml:space="preserve">Samson, G. E., Strykowski, B., Weinstein, T., &amp; Walberg, H. J. (1987). The effects of teacher questioning levels on student achievement: A quantitative synthesis. </w:t>
      </w:r>
      <w:r w:rsidRPr="00402176">
        <w:rPr>
          <w:i/>
          <w:sz w:val="16"/>
          <w:szCs w:val="16"/>
        </w:rPr>
        <w:t>The Journal of Educational Research,</w:t>
      </w:r>
      <w:r w:rsidRPr="00A81584">
        <w:rPr>
          <w:i/>
          <w:sz w:val="16"/>
          <w:szCs w:val="16"/>
        </w:rPr>
        <w:t xml:space="preserve"> 80</w:t>
      </w:r>
      <w:r>
        <w:rPr>
          <w:sz w:val="16"/>
          <w:szCs w:val="16"/>
        </w:rPr>
        <w:t xml:space="preserve">(5), </w:t>
      </w:r>
      <w:r w:rsidRPr="00E41598">
        <w:rPr>
          <w:sz w:val="16"/>
          <w:szCs w:val="16"/>
        </w:rPr>
        <w:t>290</w:t>
      </w:r>
      <w:r>
        <w:rPr>
          <w:sz w:val="16"/>
          <w:szCs w:val="16"/>
        </w:rPr>
        <w:t>–</w:t>
      </w:r>
      <w:r w:rsidRPr="00E41598">
        <w:rPr>
          <w:sz w:val="16"/>
          <w:szCs w:val="16"/>
        </w:rPr>
        <w:t>295.</w:t>
      </w:r>
    </w:p>
    <w:p w:rsidR="0015711E" w:rsidRPr="00BF123C" w:rsidRDefault="0015711E" w:rsidP="00BF123C">
      <w:pPr>
        <w:ind w:left="426" w:hanging="426"/>
        <w:rPr>
          <w:bCs/>
          <w:sz w:val="16"/>
          <w:szCs w:val="16"/>
        </w:rPr>
      </w:pPr>
      <w:r w:rsidRPr="00BF123C">
        <w:rPr>
          <w:bCs/>
          <w:sz w:val="16"/>
          <w:szCs w:val="16"/>
        </w:rPr>
        <w:t xml:space="preserve">Seel, N. M. (1981). </w:t>
      </w:r>
      <w:r w:rsidRPr="00BF123C">
        <w:rPr>
          <w:bCs/>
          <w:i/>
          <w:sz w:val="16"/>
          <w:szCs w:val="16"/>
        </w:rPr>
        <w:t>Lernaufgaben und Lernprozesse.</w:t>
      </w:r>
      <w:r w:rsidRPr="00BF123C">
        <w:rPr>
          <w:bCs/>
          <w:sz w:val="16"/>
          <w:szCs w:val="16"/>
        </w:rPr>
        <w:t xml:space="preserve"> Stuttgart: Kohlhammer.</w:t>
      </w:r>
    </w:p>
    <w:p w:rsidR="0015711E" w:rsidRPr="005434D2" w:rsidRDefault="0015711E" w:rsidP="005434D2">
      <w:pPr>
        <w:ind w:left="426" w:hanging="426"/>
        <w:rPr>
          <w:bCs/>
          <w:sz w:val="16"/>
          <w:szCs w:val="16"/>
        </w:rPr>
      </w:pPr>
      <w:r w:rsidRPr="005434D2">
        <w:rPr>
          <w:bCs/>
          <w:sz w:val="16"/>
          <w:szCs w:val="16"/>
        </w:rPr>
        <w:t>Segers, M., Dochy, F., &amp; De Corte, E. (1999). Assessment practices and students knowledge profiles in a problem-based curriculum. </w:t>
      </w:r>
      <w:r w:rsidRPr="005434D2">
        <w:rPr>
          <w:bCs/>
          <w:i/>
          <w:iCs/>
          <w:sz w:val="16"/>
          <w:szCs w:val="16"/>
        </w:rPr>
        <w:t>Learning Environments Research</w:t>
      </w:r>
      <w:r w:rsidRPr="005434D2">
        <w:rPr>
          <w:bCs/>
          <w:sz w:val="16"/>
          <w:szCs w:val="16"/>
        </w:rPr>
        <w:t>, </w:t>
      </w:r>
      <w:r w:rsidRPr="005434D2">
        <w:rPr>
          <w:bCs/>
          <w:i/>
          <w:iCs/>
          <w:sz w:val="16"/>
          <w:szCs w:val="16"/>
        </w:rPr>
        <w:t>2</w:t>
      </w:r>
      <w:r w:rsidRPr="005434D2">
        <w:rPr>
          <w:bCs/>
          <w:sz w:val="16"/>
          <w:szCs w:val="16"/>
        </w:rPr>
        <w:t>(2), 191</w:t>
      </w:r>
      <w:r>
        <w:rPr>
          <w:bCs/>
          <w:sz w:val="16"/>
          <w:szCs w:val="16"/>
        </w:rPr>
        <w:t>–</w:t>
      </w:r>
      <w:r w:rsidRPr="005434D2">
        <w:rPr>
          <w:bCs/>
          <w:sz w:val="16"/>
          <w:szCs w:val="16"/>
        </w:rPr>
        <w:t>213.</w:t>
      </w:r>
    </w:p>
    <w:p w:rsidR="0015711E" w:rsidRPr="007C0E29" w:rsidRDefault="0015711E" w:rsidP="007C0E29">
      <w:pPr>
        <w:ind w:left="426" w:hanging="426"/>
        <w:rPr>
          <w:bCs/>
          <w:sz w:val="16"/>
          <w:szCs w:val="16"/>
        </w:rPr>
      </w:pPr>
      <w:r w:rsidRPr="007C0E29">
        <w:rPr>
          <w:bCs/>
          <w:sz w:val="16"/>
          <w:szCs w:val="16"/>
        </w:rPr>
        <w:t xml:space="preserve">Sell, R., &amp; Schimweg, R. (2002). </w:t>
      </w:r>
      <w:r w:rsidRPr="007C0E29">
        <w:rPr>
          <w:bCs/>
          <w:i/>
          <w:sz w:val="16"/>
          <w:szCs w:val="16"/>
        </w:rPr>
        <w:t>Probleme lösen: In komplexen Zusammenhängen denken.</w:t>
      </w:r>
      <w:r w:rsidRPr="007C0E29">
        <w:rPr>
          <w:bCs/>
          <w:sz w:val="16"/>
          <w:szCs w:val="16"/>
        </w:rPr>
        <w:t xml:space="preserve"> Berlin: Springer.</w:t>
      </w:r>
    </w:p>
    <w:p w:rsidR="0015711E" w:rsidRPr="00F63225" w:rsidRDefault="0015711E" w:rsidP="00FB56A8">
      <w:pPr>
        <w:ind w:left="426" w:hanging="426"/>
        <w:rPr>
          <w:bCs/>
          <w:iCs/>
          <w:sz w:val="16"/>
          <w:szCs w:val="16"/>
        </w:rPr>
      </w:pPr>
      <w:r w:rsidRPr="00F63225">
        <w:rPr>
          <w:bCs/>
          <w:iCs/>
          <w:sz w:val="16"/>
          <w:szCs w:val="16"/>
        </w:rPr>
        <w:t xml:space="preserve">Semerádová, S., &amp; Hošpesová, A. (2013). Didaktické situace v předškolním období. </w:t>
      </w:r>
      <w:r w:rsidRPr="00892EB8">
        <w:rPr>
          <w:bCs/>
          <w:i/>
          <w:iCs/>
          <w:sz w:val="16"/>
          <w:szCs w:val="16"/>
        </w:rPr>
        <w:t>Magister</w:t>
      </w:r>
      <w:r w:rsidR="00892EB8">
        <w:rPr>
          <w:bCs/>
          <w:i/>
          <w:iCs/>
          <w:sz w:val="16"/>
          <w:szCs w:val="16"/>
        </w:rPr>
        <w:t>,</w:t>
      </w:r>
      <w:r w:rsidRPr="00892EB8">
        <w:rPr>
          <w:bCs/>
          <w:i/>
          <w:iCs/>
          <w:sz w:val="16"/>
          <w:szCs w:val="16"/>
        </w:rPr>
        <w:t xml:space="preserve"> 1</w:t>
      </w:r>
      <w:r w:rsidRPr="00F63225">
        <w:rPr>
          <w:bCs/>
          <w:iCs/>
          <w:sz w:val="16"/>
          <w:szCs w:val="16"/>
        </w:rPr>
        <w:t>(1), 33–49.</w:t>
      </w:r>
    </w:p>
    <w:p w:rsidR="0015711E" w:rsidRPr="00FB7088" w:rsidRDefault="0015711E" w:rsidP="00FB7088">
      <w:pPr>
        <w:ind w:left="426" w:hanging="426"/>
        <w:rPr>
          <w:bCs/>
          <w:sz w:val="16"/>
          <w:szCs w:val="16"/>
        </w:rPr>
      </w:pPr>
      <w:r w:rsidRPr="00FB7088">
        <w:rPr>
          <w:bCs/>
          <w:sz w:val="16"/>
          <w:szCs w:val="16"/>
        </w:rPr>
        <w:t xml:space="preserve">Schecker, H., &amp; Parchmann, I. (2006). Modellierung naturwissenschaftlicher Kompetenz. </w:t>
      </w:r>
      <w:r w:rsidRPr="00FB7088">
        <w:rPr>
          <w:bCs/>
          <w:i/>
          <w:sz w:val="16"/>
          <w:szCs w:val="16"/>
        </w:rPr>
        <w:t xml:space="preserve">Zeitschrift für Didaktik der Naturwissenschaften, </w:t>
      </w:r>
      <w:r w:rsidRPr="00F63225">
        <w:rPr>
          <w:bCs/>
          <w:i/>
          <w:sz w:val="16"/>
          <w:szCs w:val="16"/>
          <w:highlight w:val="green"/>
        </w:rPr>
        <w:t>12</w:t>
      </w:r>
      <w:r w:rsidRPr="00F63225">
        <w:rPr>
          <w:bCs/>
          <w:sz w:val="16"/>
          <w:szCs w:val="16"/>
          <w:highlight w:val="green"/>
        </w:rPr>
        <w:t>,</w:t>
      </w:r>
      <w:r w:rsidRPr="00FB7088">
        <w:rPr>
          <w:bCs/>
          <w:sz w:val="16"/>
          <w:szCs w:val="16"/>
        </w:rPr>
        <w:t xml:space="preserve"> 45–65.</w:t>
      </w:r>
    </w:p>
    <w:p w:rsidR="0015711E" w:rsidRPr="000006F1" w:rsidRDefault="0015711E" w:rsidP="000006F1">
      <w:pPr>
        <w:ind w:left="426" w:hanging="426"/>
        <w:rPr>
          <w:sz w:val="16"/>
          <w:szCs w:val="16"/>
        </w:rPr>
      </w:pPr>
      <w:r w:rsidRPr="000006F1">
        <w:rPr>
          <w:sz w:val="16"/>
          <w:szCs w:val="16"/>
        </w:rPr>
        <w:t>Schmidt, H. G. (1983). Problem</w:t>
      </w:r>
      <w:r w:rsidRPr="000006F1">
        <w:rPr>
          <w:rFonts w:ascii="Cambria Math" w:hAnsi="Cambria Math" w:cs="Cambria Math"/>
          <w:sz w:val="16"/>
          <w:szCs w:val="16"/>
        </w:rPr>
        <w:t>‐</w:t>
      </w:r>
      <w:r w:rsidRPr="000006F1">
        <w:rPr>
          <w:sz w:val="16"/>
          <w:szCs w:val="16"/>
        </w:rPr>
        <w:t>based learning: Rationale and description</w:t>
      </w:r>
      <w:r w:rsidRPr="000006F1">
        <w:rPr>
          <w:i/>
          <w:sz w:val="16"/>
          <w:szCs w:val="16"/>
        </w:rPr>
        <w:t>. Medical Education, 17</w:t>
      </w:r>
      <w:r w:rsidRPr="000006F1">
        <w:rPr>
          <w:sz w:val="16"/>
          <w:szCs w:val="16"/>
        </w:rPr>
        <w:t>(1), 11</w:t>
      </w:r>
      <w:r>
        <w:rPr>
          <w:sz w:val="16"/>
          <w:szCs w:val="16"/>
        </w:rPr>
        <w:t>–</w:t>
      </w:r>
      <w:r w:rsidRPr="000006F1">
        <w:rPr>
          <w:sz w:val="16"/>
          <w:szCs w:val="16"/>
        </w:rPr>
        <w:t>16.</w:t>
      </w:r>
    </w:p>
    <w:p w:rsidR="0015711E" w:rsidRPr="00402C6A" w:rsidRDefault="0015711E" w:rsidP="00402C6A">
      <w:pPr>
        <w:ind w:left="426" w:hanging="426"/>
        <w:rPr>
          <w:bCs/>
          <w:iCs/>
          <w:sz w:val="16"/>
          <w:szCs w:val="16"/>
        </w:rPr>
      </w:pPr>
      <w:r w:rsidRPr="00402C6A">
        <w:rPr>
          <w:bCs/>
          <w:iCs/>
          <w:sz w:val="16"/>
          <w:szCs w:val="16"/>
        </w:rPr>
        <w:t xml:space="preserve">Schmidt, W. H., McKnight, C. C., Valverde, G. A., Houang, R. T., </w:t>
      </w:r>
      <w:r>
        <w:rPr>
          <w:bCs/>
          <w:iCs/>
          <w:sz w:val="16"/>
          <w:szCs w:val="16"/>
        </w:rPr>
        <w:t xml:space="preserve">&amp; </w:t>
      </w:r>
      <w:r w:rsidRPr="00402C6A">
        <w:rPr>
          <w:bCs/>
          <w:iCs/>
          <w:sz w:val="16"/>
          <w:szCs w:val="16"/>
        </w:rPr>
        <w:t xml:space="preserve">Wiley, D. E. (2002). </w:t>
      </w:r>
      <w:r w:rsidRPr="00B544D7">
        <w:rPr>
          <w:bCs/>
          <w:i/>
          <w:iCs/>
          <w:sz w:val="16"/>
          <w:szCs w:val="16"/>
        </w:rPr>
        <w:t xml:space="preserve">Many visions, many aims: A cross-national investigation of curricular intentions in school mathematics. </w:t>
      </w:r>
      <w:r w:rsidRPr="00402C6A">
        <w:rPr>
          <w:bCs/>
          <w:iCs/>
          <w:sz w:val="16"/>
          <w:szCs w:val="16"/>
        </w:rPr>
        <w:t>Dordrecht: Kluwer.</w:t>
      </w:r>
    </w:p>
    <w:p w:rsidR="0015711E" w:rsidRPr="007C0E29" w:rsidRDefault="0015711E" w:rsidP="007C0E29">
      <w:pPr>
        <w:ind w:left="426" w:hanging="426"/>
        <w:rPr>
          <w:bCs/>
          <w:sz w:val="16"/>
          <w:szCs w:val="16"/>
        </w:rPr>
      </w:pPr>
      <w:r w:rsidRPr="007C0E29">
        <w:rPr>
          <w:bCs/>
          <w:sz w:val="16"/>
          <w:szCs w:val="16"/>
        </w:rPr>
        <w:t xml:space="preserve">Schreiber, N. (2012). </w:t>
      </w:r>
      <w:r w:rsidRPr="007C0E29">
        <w:rPr>
          <w:bCs/>
          <w:i/>
          <w:sz w:val="16"/>
          <w:szCs w:val="16"/>
        </w:rPr>
        <w:t>Diagnostik experimenteller Kompetenz: Validierung technologiegestützter Testverfahren im Rahmen eines Kompetenzstrukturmodells</w:t>
      </w:r>
      <w:r w:rsidRPr="007C0E29">
        <w:rPr>
          <w:bCs/>
          <w:sz w:val="16"/>
          <w:szCs w:val="16"/>
        </w:rPr>
        <w:t>. Berlin: Logos Verlag.</w:t>
      </w:r>
    </w:p>
    <w:p w:rsidR="0015711E" w:rsidRPr="007C0E29" w:rsidRDefault="0015711E" w:rsidP="007C0E29">
      <w:pPr>
        <w:ind w:left="426" w:hanging="426"/>
        <w:rPr>
          <w:sz w:val="16"/>
          <w:szCs w:val="16"/>
        </w:rPr>
      </w:pPr>
      <w:r w:rsidRPr="007C0E29">
        <w:rPr>
          <w:sz w:val="16"/>
          <w:szCs w:val="16"/>
        </w:rPr>
        <w:t xml:space="preserve">Schubert, V. (1999). (Ed). </w:t>
      </w:r>
      <w:r w:rsidRPr="007C0E29">
        <w:rPr>
          <w:i/>
          <w:sz w:val="16"/>
          <w:szCs w:val="16"/>
        </w:rPr>
        <w:t>Lernkultur. Das Beispiel Japan.</w:t>
      </w:r>
      <w:r w:rsidRPr="007C0E29">
        <w:rPr>
          <w:sz w:val="16"/>
          <w:szCs w:val="16"/>
        </w:rPr>
        <w:t xml:space="preserve"> Weinheim: Deutscher Studienverlag.</w:t>
      </w:r>
    </w:p>
    <w:p w:rsidR="0015711E" w:rsidRPr="007C0E29" w:rsidRDefault="0015711E" w:rsidP="007C0E29">
      <w:pPr>
        <w:ind w:left="426" w:hanging="426"/>
        <w:rPr>
          <w:sz w:val="16"/>
          <w:szCs w:val="16"/>
        </w:rPr>
      </w:pPr>
      <w:r w:rsidRPr="007C0E29">
        <w:rPr>
          <w:sz w:val="16"/>
          <w:szCs w:val="16"/>
        </w:rPr>
        <w:t>Schubert, W. H. (2010). Journeys of expansion and synopsis: Tensions in books that shaped Curriculum Inquiry, 1968</w:t>
      </w:r>
      <w:r w:rsidRPr="007C0E29">
        <w:rPr>
          <w:sz w:val="16"/>
          <w:szCs w:val="16"/>
        </w:rPr>
        <w:softHyphen/>
      </w:r>
      <w:r w:rsidRPr="007C0E29">
        <w:rPr>
          <w:sz w:val="16"/>
          <w:szCs w:val="16"/>
        </w:rPr>
        <w:softHyphen/>
      </w:r>
      <w:r w:rsidRPr="007C0E29">
        <w:rPr>
          <w:sz w:val="16"/>
          <w:szCs w:val="16"/>
        </w:rPr>
        <w:softHyphen/>
      </w:r>
      <w:r w:rsidRPr="007C0E29">
        <w:rPr>
          <w:sz w:val="16"/>
          <w:szCs w:val="16"/>
        </w:rPr>
        <w:softHyphen/>
        <w:t xml:space="preserve">–Present. </w:t>
      </w:r>
      <w:r w:rsidRPr="007C0E29">
        <w:rPr>
          <w:i/>
          <w:sz w:val="16"/>
          <w:szCs w:val="16"/>
        </w:rPr>
        <w:t>Curriculum Inquiry, 40</w:t>
      </w:r>
      <w:r w:rsidRPr="007C0E29">
        <w:rPr>
          <w:sz w:val="16"/>
          <w:szCs w:val="16"/>
        </w:rPr>
        <w:t>(1), 17–94.</w:t>
      </w:r>
    </w:p>
    <w:p w:rsidR="0015711E" w:rsidRPr="00C1088A" w:rsidRDefault="0015711E" w:rsidP="00C12029">
      <w:pPr>
        <w:ind w:left="426" w:hanging="426"/>
        <w:rPr>
          <w:sz w:val="16"/>
          <w:szCs w:val="16"/>
        </w:rPr>
      </w:pPr>
      <w:r w:rsidRPr="00A32765">
        <w:rPr>
          <w:sz w:val="16"/>
          <w:szCs w:val="16"/>
        </w:rPr>
        <w:t xml:space="preserve">Sikorová, Z. (2010). </w:t>
      </w:r>
      <w:r w:rsidRPr="00A32765">
        <w:rPr>
          <w:i/>
          <w:sz w:val="16"/>
          <w:szCs w:val="16"/>
        </w:rPr>
        <w:t xml:space="preserve">Učitel a učebnice: užívání učebnic na 2. stupni základních škol. </w:t>
      </w:r>
      <w:r w:rsidRPr="00A32765">
        <w:rPr>
          <w:sz w:val="16"/>
          <w:szCs w:val="16"/>
        </w:rPr>
        <w:t>Ostrava: Pedagogická fakulta OU.</w:t>
      </w:r>
    </w:p>
    <w:p w:rsidR="0015711E" w:rsidRPr="007C0E29" w:rsidRDefault="0015711E" w:rsidP="007C0E29">
      <w:pPr>
        <w:ind w:left="426" w:hanging="426"/>
        <w:rPr>
          <w:sz w:val="16"/>
          <w:szCs w:val="16"/>
        </w:rPr>
      </w:pPr>
      <w:r w:rsidRPr="007C0E29">
        <w:rPr>
          <w:sz w:val="16"/>
          <w:szCs w:val="16"/>
        </w:rPr>
        <w:t xml:space="preserve">Sikorová, Z. (2011). The role of textbooks in lower secondary schools in the Czech Republic. </w:t>
      </w:r>
      <w:r w:rsidRPr="007C0E29">
        <w:rPr>
          <w:i/>
          <w:iCs/>
          <w:sz w:val="16"/>
          <w:szCs w:val="16"/>
        </w:rPr>
        <w:t>IARTEM e-Journal</w:t>
      </w:r>
      <w:r w:rsidRPr="007C0E29">
        <w:rPr>
          <w:sz w:val="16"/>
          <w:szCs w:val="16"/>
        </w:rPr>
        <w:t xml:space="preserve">, </w:t>
      </w:r>
      <w:r w:rsidRPr="007C0E29">
        <w:rPr>
          <w:i/>
          <w:iCs/>
          <w:sz w:val="16"/>
          <w:szCs w:val="16"/>
        </w:rPr>
        <w:t>4</w:t>
      </w:r>
      <w:r w:rsidRPr="007C0E29">
        <w:rPr>
          <w:sz w:val="16"/>
          <w:szCs w:val="16"/>
        </w:rPr>
        <w:t>(2), 1–22.</w:t>
      </w:r>
    </w:p>
    <w:p w:rsidR="0015711E" w:rsidRPr="00992F3B" w:rsidRDefault="0015711E" w:rsidP="00992F3B">
      <w:pPr>
        <w:ind w:left="426" w:hanging="426"/>
        <w:rPr>
          <w:sz w:val="16"/>
          <w:szCs w:val="16"/>
        </w:rPr>
      </w:pPr>
      <w:r w:rsidRPr="00992F3B">
        <w:rPr>
          <w:sz w:val="16"/>
          <w:szCs w:val="16"/>
        </w:rPr>
        <w:t xml:space="preserve">Simon, H. A. (1973). The structure of ill-structured problem. </w:t>
      </w:r>
      <w:r w:rsidRPr="00992F3B">
        <w:rPr>
          <w:i/>
          <w:sz w:val="16"/>
          <w:szCs w:val="16"/>
        </w:rPr>
        <w:t>Artificial Intellingence, 4</w:t>
      </w:r>
      <w:r w:rsidRPr="00992F3B">
        <w:rPr>
          <w:sz w:val="16"/>
          <w:szCs w:val="16"/>
        </w:rPr>
        <w:t>(3–4), 181–201.</w:t>
      </w:r>
    </w:p>
    <w:p w:rsidR="0015711E" w:rsidRPr="006346E5" w:rsidRDefault="0015711E" w:rsidP="006346E5">
      <w:pPr>
        <w:ind w:left="426" w:hanging="426"/>
        <w:rPr>
          <w:sz w:val="16"/>
          <w:szCs w:val="16"/>
        </w:rPr>
      </w:pPr>
      <w:r w:rsidRPr="006346E5">
        <w:rPr>
          <w:sz w:val="16"/>
          <w:szCs w:val="16"/>
        </w:rPr>
        <w:t>Simons, P. R. J. (1999). Transfer of learning: Paradoxes for learners.</w:t>
      </w:r>
      <w:r>
        <w:rPr>
          <w:sz w:val="16"/>
          <w:szCs w:val="16"/>
        </w:rPr>
        <w:t xml:space="preserve"> </w:t>
      </w:r>
      <w:r w:rsidRPr="006346E5">
        <w:rPr>
          <w:i/>
          <w:iCs/>
          <w:sz w:val="16"/>
          <w:szCs w:val="16"/>
        </w:rPr>
        <w:t>International Journal of Educational Research</w:t>
      </w:r>
      <w:r w:rsidRPr="006346E5">
        <w:rPr>
          <w:sz w:val="16"/>
          <w:szCs w:val="16"/>
        </w:rPr>
        <w:t>, </w:t>
      </w:r>
      <w:r w:rsidRPr="006346E5">
        <w:rPr>
          <w:i/>
          <w:iCs/>
          <w:sz w:val="16"/>
          <w:szCs w:val="16"/>
        </w:rPr>
        <w:t>31</w:t>
      </w:r>
      <w:r w:rsidRPr="006346E5">
        <w:rPr>
          <w:sz w:val="16"/>
          <w:szCs w:val="16"/>
        </w:rPr>
        <w:t>(7), 577–589.</w:t>
      </w:r>
    </w:p>
    <w:p w:rsidR="0015711E" w:rsidRDefault="0015711E" w:rsidP="00C12029">
      <w:pPr>
        <w:ind w:left="426" w:hanging="426"/>
        <w:rPr>
          <w:sz w:val="16"/>
          <w:szCs w:val="16"/>
        </w:rPr>
      </w:pPr>
      <w:r w:rsidRPr="006A3967">
        <w:rPr>
          <w:sz w:val="16"/>
          <w:szCs w:val="16"/>
        </w:rPr>
        <w:t xml:space="preserve">Skalková (2007). </w:t>
      </w:r>
      <w:r w:rsidRPr="006A3967">
        <w:rPr>
          <w:i/>
          <w:sz w:val="16"/>
          <w:szCs w:val="16"/>
        </w:rPr>
        <w:t>Obecná didaktika.</w:t>
      </w:r>
      <w:r w:rsidRPr="006A3967">
        <w:rPr>
          <w:sz w:val="16"/>
          <w:szCs w:val="16"/>
        </w:rPr>
        <w:t xml:space="preserve"> Praha: Grada.</w:t>
      </w:r>
    </w:p>
    <w:p w:rsidR="0015711E" w:rsidRPr="007C0E29" w:rsidRDefault="0015711E" w:rsidP="007C0E29">
      <w:pPr>
        <w:ind w:left="426" w:hanging="426"/>
        <w:rPr>
          <w:bCs/>
          <w:sz w:val="16"/>
          <w:szCs w:val="16"/>
        </w:rPr>
      </w:pPr>
      <w:r w:rsidRPr="007C0E29">
        <w:rPr>
          <w:bCs/>
          <w:sz w:val="16"/>
          <w:szCs w:val="16"/>
        </w:rPr>
        <w:t xml:space="preserve">Skinner, B. F. (1938/1991). </w:t>
      </w:r>
      <w:r w:rsidRPr="007C0E29">
        <w:rPr>
          <w:bCs/>
          <w:i/>
          <w:sz w:val="16"/>
          <w:szCs w:val="16"/>
        </w:rPr>
        <w:t>The behavior of organisms: An experimental analysis.</w:t>
      </w:r>
      <w:r w:rsidRPr="007C0E29">
        <w:rPr>
          <w:bCs/>
          <w:sz w:val="16"/>
          <w:szCs w:val="16"/>
        </w:rPr>
        <w:t xml:space="preserve"> Acton: Copley. </w:t>
      </w:r>
    </w:p>
    <w:p w:rsidR="0015711E" w:rsidRPr="007C0E29" w:rsidRDefault="0015711E" w:rsidP="007C0E29">
      <w:pPr>
        <w:ind w:left="426" w:hanging="426"/>
        <w:rPr>
          <w:bCs/>
          <w:sz w:val="16"/>
          <w:szCs w:val="16"/>
        </w:rPr>
      </w:pPr>
      <w:r w:rsidRPr="007C0E29">
        <w:rPr>
          <w:bCs/>
          <w:sz w:val="16"/>
          <w:szCs w:val="16"/>
        </w:rPr>
        <w:t xml:space="preserve">Skinner, B. F. (1953). </w:t>
      </w:r>
      <w:r w:rsidRPr="007C0E29">
        <w:rPr>
          <w:bCs/>
          <w:i/>
          <w:iCs/>
          <w:sz w:val="16"/>
          <w:szCs w:val="16"/>
        </w:rPr>
        <w:t>Science and human behavior</w:t>
      </w:r>
      <w:r w:rsidRPr="007C0E29">
        <w:rPr>
          <w:bCs/>
          <w:sz w:val="16"/>
          <w:szCs w:val="16"/>
        </w:rPr>
        <w:t>. New York: Simon and Schuster.</w:t>
      </w:r>
    </w:p>
    <w:p w:rsidR="0015711E" w:rsidRPr="005A4315" w:rsidRDefault="0015711E" w:rsidP="005A4315">
      <w:pPr>
        <w:ind w:left="426" w:hanging="426"/>
        <w:rPr>
          <w:bCs/>
          <w:iCs/>
          <w:sz w:val="16"/>
          <w:szCs w:val="16"/>
        </w:rPr>
      </w:pPr>
      <w:r w:rsidRPr="005A4315">
        <w:rPr>
          <w:bCs/>
          <w:iCs/>
          <w:sz w:val="16"/>
          <w:szCs w:val="16"/>
        </w:rPr>
        <w:t xml:space="preserve">Slavík, J. (1995). Pojem situace ve školní praxi. In J. Budiš &amp; V. Jůva (Eds.), </w:t>
      </w:r>
      <w:r w:rsidRPr="005A4315">
        <w:rPr>
          <w:bCs/>
          <w:i/>
          <w:iCs/>
          <w:sz w:val="16"/>
          <w:szCs w:val="16"/>
        </w:rPr>
        <w:t xml:space="preserve">Učitel – vyučování – situace </w:t>
      </w:r>
      <w:r w:rsidRPr="005A4315">
        <w:rPr>
          <w:bCs/>
          <w:iCs/>
          <w:sz w:val="16"/>
          <w:szCs w:val="16"/>
        </w:rPr>
        <w:t>(s. 46–52). Brno: Paido.</w:t>
      </w:r>
    </w:p>
    <w:p w:rsidR="0015711E" w:rsidRDefault="0015711E" w:rsidP="00F079F4">
      <w:pPr>
        <w:ind w:left="426" w:hanging="426"/>
        <w:rPr>
          <w:sz w:val="16"/>
          <w:szCs w:val="16"/>
        </w:rPr>
      </w:pPr>
      <w:r w:rsidRPr="00F079F4">
        <w:rPr>
          <w:sz w:val="16"/>
          <w:szCs w:val="16"/>
        </w:rPr>
        <w:t>Slavík, J., &amp; Janík, T. (2005). Významová struktura faktu v</w:t>
      </w:r>
      <w:r w:rsidR="00BE2CAC">
        <w:rPr>
          <w:sz w:val="16"/>
          <w:szCs w:val="16"/>
        </w:rPr>
        <w:t xml:space="preserve"> </w:t>
      </w:r>
      <w:r w:rsidRPr="00F079F4">
        <w:rPr>
          <w:sz w:val="16"/>
          <w:szCs w:val="16"/>
        </w:rPr>
        <w:t xml:space="preserve">oborových didaktikách. </w:t>
      </w:r>
      <w:r w:rsidRPr="00F079F4">
        <w:rPr>
          <w:i/>
          <w:iCs/>
          <w:sz w:val="16"/>
          <w:szCs w:val="16"/>
        </w:rPr>
        <w:t>Pedagogika</w:t>
      </w:r>
      <w:r w:rsidRPr="00F079F4">
        <w:rPr>
          <w:sz w:val="16"/>
          <w:szCs w:val="16"/>
        </w:rPr>
        <w:t xml:space="preserve">, </w:t>
      </w:r>
      <w:r w:rsidRPr="00F079F4">
        <w:rPr>
          <w:i/>
          <w:sz w:val="16"/>
          <w:szCs w:val="16"/>
        </w:rPr>
        <w:t>55</w:t>
      </w:r>
      <w:r w:rsidRPr="00F079F4">
        <w:rPr>
          <w:sz w:val="16"/>
          <w:szCs w:val="16"/>
        </w:rPr>
        <w:t>(4), 336–354.</w:t>
      </w:r>
    </w:p>
    <w:p w:rsidR="0015711E" w:rsidRPr="007C0E29" w:rsidRDefault="0015711E" w:rsidP="007C0E29">
      <w:pPr>
        <w:autoSpaceDE w:val="0"/>
        <w:autoSpaceDN w:val="0"/>
        <w:adjustRightInd w:val="0"/>
        <w:ind w:left="426" w:hanging="426"/>
        <w:rPr>
          <w:sz w:val="16"/>
          <w:szCs w:val="16"/>
        </w:rPr>
      </w:pPr>
      <w:r w:rsidRPr="007C0E29">
        <w:rPr>
          <w:sz w:val="16"/>
          <w:szCs w:val="16"/>
        </w:rPr>
        <w:t xml:space="preserve">Slavík, J., &amp; Janík, T. (2012). Kvalita výuky: obsahově zaměřený přístup ke studiu procesů vyučování a učení. </w:t>
      </w:r>
      <w:r w:rsidRPr="007C0E29">
        <w:rPr>
          <w:i/>
          <w:iCs/>
          <w:sz w:val="16"/>
          <w:szCs w:val="16"/>
        </w:rPr>
        <w:t>Pedagogika, 62</w:t>
      </w:r>
      <w:r w:rsidRPr="007C0E29">
        <w:rPr>
          <w:sz w:val="16"/>
          <w:szCs w:val="16"/>
        </w:rPr>
        <w:t>(3), 262–287.</w:t>
      </w:r>
    </w:p>
    <w:p w:rsidR="0015711E" w:rsidRPr="00BF123C" w:rsidRDefault="0015711E" w:rsidP="00BF123C">
      <w:pPr>
        <w:ind w:left="426" w:hanging="426"/>
        <w:rPr>
          <w:bCs/>
          <w:sz w:val="16"/>
          <w:szCs w:val="16"/>
        </w:rPr>
      </w:pPr>
      <w:r w:rsidRPr="00BF123C">
        <w:rPr>
          <w:bCs/>
          <w:sz w:val="16"/>
          <w:szCs w:val="16"/>
        </w:rPr>
        <w:t>Slavík, J., Dytrtová, K.,</w:t>
      </w:r>
      <w:r>
        <w:rPr>
          <w:bCs/>
          <w:sz w:val="16"/>
          <w:szCs w:val="16"/>
        </w:rPr>
        <w:t xml:space="preserve"> &amp;</w:t>
      </w:r>
      <w:r w:rsidRPr="00BF123C">
        <w:rPr>
          <w:bCs/>
          <w:sz w:val="16"/>
          <w:szCs w:val="16"/>
        </w:rPr>
        <w:t xml:space="preserve"> Fulková, M. (2010). Konceptová analýza tvořivých úloh jako nástroj učitelské reflexe. </w:t>
      </w:r>
      <w:r w:rsidRPr="00BF123C">
        <w:rPr>
          <w:bCs/>
          <w:i/>
          <w:sz w:val="16"/>
          <w:szCs w:val="16"/>
        </w:rPr>
        <w:t>Pedagogika, 60</w:t>
      </w:r>
      <w:r>
        <w:rPr>
          <w:bCs/>
          <w:sz w:val="16"/>
          <w:szCs w:val="16"/>
        </w:rPr>
        <w:t>(</w:t>
      </w:r>
      <w:r w:rsidRPr="00BF123C">
        <w:rPr>
          <w:bCs/>
          <w:sz w:val="16"/>
          <w:szCs w:val="16"/>
        </w:rPr>
        <w:t>3–4</w:t>
      </w:r>
      <w:r>
        <w:rPr>
          <w:bCs/>
          <w:sz w:val="16"/>
          <w:szCs w:val="16"/>
        </w:rPr>
        <w:t xml:space="preserve">), </w:t>
      </w:r>
      <w:r w:rsidRPr="00B717AE">
        <w:rPr>
          <w:bCs/>
          <w:sz w:val="16"/>
          <w:szCs w:val="16"/>
        </w:rPr>
        <w:t>223–241</w:t>
      </w:r>
      <w:r w:rsidRPr="00BF123C">
        <w:rPr>
          <w:bCs/>
          <w:sz w:val="16"/>
          <w:szCs w:val="16"/>
        </w:rPr>
        <w:t>.</w:t>
      </w:r>
    </w:p>
    <w:p w:rsidR="0015711E" w:rsidRPr="00A32765" w:rsidRDefault="0015711E" w:rsidP="00A32765">
      <w:pPr>
        <w:ind w:left="426" w:hanging="426"/>
        <w:rPr>
          <w:sz w:val="16"/>
          <w:szCs w:val="16"/>
        </w:rPr>
      </w:pPr>
      <w:r w:rsidRPr="00A32765">
        <w:rPr>
          <w:sz w:val="16"/>
          <w:szCs w:val="16"/>
        </w:rPr>
        <w:t xml:space="preserve">Slavík, J., Lukavský, J., &amp; Hajdušková, L. (2010). Konceptová analýza výuky: didaktické poznatky z výzkumu reflexí studentu ucitelství výtvarné výchovy. </w:t>
      </w:r>
      <w:r w:rsidRPr="00A32765">
        <w:rPr>
          <w:i/>
          <w:sz w:val="16"/>
          <w:szCs w:val="16"/>
        </w:rPr>
        <w:t>Pedagogická orientace, 20</w:t>
      </w:r>
      <w:r w:rsidRPr="00A32765">
        <w:rPr>
          <w:sz w:val="16"/>
          <w:szCs w:val="16"/>
        </w:rPr>
        <w:t xml:space="preserve">(4), 69–91. </w:t>
      </w:r>
    </w:p>
    <w:p w:rsidR="0015711E" w:rsidRPr="006346E5" w:rsidRDefault="0015711E" w:rsidP="006346E5">
      <w:pPr>
        <w:ind w:left="426" w:hanging="426"/>
        <w:rPr>
          <w:sz w:val="16"/>
          <w:szCs w:val="16"/>
        </w:rPr>
      </w:pPr>
      <w:r w:rsidRPr="006346E5">
        <w:rPr>
          <w:sz w:val="16"/>
          <w:szCs w:val="16"/>
        </w:rPr>
        <w:t xml:space="preserve">Smith, M. U. (1991). A view from biology. In M. U. Smith (Ed.), </w:t>
      </w:r>
      <w:r w:rsidRPr="006346E5">
        <w:rPr>
          <w:i/>
          <w:sz w:val="16"/>
          <w:szCs w:val="16"/>
        </w:rPr>
        <w:t>Toward a unified theory of problem solving</w:t>
      </w:r>
      <w:r w:rsidRPr="006346E5">
        <w:rPr>
          <w:sz w:val="16"/>
          <w:szCs w:val="16"/>
        </w:rPr>
        <w:t xml:space="preserve"> (</w:t>
      </w:r>
      <w:r>
        <w:rPr>
          <w:sz w:val="16"/>
          <w:szCs w:val="16"/>
        </w:rPr>
        <w:t xml:space="preserve">s. </w:t>
      </w:r>
      <w:r w:rsidRPr="006346E5">
        <w:rPr>
          <w:sz w:val="16"/>
          <w:szCs w:val="16"/>
        </w:rPr>
        <w:t>1–20). Hillsdale: Lawrence Erlbaum Associates.</w:t>
      </w:r>
    </w:p>
    <w:p w:rsidR="0015711E" w:rsidRPr="007C0E29" w:rsidRDefault="0015711E" w:rsidP="007C0E29">
      <w:pPr>
        <w:ind w:left="426" w:hanging="426"/>
        <w:rPr>
          <w:sz w:val="16"/>
          <w:szCs w:val="16"/>
        </w:rPr>
      </w:pPr>
      <w:r w:rsidRPr="007C0E29">
        <w:rPr>
          <w:sz w:val="16"/>
          <w:szCs w:val="16"/>
        </w:rPr>
        <w:t xml:space="preserve">Spiro, R. J., &amp; Jehng, J. (1990). Cognitive flexibility and hypertext: Theory and technology for the nonlinear and multidimensional traversal of complex subject matter. In Spiro, R. J., &amp; Nix, D. (2012). </w:t>
      </w:r>
      <w:r w:rsidRPr="007C0E29">
        <w:rPr>
          <w:i/>
          <w:iCs/>
          <w:sz w:val="16"/>
          <w:szCs w:val="16"/>
        </w:rPr>
        <w:t>Cognition Education and Multimedia</w:t>
      </w:r>
      <w:r w:rsidRPr="007C0E29">
        <w:rPr>
          <w:iCs/>
          <w:sz w:val="16"/>
          <w:szCs w:val="16"/>
        </w:rPr>
        <w:t xml:space="preserve"> (s. </w:t>
      </w:r>
      <w:r w:rsidRPr="007C0E29">
        <w:rPr>
          <w:sz w:val="16"/>
          <w:szCs w:val="16"/>
        </w:rPr>
        <w:t>163–205). New York: Routledge.</w:t>
      </w:r>
    </w:p>
    <w:p w:rsidR="0015711E" w:rsidRPr="007C0E29" w:rsidRDefault="0015711E" w:rsidP="007C0E29">
      <w:pPr>
        <w:ind w:left="426" w:hanging="426"/>
        <w:rPr>
          <w:sz w:val="16"/>
          <w:szCs w:val="16"/>
        </w:rPr>
      </w:pPr>
      <w:r w:rsidRPr="007C0E29">
        <w:rPr>
          <w:sz w:val="16"/>
          <w:szCs w:val="16"/>
        </w:rPr>
        <w:t xml:space="preserve">Spiro, R. J., Feltovich, P. J., Jacobson, M. J., &amp; Coulson, R. L. (1992). Cognitive flexibility, constructivism, and hypertext: Random access instruction for advanced knowledge acquisition in ill-structured domain. In T. Duffy &amp; D. Jonassen (Eds.), </w:t>
      </w:r>
      <w:r w:rsidRPr="007C0E29">
        <w:rPr>
          <w:i/>
          <w:iCs/>
          <w:sz w:val="16"/>
          <w:szCs w:val="16"/>
        </w:rPr>
        <w:t>Constructivism and the technology of instruction</w:t>
      </w:r>
      <w:r w:rsidRPr="007C0E29">
        <w:rPr>
          <w:iCs/>
          <w:sz w:val="16"/>
          <w:szCs w:val="16"/>
        </w:rPr>
        <w:t xml:space="preserve"> (s. 57–76). Hillsdale: Lawrence Erlbaum Associates</w:t>
      </w:r>
      <w:r>
        <w:rPr>
          <w:iCs/>
          <w:sz w:val="16"/>
          <w:szCs w:val="16"/>
        </w:rPr>
        <w:t>.</w:t>
      </w:r>
    </w:p>
    <w:p w:rsidR="0015711E" w:rsidRPr="007C0E29" w:rsidRDefault="0015711E" w:rsidP="007C0E29">
      <w:pPr>
        <w:autoSpaceDE w:val="0"/>
        <w:autoSpaceDN w:val="0"/>
        <w:adjustRightInd w:val="0"/>
        <w:ind w:left="426" w:hanging="426"/>
        <w:jc w:val="both"/>
        <w:rPr>
          <w:i/>
          <w:sz w:val="16"/>
          <w:szCs w:val="16"/>
        </w:rPr>
      </w:pPr>
      <w:r w:rsidRPr="007C0E29">
        <w:rPr>
          <w:color w:val="222222"/>
          <w:sz w:val="16"/>
          <w:szCs w:val="16"/>
          <w:shd w:val="clear" w:color="auto" w:fill="FFFFFF"/>
        </w:rPr>
        <w:t>Stará, J., &amp; Krčmářová, T. (2014). Užívání nových učebnicových materiálů učiteli 1. stupně ZŠ.</w:t>
      </w:r>
      <w:r w:rsidRPr="007C0E29">
        <w:rPr>
          <w:rStyle w:val="apple-converted-space"/>
          <w:color w:val="222222"/>
          <w:sz w:val="16"/>
          <w:szCs w:val="16"/>
          <w:shd w:val="clear" w:color="auto" w:fill="FFFFFF"/>
        </w:rPr>
        <w:t> </w:t>
      </w:r>
      <w:r w:rsidRPr="007C0E29">
        <w:rPr>
          <w:i/>
          <w:iCs/>
          <w:color w:val="222222"/>
          <w:sz w:val="16"/>
          <w:szCs w:val="16"/>
          <w:shd w:val="clear" w:color="auto" w:fill="FFFFFF"/>
        </w:rPr>
        <w:t xml:space="preserve">Pedagogická </w:t>
      </w:r>
      <w:r>
        <w:rPr>
          <w:i/>
          <w:iCs/>
          <w:color w:val="222222"/>
          <w:sz w:val="16"/>
          <w:szCs w:val="16"/>
          <w:shd w:val="clear" w:color="auto" w:fill="FFFFFF"/>
        </w:rPr>
        <w:t>o</w:t>
      </w:r>
      <w:r w:rsidRPr="007C0E29">
        <w:rPr>
          <w:i/>
          <w:iCs/>
          <w:color w:val="222222"/>
          <w:sz w:val="16"/>
          <w:szCs w:val="16"/>
          <w:shd w:val="clear" w:color="auto" w:fill="FFFFFF"/>
        </w:rPr>
        <w:t>rientace</w:t>
      </w:r>
      <w:r w:rsidRPr="007C0E29">
        <w:rPr>
          <w:color w:val="222222"/>
          <w:sz w:val="16"/>
          <w:szCs w:val="16"/>
          <w:shd w:val="clear" w:color="auto" w:fill="FFFFFF"/>
        </w:rPr>
        <w:t>,</w:t>
      </w:r>
      <w:r w:rsidRPr="007C0E29">
        <w:rPr>
          <w:rStyle w:val="apple-converted-space"/>
          <w:color w:val="222222"/>
          <w:sz w:val="16"/>
          <w:szCs w:val="16"/>
          <w:shd w:val="clear" w:color="auto" w:fill="FFFFFF"/>
        </w:rPr>
        <w:t> </w:t>
      </w:r>
      <w:r w:rsidRPr="007C0E29">
        <w:rPr>
          <w:i/>
          <w:iCs/>
          <w:color w:val="222222"/>
          <w:sz w:val="16"/>
          <w:szCs w:val="16"/>
          <w:shd w:val="clear" w:color="auto" w:fill="FFFFFF"/>
        </w:rPr>
        <w:t>24</w:t>
      </w:r>
      <w:r w:rsidRPr="007C0E29">
        <w:rPr>
          <w:color w:val="222222"/>
          <w:sz w:val="16"/>
          <w:szCs w:val="16"/>
          <w:shd w:val="clear" w:color="auto" w:fill="FFFFFF"/>
        </w:rPr>
        <w:t>(1), 77–110.</w:t>
      </w:r>
    </w:p>
    <w:p w:rsidR="0015711E" w:rsidRPr="009407C8" w:rsidRDefault="0015711E" w:rsidP="009407C8">
      <w:pPr>
        <w:ind w:left="426" w:hanging="426"/>
        <w:rPr>
          <w:bCs/>
          <w:sz w:val="16"/>
          <w:szCs w:val="16"/>
          <w:lang w:val="en-GB"/>
        </w:rPr>
      </w:pPr>
      <w:r w:rsidRPr="00BF37DF">
        <w:rPr>
          <w:bCs/>
          <w:sz w:val="16"/>
          <w:szCs w:val="16"/>
          <w:lang w:val="de-DE"/>
        </w:rPr>
        <w:t xml:space="preserve">Stein, M. K., Grover, B. W., &amp; Henningsen, M. (1996). </w:t>
      </w:r>
      <w:r w:rsidRPr="009407C8">
        <w:rPr>
          <w:bCs/>
          <w:sz w:val="16"/>
          <w:szCs w:val="16"/>
          <w:lang w:val="en-GB"/>
        </w:rPr>
        <w:t xml:space="preserve">Building student capacity for mathematical thinking and reasoning: An analysis of mathematical tasks used in reform classrooms. </w:t>
      </w:r>
      <w:r w:rsidRPr="009407C8">
        <w:rPr>
          <w:bCs/>
          <w:i/>
          <w:iCs/>
          <w:sz w:val="16"/>
          <w:szCs w:val="16"/>
          <w:lang w:val="en-GB"/>
        </w:rPr>
        <w:t>American Educational Research Journal</w:t>
      </w:r>
      <w:r w:rsidRPr="009407C8">
        <w:rPr>
          <w:bCs/>
          <w:sz w:val="16"/>
          <w:szCs w:val="16"/>
          <w:lang w:val="en-GB"/>
        </w:rPr>
        <w:t xml:space="preserve">, </w:t>
      </w:r>
      <w:r w:rsidRPr="00EC520C">
        <w:rPr>
          <w:bCs/>
          <w:i/>
          <w:sz w:val="16"/>
          <w:szCs w:val="16"/>
          <w:lang w:val="en-GB"/>
        </w:rPr>
        <w:t>33</w:t>
      </w:r>
      <w:r w:rsidRPr="009407C8">
        <w:rPr>
          <w:bCs/>
          <w:sz w:val="16"/>
          <w:szCs w:val="16"/>
          <w:lang w:val="en-GB"/>
        </w:rPr>
        <w:t>(2), 455–488.</w:t>
      </w:r>
    </w:p>
    <w:p w:rsidR="0015711E" w:rsidRPr="006346E5" w:rsidRDefault="0015711E" w:rsidP="006346E5">
      <w:pPr>
        <w:ind w:left="426" w:hanging="426"/>
        <w:rPr>
          <w:sz w:val="16"/>
          <w:szCs w:val="16"/>
        </w:rPr>
      </w:pPr>
      <w:r w:rsidRPr="006346E5">
        <w:rPr>
          <w:sz w:val="16"/>
          <w:szCs w:val="16"/>
        </w:rPr>
        <w:t xml:space="preserve">Sternberg, R. J., &amp; Frensch, P. A. (Eds.). (1991). </w:t>
      </w:r>
      <w:r w:rsidRPr="006346E5">
        <w:rPr>
          <w:i/>
          <w:sz w:val="16"/>
          <w:szCs w:val="16"/>
        </w:rPr>
        <w:t xml:space="preserve">Complex problem solving: Principles and mechanisms. </w:t>
      </w:r>
      <w:r w:rsidRPr="006346E5">
        <w:rPr>
          <w:sz w:val="16"/>
          <w:szCs w:val="16"/>
        </w:rPr>
        <w:t>Hillsdale: Lawrence Erlbaum Associates.</w:t>
      </w:r>
    </w:p>
    <w:p w:rsidR="0015711E" w:rsidRPr="007C0E29" w:rsidRDefault="0015711E" w:rsidP="007C0E29">
      <w:pPr>
        <w:ind w:left="426" w:hanging="426"/>
        <w:rPr>
          <w:sz w:val="16"/>
          <w:szCs w:val="16"/>
        </w:rPr>
      </w:pPr>
      <w:r w:rsidRPr="007C0E29">
        <w:rPr>
          <w:sz w:val="16"/>
          <w:szCs w:val="16"/>
        </w:rPr>
        <w:t xml:space="preserve">Stevens, F. I. (1993). Applying an opportunity-to-learn conceptual framework to the investigation of the effects of teaching practices via secondary analyses of multiple-case-study summary data. </w:t>
      </w:r>
      <w:r w:rsidRPr="007C0E29">
        <w:rPr>
          <w:i/>
          <w:iCs/>
          <w:sz w:val="16"/>
          <w:szCs w:val="16"/>
        </w:rPr>
        <w:t>Journal of Negro Education</w:t>
      </w:r>
      <w:r w:rsidRPr="007C0E29">
        <w:rPr>
          <w:sz w:val="16"/>
          <w:szCs w:val="16"/>
        </w:rPr>
        <w:t xml:space="preserve">, </w:t>
      </w:r>
      <w:r w:rsidRPr="007B2EA8">
        <w:rPr>
          <w:i/>
          <w:sz w:val="16"/>
          <w:szCs w:val="16"/>
        </w:rPr>
        <w:t>62</w:t>
      </w:r>
      <w:r w:rsidRPr="007C0E29">
        <w:rPr>
          <w:sz w:val="16"/>
          <w:szCs w:val="16"/>
        </w:rPr>
        <w:t>(3), 232–248.</w:t>
      </w:r>
    </w:p>
    <w:p w:rsidR="0015711E" w:rsidRDefault="0015711E" w:rsidP="00C451B9">
      <w:pPr>
        <w:ind w:left="426" w:hanging="426"/>
        <w:rPr>
          <w:bCs/>
          <w:iCs/>
          <w:sz w:val="16"/>
          <w:szCs w:val="16"/>
        </w:rPr>
      </w:pPr>
      <w:r w:rsidRPr="00C451B9">
        <w:rPr>
          <w:bCs/>
          <w:iCs/>
          <w:sz w:val="16"/>
          <w:szCs w:val="16"/>
        </w:rPr>
        <w:t xml:space="preserve">Stieff, M., Dixon, B. L., Ryu, M., Kumi, B. C., &amp; Hegarty, M. (2014). Strategy training eliminates sex differences in spatial problem solving in a </w:t>
      </w:r>
      <w:r>
        <w:rPr>
          <w:bCs/>
          <w:iCs/>
          <w:sz w:val="16"/>
          <w:szCs w:val="16"/>
        </w:rPr>
        <w:t>STEM</w:t>
      </w:r>
      <w:r w:rsidRPr="00C451B9">
        <w:rPr>
          <w:bCs/>
          <w:iCs/>
          <w:sz w:val="16"/>
          <w:szCs w:val="16"/>
        </w:rPr>
        <w:t xml:space="preserve"> domain. </w:t>
      </w:r>
      <w:r w:rsidRPr="00C451B9">
        <w:rPr>
          <w:bCs/>
          <w:i/>
          <w:iCs/>
          <w:sz w:val="16"/>
          <w:szCs w:val="16"/>
        </w:rPr>
        <w:t>Journal of Educational Psychology</w:t>
      </w:r>
      <w:r w:rsidRPr="00C451B9">
        <w:rPr>
          <w:bCs/>
          <w:iCs/>
          <w:sz w:val="16"/>
          <w:szCs w:val="16"/>
        </w:rPr>
        <w:t xml:space="preserve">, </w:t>
      </w:r>
      <w:r w:rsidRPr="00C451B9">
        <w:rPr>
          <w:bCs/>
          <w:i/>
          <w:iCs/>
          <w:sz w:val="16"/>
          <w:szCs w:val="16"/>
        </w:rPr>
        <w:t>106</w:t>
      </w:r>
      <w:r>
        <w:rPr>
          <w:bCs/>
          <w:iCs/>
          <w:sz w:val="16"/>
          <w:szCs w:val="16"/>
        </w:rPr>
        <w:t>(2), 390–402.</w:t>
      </w:r>
    </w:p>
    <w:p w:rsidR="0015711E" w:rsidRPr="00FE58A1" w:rsidRDefault="0015711E" w:rsidP="00FB56A8">
      <w:pPr>
        <w:ind w:left="426" w:hanging="426"/>
        <w:rPr>
          <w:bCs/>
          <w:iCs/>
          <w:sz w:val="16"/>
          <w:szCs w:val="16"/>
        </w:rPr>
      </w:pPr>
      <w:r>
        <w:rPr>
          <w:bCs/>
          <w:iCs/>
          <w:sz w:val="16"/>
          <w:szCs w:val="16"/>
        </w:rPr>
        <w:t>Stoddart, D. R. (1967). Organism and ecosystem as geographical models. In R. J. Chorley &amp; P. Haggett (Eds.),</w:t>
      </w:r>
      <w:r w:rsidRPr="00FE58A1">
        <w:rPr>
          <w:bCs/>
          <w:iCs/>
          <w:sz w:val="16"/>
          <w:szCs w:val="16"/>
        </w:rPr>
        <w:t xml:space="preserve"> </w:t>
      </w:r>
      <w:r w:rsidRPr="00FE58A1">
        <w:rPr>
          <w:bCs/>
          <w:i/>
          <w:iCs/>
          <w:sz w:val="16"/>
          <w:szCs w:val="16"/>
        </w:rPr>
        <w:t>Models in geography</w:t>
      </w:r>
      <w:r>
        <w:rPr>
          <w:bCs/>
          <w:iCs/>
          <w:sz w:val="16"/>
          <w:szCs w:val="16"/>
        </w:rPr>
        <w:t xml:space="preserve"> (s. 511–548). London: Methuen.</w:t>
      </w:r>
    </w:p>
    <w:p w:rsidR="0015711E" w:rsidRPr="007C0E29" w:rsidRDefault="0015711E" w:rsidP="007C0E29">
      <w:pPr>
        <w:ind w:left="426" w:hanging="426"/>
        <w:rPr>
          <w:bCs/>
          <w:sz w:val="16"/>
          <w:szCs w:val="16"/>
        </w:rPr>
      </w:pPr>
      <w:r w:rsidRPr="007C0E29">
        <w:rPr>
          <w:bCs/>
          <w:sz w:val="16"/>
          <w:szCs w:val="16"/>
        </w:rPr>
        <w:t xml:space="preserve">Strahler, A., &amp; Strahler, A. (1996). </w:t>
      </w:r>
      <w:r w:rsidRPr="007C0E29">
        <w:rPr>
          <w:bCs/>
          <w:i/>
          <w:iCs/>
          <w:sz w:val="16"/>
          <w:szCs w:val="16"/>
        </w:rPr>
        <w:t>Physical geography</w:t>
      </w:r>
      <w:r w:rsidRPr="007C0E29">
        <w:rPr>
          <w:bCs/>
          <w:sz w:val="16"/>
          <w:szCs w:val="16"/>
        </w:rPr>
        <w:t>.</w:t>
      </w:r>
      <w:r w:rsidRPr="007C0E29">
        <w:rPr>
          <w:bCs/>
          <w:i/>
          <w:sz w:val="16"/>
          <w:szCs w:val="16"/>
        </w:rPr>
        <w:t xml:space="preserve"> Science and systems of the human environment. </w:t>
      </w:r>
      <w:r w:rsidRPr="007C0E29">
        <w:rPr>
          <w:bCs/>
          <w:sz w:val="16"/>
          <w:szCs w:val="16"/>
        </w:rPr>
        <w:t>New York: John Wiley &amp; Sons.</w:t>
      </w:r>
    </w:p>
    <w:p w:rsidR="0015711E" w:rsidRPr="00950897" w:rsidRDefault="0015711E" w:rsidP="00402C6A">
      <w:pPr>
        <w:ind w:left="426" w:hanging="426"/>
        <w:rPr>
          <w:bCs/>
          <w:iCs/>
          <w:sz w:val="16"/>
          <w:szCs w:val="16"/>
        </w:rPr>
      </w:pPr>
      <w:r w:rsidRPr="00950897">
        <w:rPr>
          <w:bCs/>
          <w:iCs/>
          <w:sz w:val="16"/>
          <w:szCs w:val="16"/>
        </w:rPr>
        <w:t xml:space="preserve">Straková, J. (2010a). Pedagogické činnosti českých učitelů v mezinárodním srovnání. </w:t>
      </w:r>
      <w:r w:rsidRPr="00950897">
        <w:rPr>
          <w:bCs/>
          <w:i/>
          <w:iCs/>
          <w:sz w:val="16"/>
          <w:szCs w:val="16"/>
        </w:rPr>
        <w:t>Pedagogika, 60</w:t>
      </w:r>
      <w:r w:rsidRPr="00950897">
        <w:rPr>
          <w:bCs/>
          <w:iCs/>
          <w:sz w:val="16"/>
          <w:szCs w:val="16"/>
        </w:rPr>
        <w:t>(3–4), 276–291.</w:t>
      </w:r>
    </w:p>
    <w:p w:rsidR="0015711E" w:rsidRPr="00950897" w:rsidRDefault="0015711E" w:rsidP="00714E41">
      <w:pPr>
        <w:ind w:left="426" w:hanging="426"/>
        <w:rPr>
          <w:sz w:val="16"/>
          <w:szCs w:val="16"/>
        </w:rPr>
      </w:pPr>
      <w:r w:rsidRPr="00950897">
        <w:rPr>
          <w:sz w:val="16"/>
          <w:szCs w:val="16"/>
        </w:rPr>
        <w:t xml:space="preserve">Straková, J. (2010b). Přidaná hodnota studia na víceletých gymnáziích ve světle dostupných datových zdrojů. </w:t>
      </w:r>
      <w:r w:rsidRPr="00950897">
        <w:rPr>
          <w:i/>
          <w:sz w:val="16"/>
          <w:szCs w:val="16"/>
        </w:rPr>
        <w:t>Sociologický časopis, 46</w:t>
      </w:r>
      <w:r w:rsidRPr="00950897">
        <w:rPr>
          <w:sz w:val="16"/>
          <w:szCs w:val="16"/>
        </w:rPr>
        <w:t>(2), 187–210.</w:t>
      </w:r>
    </w:p>
    <w:p w:rsidR="0015711E" w:rsidRPr="00A32765" w:rsidRDefault="0015711E" w:rsidP="00A32765">
      <w:pPr>
        <w:ind w:left="426" w:hanging="426"/>
        <w:rPr>
          <w:sz w:val="16"/>
          <w:szCs w:val="16"/>
        </w:rPr>
      </w:pPr>
      <w:bookmarkStart w:id="134" w:name="_ENREF_62"/>
      <w:r w:rsidRPr="00A32765">
        <w:rPr>
          <w:sz w:val="16"/>
          <w:szCs w:val="16"/>
        </w:rPr>
        <w:t xml:space="preserve">Straková, J. (2011). Ke kritice výzkumu PISA. </w:t>
      </w:r>
      <w:r w:rsidRPr="00A32765">
        <w:rPr>
          <w:i/>
          <w:sz w:val="16"/>
          <w:szCs w:val="16"/>
        </w:rPr>
        <w:t>Orbis scholae, 5</w:t>
      </w:r>
      <w:r w:rsidRPr="00A32765">
        <w:rPr>
          <w:sz w:val="16"/>
          <w:szCs w:val="16"/>
        </w:rPr>
        <w:t>(3), 123</w:t>
      </w:r>
      <w:r>
        <w:rPr>
          <w:sz w:val="16"/>
          <w:szCs w:val="16"/>
        </w:rPr>
        <w:t>–</w:t>
      </w:r>
      <w:r w:rsidRPr="00A32765">
        <w:rPr>
          <w:sz w:val="16"/>
          <w:szCs w:val="16"/>
        </w:rPr>
        <w:t xml:space="preserve">127. </w:t>
      </w:r>
      <w:bookmarkEnd w:id="134"/>
    </w:p>
    <w:p w:rsidR="0015711E" w:rsidRPr="00D1792D" w:rsidRDefault="0015711E" w:rsidP="00F6602A">
      <w:pPr>
        <w:ind w:left="426" w:hanging="426"/>
        <w:rPr>
          <w:bCs/>
          <w:sz w:val="16"/>
          <w:szCs w:val="16"/>
        </w:rPr>
      </w:pPr>
      <w:r w:rsidRPr="00D1792D">
        <w:rPr>
          <w:bCs/>
          <w:sz w:val="16"/>
          <w:szCs w:val="16"/>
        </w:rPr>
        <w:t>Strobel, J., &amp; van Barneveld, A. (2009). When is PBL more effective? A meta-synthesis of meta-analyses comparing PBL to conventional classrooms.</w:t>
      </w:r>
      <w:r>
        <w:rPr>
          <w:bCs/>
          <w:sz w:val="16"/>
          <w:szCs w:val="16"/>
        </w:rPr>
        <w:t xml:space="preserve"> </w:t>
      </w:r>
      <w:r w:rsidRPr="00D1792D">
        <w:rPr>
          <w:bCs/>
          <w:i/>
          <w:iCs/>
          <w:sz w:val="16"/>
          <w:szCs w:val="16"/>
        </w:rPr>
        <w:t>Interdisciplinary Journal of Problem-based Learning</w:t>
      </w:r>
      <w:r w:rsidRPr="00D1792D">
        <w:rPr>
          <w:bCs/>
          <w:sz w:val="16"/>
          <w:szCs w:val="16"/>
        </w:rPr>
        <w:t>, </w:t>
      </w:r>
      <w:r w:rsidRPr="00D1792D">
        <w:rPr>
          <w:bCs/>
          <w:i/>
          <w:iCs/>
          <w:sz w:val="16"/>
          <w:szCs w:val="16"/>
        </w:rPr>
        <w:t>3</w:t>
      </w:r>
      <w:r w:rsidRPr="00D1792D">
        <w:rPr>
          <w:bCs/>
          <w:sz w:val="16"/>
          <w:szCs w:val="16"/>
        </w:rPr>
        <w:t>(1), 44</w:t>
      </w:r>
      <w:r>
        <w:rPr>
          <w:bCs/>
          <w:sz w:val="16"/>
          <w:szCs w:val="16"/>
        </w:rPr>
        <w:t>–</w:t>
      </w:r>
      <w:r w:rsidRPr="00D1792D">
        <w:rPr>
          <w:bCs/>
          <w:sz w:val="16"/>
          <w:szCs w:val="16"/>
        </w:rPr>
        <w:t>58.</w:t>
      </w:r>
    </w:p>
    <w:p w:rsidR="0015711E" w:rsidRDefault="0015711E" w:rsidP="00AC1737">
      <w:pPr>
        <w:ind w:left="426" w:hanging="426"/>
        <w:rPr>
          <w:bCs/>
          <w:sz w:val="16"/>
          <w:szCs w:val="16"/>
        </w:rPr>
      </w:pPr>
      <w:r w:rsidRPr="00AC1737">
        <w:rPr>
          <w:bCs/>
          <w:sz w:val="16"/>
          <w:szCs w:val="16"/>
        </w:rPr>
        <w:t>Stuchlíková, I. (2010). O badatelsky orientovaném vyučování. In</w:t>
      </w:r>
      <w:r>
        <w:rPr>
          <w:bCs/>
          <w:sz w:val="16"/>
          <w:szCs w:val="16"/>
        </w:rPr>
        <w:t xml:space="preserve"> M. Papáček (Ed.). </w:t>
      </w:r>
      <w:r w:rsidRPr="00402176">
        <w:rPr>
          <w:bCs/>
          <w:i/>
          <w:sz w:val="16"/>
          <w:szCs w:val="16"/>
        </w:rPr>
        <w:t>Didaktika biologie v české republice 2010 a badatelsky orientované vyučování</w:t>
      </w:r>
      <w:r>
        <w:rPr>
          <w:bCs/>
          <w:sz w:val="16"/>
          <w:szCs w:val="16"/>
        </w:rPr>
        <w:t xml:space="preserve"> (s. 129–135)</w:t>
      </w:r>
      <w:r w:rsidRPr="00AC1737">
        <w:rPr>
          <w:bCs/>
          <w:sz w:val="16"/>
          <w:szCs w:val="16"/>
        </w:rPr>
        <w:t>. České Budějovice: Jihočeská univerzita.</w:t>
      </w:r>
    </w:p>
    <w:p w:rsidR="0015711E" w:rsidRPr="00D1792D" w:rsidRDefault="0015711E" w:rsidP="00D1792D">
      <w:pPr>
        <w:ind w:left="426" w:hanging="426"/>
        <w:rPr>
          <w:bCs/>
          <w:sz w:val="16"/>
          <w:szCs w:val="16"/>
        </w:rPr>
      </w:pPr>
      <w:r w:rsidRPr="00D1792D">
        <w:rPr>
          <w:bCs/>
          <w:sz w:val="16"/>
          <w:szCs w:val="16"/>
        </w:rPr>
        <w:t xml:space="preserve">Sugrue, B. (1995). A </w:t>
      </w:r>
      <w:r>
        <w:rPr>
          <w:bCs/>
          <w:sz w:val="16"/>
          <w:szCs w:val="16"/>
        </w:rPr>
        <w:t>t</w:t>
      </w:r>
      <w:r w:rsidRPr="00D1792D">
        <w:rPr>
          <w:bCs/>
          <w:sz w:val="16"/>
          <w:szCs w:val="16"/>
        </w:rPr>
        <w:t>heory</w:t>
      </w:r>
      <w:r w:rsidRPr="00D1792D">
        <w:rPr>
          <w:rFonts w:ascii="Cambria Math" w:hAnsi="Cambria Math" w:cs="Cambria Math"/>
          <w:bCs/>
          <w:sz w:val="16"/>
          <w:szCs w:val="16"/>
        </w:rPr>
        <w:t>‐</w:t>
      </w:r>
      <w:r>
        <w:rPr>
          <w:bCs/>
          <w:sz w:val="16"/>
          <w:szCs w:val="16"/>
        </w:rPr>
        <w:t>b</w:t>
      </w:r>
      <w:r w:rsidRPr="00D1792D">
        <w:rPr>
          <w:bCs/>
          <w:sz w:val="16"/>
          <w:szCs w:val="16"/>
        </w:rPr>
        <w:t xml:space="preserve">ased </w:t>
      </w:r>
      <w:r>
        <w:rPr>
          <w:bCs/>
          <w:sz w:val="16"/>
          <w:szCs w:val="16"/>
        </w:rPr>
        <w:t>f</w:t>
      </w:r>
      <w:r w:rsidRPr="00D1792D">
        <w:rPr>
          <w:bCs/>
          <w:sz w:val="16"/>
          <w:szCs w:val="16"/>
        </w:rPr>
        <w:t xml:space="preserve">ramework for </w:t>
      </w:r>
      <w:r>
        <w:rPr>
          <w:bCs/>
          <w:sz w:val="16"/>
          <w:szCs w:val="16"/>
        </w:rPr>
        <w:t>a</w:t>
      </w:r>
      <w:r w:rsidRPr="00D1792D">
        <w:rPr>
          <w:bCs/>
          <w:sz w:val="16"/>
          <w:szCs w:val="16"/>
        </w:rPr>
        <w:t xml:space="preserve">ssessing </w:t>
      </w:r>
      <w:r>
        <w:rPr>
          <w:bCs/>
          <w:sz w:val="16"/>
          <w:szCs w:val="16"/>
        </w:rPr>
        <w:t>d</w:t>
      </w:r>
      <w:r w:rsidRPr="00D1792D">
        <w:rPr>
          <w:bCs/>
          <w:sz w:val="16"/>
          <w:szCs w:val="16"/>
        </w:rPr>
        <w:t>omain</w:t>
      </w:r>
      <w:r w:rsidRPr="00D1792D">
        <w:rPr>
          <w:rFonts w:ascii="Cambria Math" w:hAnsi="Cambria Math" w:cs="Cambria Math"/>
          <w:bCs/>
          <w:sz w:val="16"/>
          <w:szCs w:val="16"/>
        </w:rPr>
        <w:t>‐</w:t>
      </w:r>
      <w:r>
        <w:rPr>
          <w:bCs/>
          <w:sz w:val="16"/>
          <w:szCs w:val="16"/>
        </w:rPr>
        <w:t>s</w:t>
      </w:r>
      <w:r w:rsidRPr="00D1792D">
        <w:rPr>
          <w:bCs/>
          <w:sz w:val="16"/>
          <w:szCs w:val="16"/>
        </w:rPr>
        <w:t xml:space="preserve">pecific </w:t>
      </w:r>
      <w:r>
        <w:rPr>
          <w:bCs/>
          <w:sz w:val="16"/>
          <w:szCs w:val="16"/>
        </w:rPr>
        <w:t>p</w:t>
      </w:r>
      <w:r w:rsidRPr="00D1792D">
        <w:rPr>
          <w:bCs/>
          <w:sz w:val="16"/>
          <w:szCs w:val="16"/>
        </w:rPr>
        <w:t>roblem</w:t>
      </w:r>
      <w:r w:rsidRPr="00D1792D">
        <w:rPr>
          <w:rFonts w:ascii="Cambria Math" w:hAnsi="Cambria Math" w:cs="Cambria Math"/>
          <w:bCs/>
          <w:sz w:val="16"/>
          <w:szCs w:val="16"/>
        </w:rPr>
        <w:t>‐</w:t>
      </w:r>
      <w:r>
        <w:rPr>
          <w:bCs/>
          <w:sz w:val="16"/>
          <w:szCs w:val="16"/>
        </w:rPr>
        <w:t>s</w:t>
      </w:r>
      <w:r w:rsidRPr="00D1792D">
        <w:rPr>
          <w:bCs/>
          <w:sz w:val="16"/>
          <w:szCs w:val="16"/>
        </w:rPr>
        <w:t xml:space="preserve">olving </w:t>
      </w:r>
      <w:r>
        <w:rPr>
          <w:bCs/>
          <w:sz w:val="16"/>
          <w:szCs w:val="16"/>
        </w:rPr>
        <w:t>a</w:t>
      </w:r>
      <w:r w:rsidRPr="00D1792D">
        <w:rPr>
          <w:bCs/>
          <w:sz w:val="16"/>
          <w:szCs w:val="16"/>
        </w:rPr>
        <w:t xml:space="preserve">bility. </w:t>
      </w:r>
      <w:r w:rsidRPr="00D1792D">
        <w:rPr>
          <w:bCs/>
          <w:i/>
          <w:sz w:val="16"/>
          <w:szCs w:val="16"/>
        </w:rPr>
        <w:t>Educational Measurement: Issues and Practice, 14</w:t>
      </w:r>
      <w:r w:rsidRPr="00D1792D">
        <w:rPr>
          <w:bCs/>
          <w:sz w:val="16"/>
          <w:szCs w:val="16"/>
        </w:rPr>
        <w:t>(3), 29</w:t>
      </w:r>
      <w:r>
        <w:rPr>
          <w:bCs/>
          <w:sz w:val="16"/>
          <w:szCs w:val="16"/>
        </w:rPr>
        <w:t>–</w:t>
      </w:r>
      <w:r w:rsidRPr="00D1792D">
        <w:rPr>
          <w:bCs/>
          <w:sz w:val="16"/>
          <w:szCs w:val="16"/>
        </w:rPr>
        <w:t>35.</w:t>
      </w:r>
    </w:p>
    <w:p w:rsidR="0015711E" w:rsidRPr="006E57E0" w:rsidRDefault="0015711E" w:rsidP="005E6F0D">
      <w:pPr>
        <w:ind w:left="426" w:hanging="426"/>
        <w:rPr>
          <w:bCs/>
          <w:sz w:val="16"/>
          <w:szCs w:val="16"/>
        </w:rPr>
      </w:pPr>
      <w:r w:rsidRPr="006E57E0">
        <w:rPr>
          <w:bCs/>
          <w:sz w:val="16"/>
          <w:szCs w:val="16"/>
        </w:rPr>
        <w:t>Sü</w:t>
      </w:r>
      <w:r>
        <w:rPr>
          <w:bCs/>
          <w:sz w:val="16"/>
          <w:szCs w:val="16"/>
        </w:rPr>
        <w:t>ss</w:t>
      </w:r>
      <w:r w:rsidRPr="006E57E0">
        <w:rPr>
          <w:bCs/>
          <w:sz w:val="16"/>
          <w:szCs w:val="16"/>
        </w:rPr>
        <w:t xml:space="preserve">, H. M. (1999). Intelligenz und komplexes Problemlösen. </w:t>
      </w:r>
      <w:r w:rsidRPr="000B0DDA">
        <w:rPr>
          <w:bCs/>
          <w:i/>
          <w:sz w:val="16"/>
          <w:szCs w:val="16"/>
        </w:rPr>
        <w:t>Psychologische Rundschau, 50</w:t>
      </w:r>
      <w:r w:rsidRPr="006E57E0">
        <w:rPr>
          <w:bCs/>
          <w:sz w:val="16"/>
          <w:szCs w:val="16"/>
        </w:rPr>
        <w:t>(4), 220–228.</w:t>
      </w:r>
      <w:r w:rsidRPr="006E57E0">
        <w:rPr>
          <w:bCs/>
          <w:sz w:val="16"/>
          <w:szCs w:val="16"/>
        </w:rPr>
        <w:tab/>
      </w:r>
    </w:p>
    <w:p w:rsidR="0015711E" w:rsidRDefault="0015711E" w:rsidP="007C0E29">
      <w:pPr>
        <w:ind w:left="426" w:hanging="426"/>
        <w:rPr>
          <w:bCs/>
          <w:sz w:val="16"/>
          <w:szCs w:val="16"/>
        </w:rPr>
      </w:pPr>
      <w:bookmarkStart w:id="135" w:name="_ENREF_63"/>
      <w:r w:rsidRPr="007C0E29">
        <w:rPr>
          <w:bCs/>
          <w:sz w:val="16"/>
          <w:szCs w:val="16"/>
        </w:rPr>
        <w:t xml:space="preserve">Svozil, B., Trávníček, J., &amp; Trojan, J. (2010). Spolupráce základní a vysoké školy: Trvalá udržitelnost Deblínska. </w:t>
      </w:r>
      <w:r w:rsidRPr="007C0E29">
        <w:rPr>
          <w:bCs/>
          <w:i/>
          <w:sz w:val="16"/>
          <w:szCs w:val="16"/>
        </w:rPr>
        <w:t>Geografické rozhledy, 19</w:t>
      </w:r>
      <w:r w:rsidRPr="007C0E29">
        <w:rPr>
          <w:bCs/>
          <w:sz w:val="16"/>
          <w:szCs w:val="16"/>
        </w:rPr>
        <w:t xml:space="preserve">(3), 19–20. </w:t>
      </w:r>
      <w:bookmarkEnd w:id="135"/>
    </w:p>
    <w:p w:rsidR="0015711E" w:rsidRPr="006346E5" w:rsidRDefault="0015711E" w:rsidP="006346E5">
      <w:pPr>
        <w:ind w:left="426" w:hanging="426"/>
        <w:rPr>
          <w:sz w:val="16"/>
          <w:szCs w:val="16"/>
        </w:rPr>
      </w:pPr>
      <w:r w:rsidRPr="006346E5">
        <w:rPr>
          <w:sz w:val="16"/>
          <w:szCs w:val="16"/>
        </w:rPr>
        <w:t xml:space="preserve">Sweller, J. (1988). Cognitive load during problem solving: Effects on learning. </w:t>
      </w:r>
      <w:r w:rsidRPr="006346E5">
        <w:rPr>
          <w:i/>
          <w:iCs/>
          <w:sz w:val="16"/>
          <w:szCs w:val="16"/>
        </w:rPr>
        <w:t xml:space="preserve">Cognitive </w:t>
      </w:r>
      <w:r>
        <w:rPr>
          <w:i/>
          <w:iCs/>
          <w:sz w:val="16"/>
          <w:szCs w:val="16"/>
        </w:rPr>
        <w:t>S</w:t>
      </w:r>
      <w:r w:rsidRPr="006346E5">
        <w:rPr>
          <w:i/>
          <w:iCs/>
          <w:sz w:val="16"/>
          <w:szCs w:val="16"/>
        </w:rPr>
        <w:t>cience</w:t>
      </w:r>
      <w:r w:rsidRPr="006346E5">
        <w:rPr>
          <w:sz w:val="16"/>
          <w:szCs w:val="16"/>
        </w:rPr>
        <w:t>, </w:t>
      </w:r>
      <w:r w:rsidRPr="006346E5">
        <w:rPr>
          <w:i/>
          <w:iCs/>
          <w:sz w:val="16"/>
          <w:szCs w:val="16"/>
        </w:rPr>
        <w:t>12</w:t>
      </w:r>
      <w:r w:rsidRPr="006346E5">
        <w:rPr>
          <w:sz w:val="16"/>
          <w:szCs w:val="16"/>
        </w:rPr>
        <w:t>(2), 257–285.</w:t>
      </w:r>
    </w:p>
    <w:p w:rsidR="00636B15" w:rsidRDefault="00636B15" w:rsidP="006B2AFF">
      <w:pPr>
        <w:ind w:left="426" w:hanging="426"/>
        <w:rPr>
          <w:sz w:val="16"/>
          <w:szCs w:val="16"/>
        </w:rPr>
      </w:pPr>
      <w:r w:rsidRPr="00636B15">
        <w:rPr>
          <w:sz w:val="16"/>
          <w:szCs w:val="16"/>
        </w:rPr>
        <w:t>Šalamounová, Z., Bradová, J., &amp; Lojdová, K. (2014). Mocenské vztahy mezi začínajícími učiteli a jejich žáky. </w:t>
      </w:r>
      <w:r w:rsidRPr="00636B15">
        <w:rPr>
          <w:i/>
          <w:iCs/>
          <w:sz w:val="16"/>
          <w:szCs w:val="16"/>
        </w:rPr>
        <w:t>Pedagogická orientace, 24</w:t>
      </w:r>
      <w:r w:rsidRPr="00636B15">
        <w:rPr>
          <w:sz w:val="16"/>
          <w:szCs w:val="16"/>
        </w:rPr>
        <w:t>(3), 375–393. </w:t>
      </w:r>
    </w:p>
    <w:p w:rsidR="00A74542" w:rsidRDefault="00A74542" w:rsidP="006B2AFF">
      <w:pPr>
        <w:ind w:left="426" w:hanging="426"/>
        <w:rPr>
          <w:sz w:val="16"/>
          <w:szCs w:val="16"/>
        </w:rPr>
      </w:pPr>
      <w:r w:rsidRPr="00A74542">
        <w:rPr>
          <w:sz w:val="16"/>
          <w:szCs w:val="16"/>
        </w:rPr>
        <w:t>Šeďová, K., Švaříček, R., &amp; Šalamounová, Z. (201</w:t>
      </w:r>
      <w:r>
        <w:rPr>
          <w:sz w:val="16"/>
          <w:szCs w:val="16"/>
        </w:rPr>
        <w:t>2</w:t>
      </w:r>
      <w:r w:rsidRPr="00A74542">
        <w:rPr>
          <w:sz w:val="16"/>
          <w:szCs w:val="16"/>
        </w:rPr>
        <w:t xml:space="preserve">). </w:t>
      </w:r>
      <w:r w:rsidRPr="00A74542">
        <w:rPr>
          <w:i/>
          <w:sz w:val="16"/>
          <w:szCs w:val="16"/>
        </w:rPr>
        <w:t>Komunikace ve školní třídě.</w:t>
      </w:r>
      <w:r>
        <w:rPr>
          <w:sz w:val="16"/>
          <w:szCs w:val="16"/>
        </w:rPr>
        <w:t xml:space="preserve"> Praha: Portál.</w:t>
      </w:r>
    </w:p>
    <w:p w:rsidR="0015711E" w:rsidRDefault="0015711E" w:rsidP="006B2AFF">
      <w:pPr>
        <w:ind w:left="426" w:hanging="426"/>
        <w:rPr>
          <w:sz w:val="16"/>
          <w:szCs w:val="16"/>
        </w:rPr>
      </w:pPr>
      <w:r w:rsidRPr="006B2AFF">
        <w:rPr>
          <w:sz w:val="16"/>
          <w:szCs w:val="16"/>
        </w:rPr>
        <w:t xml:space="preserve">Štech, S. (2007). Profesionalita učitele v neo-liberální době: Esej o paradoxní situaci učitelství. </w:t>
      </w:r>
      <w:r w:rsidRPr="006B2AFF">
        <w:rPr>
          <w:i/>
          <w:sz w:val="16"/>
          <w:szCs w:val="16"/>
        </w:rPr>
        <w:t>Pedagogika</w:t>
      </w:r>
      <w:r w:rsidRPr="006B2AFF">
        <w:rPr>
          <w:sz w:val="16"/>
          <w:szCs w:val="16"/>
        </w:rPr>
        <w:t xml:space="preserve">, </w:t>
      </w:r>
      <w:r w:rsidRPr="006B2AFF">
        <w:rPr>
          <w:i/>
          <w:sz w:val="16"/>
          <w:szCs w:val="16"/>
        </w:rPr>
        <w:t>57</w:t>
      </w:r>
      <w:r w:rsidRPr="006B2AFF">
        <w:rPr>
          <w:sz w:val="16"/>
          <w:szCs w:val="16"/>
        </w:rPr>
        <w:t>(4), 326–337.</w:t>
      </w:r>
    </w:p>
    <w:p w:rsidR="0015711E" w:rsidRPr="00A32765" w:rsidRDefault="0015711E" w:rsidP="00A32765">
      <w:pPr>
        <w:ind w:left="426" w:hanging="426"/>
        <w:rPr>
          <w:sz w:val="16"/>
          <w:szCs w:val="16"/>
        </w:rPr>
      </w:pPr>
      <w:r w:rsidRPr="00A32765">
        <w:rPr>
          <w:sz w:val="16"/>
          <w:szCs w:val="16"/>
        </w:rPr>
        <w:t xml:space="preserve">Štech, S. (2009). Zřetel k učivu a problém dvou modelů kurikula. </w:t>
      </w:r>
      <w:r w:rsidRPr="00A32765">
        <w:rPr>
          <w:i/>
          <w:iCs/>
          <w:sz w:val="16"/>
          <w:szCs w:val="16"/>
        </w:rPr>
        <w:t>Pedagogika</w:t>
      </w:r>
      <w:r w:rsidRPr="00A32765">
        <w:rPr>
          <w:sz w:val="16"/>
          <w:szCs w:val="16"/>
        </w:rPr>
        <w:t xml:space="preserve">, </w:t>
      </w:r>
      <w:r w:rsidRPr="00A32765">
        <w:rPr>
          <w:i/>
          <w:iCs/>
          <w:sz w:val="16"/>
          <w:szCs w:val="16"/>
        </w:rPr>
        <w:t>59</w:t>
      </w:r>
      <w:r w:rsidRPr="00A32765">
        <w:rPr>
          <w:sz w:val="16"/>
          <w:szCs w:val="16"/>
        </w:rPr>
        <w:t>(2), 105</w:t>
      </w:r>
      <w:r>
        <w:rPr>
          <w:sz w:val="16"/>
          <w:szCs w:val="16"/>
        </w:rPr>
        <w:t>–</w:t>
      </w:r>
      <w:r w:rsidRPr="00A32765">
        <w:rPr>
          <w:sz w:val="16"/>
          <w:szCs w:val="16"/>
        </w:rPr>
        <w:t>115.</w:t>
      </w:r>
    </w:p>
    <w:p w:rsidR="0015711E" w:rsidRDefault="0015711E" w:rsidP="00F06BE8">
      <w:pPr>
        <w:ind w:left="426" w:hanging="426"/>
        <w:rPr>
          <w:sz w:val="16"/>
          <w:szCs w:val="16"/>
        </w:rPr>
      </w:pPr>
      <w:r w:rsidRPr="007C0E29">
        <w:rPr>
          <w:sz w:val="16"/>
          <w:szCs w:val="16"/>
        </w:rPr>
        <w:t xml:space="preserve">Štech, S. (2013). Když je kurikulární reforma evidence-less. </w:t>
      </w:r>
      <w:r w:rsidRPr="007C0E29">
        <w:rPr>
          <w:i/>
          <w:sz w:val="16"/>
          <w:szCs w:val="16"/>
        </w:rPr>
        <w:t>Pedagogická orientace, 23</w:t>
      </w:r>
      <w:r w:rsidRPr="007C0E29">
        <w:rPr>
          <w:sz w:val="16"/>
          <w:szCs w:val="16"/>
        </w:rPr>
        <w:t>(5), 615–633.</w:t>
      </w:r>
    </w:p>
    <w:p w:rsidR="0015711E" w:rsidRPr="006C1E4A" w:rsidRDefault="0015711E" w:rsidP="006C1E4A">
      <w:pPr>
        <w:ind w:left="426" w:hanging="426"/>
        <w:rPr>
          <w:bCs/>
          <w:iCs/>
          <w:sz w:val="16"/>
          <w:szCs w:val="16"/>
        </w:rPr>
      </w:pPr>
      <w:r w:rsidRPr="006C1E4A">
        <w:rPr>
          <w:bCs/>
          <w:iCs/>
          <w:sz w:val="16"/>
          <w:szCs w:val="16"/>
        </w:rPr>
        <w:t xml:space="preserve">Štech, S. (2014). Potíže s interpretací změn. </w:t>
      </w:r>
      <w:r w:rsidRPr="006C1E4A">
        <w:rPr>
          <w:bCs/>
          <w:i/>
          <w:iCs/>
          <w:sz w:val="16"/>
          <w:szCs w:val="16"/>
        </w:rPr>
        <w:t>Pedagogika, 64</w:t>
      </w:r>
      <w:r w:rsidRPr="006C1E4A">
        <w:rPr>
          <w:bCs/>
          <w:iCs/>
          <w:sz w:val="16"/>
          <w:szCs w:val="16"/>
        </w:rPr>
        <w:t>(1), 1</w:t>
      </w:r>
      <w:r>
        <w:rPr>
          <w:bCs/>
          <w:iCs/>
          <w:sz w:val="16"/>
          <w:szCs w:val="16"/>
        </w:rPr>
        <w:t>–</w:t>
      </w:r>
      <w:r w:rsidRPr="006C1E4A">
        <w:rPr>
          <w:bCs/>
          <w:iCs/>
          <w:sz w:val="16"/>
          <w:szCs w:val="16"/>
        </w:rPr>
        <w:t>4.</w:t>
      </w:r>
    </w:p>
    <w:p w:rsidR="0015711E" w:rsidRPr="005A4315" w:rsidRDefault="0015711E" w:rsidP="005A4315">
      <w:pPr>
        <w:ind w:left="426" w:hanging="426"/>
        <w:rPr>
          <w:bCs/>
          <w:iCs/>
          <w:sz w:val="16"/>
          <w:szCs w:val="16"/>
        </w:rPr>
      </w:pPr>
      <w:r w:rsidRPr="005A4315">
        <w:rPr>
          <w:bCs/>
          <w:iCs/>
          <w:sz w:val="16"/>
          <w:szCs w:val="16"/>
        </w:rPr>
        <w:t xml:space="preserve">Švaříček, R. (2011). Funkce učitelských otázek ve výukové komunikaci na druhém stupni základní školy. </w:t>
      </w:r>
      <w:r w:rsidRPr="005A4315">
        <w:rPr>
          <w:bCs/>
          <w:i/>
          <w:iCs/>
          <w:sz w:val="16"/>
          <w:szCs w:val="16"/>
        </w:rPr>
        <w:t>Studia paedagogica</w:t>
      </w:r>
      <w:r w:rsidRPr="005A4315">
        <w:rPr>
          <w:bCs/>
          <w:iCs/>
          <w:sz w:val="16"/>
          <w:szCs w:val="16"/>
        </w:rPr>
        <w:t xml:space="preserve">, </w:t>
      </w:r>
      <w:r w:rsidRPr="005A4315">
        <w:rPr>
          <w:bCs/>
          <w:i/>
          <w:iCs/>
          <w:sz w:val="16"/>
          <w:szCs w:val="16"/>
        </w:rPr>
        <w:t>16</w:t>
      </w:r>
      <w:r w:rsidRPr="005A4315">
        <w:rPr>
          <w:bCs/>
          <w:iCs/>
          <w:sz w:val="16"/>
          <w:szCs w:val="16"/>
        </w:rPr>
        <w:t>(1), 9</w:t>
      </w:r>
      <w:r>
        <w:rPr>
          <w:bCs/>
          <w:iCs/>
          <w:sz w:val="16"/>
          <w:szCs w:val="16"/>
        </w:rPr>
        <w:t>–</w:t>
      </w:r>
      <w:r w:rsidRPr="005A4315">
        <w:rPr>
          <w:bCs/>
          <w:iCs/>
          <w:sz w:val="16"/>
          <w:szCs w:val="16"/>
        </w:rPr>
        <w:t>46.</w:t>
      </w:r>
    </w:p>
    <w:p w:rsidR="0015711E" w:rsidRPr="00306C47" w:rsidRDefault="0015711E" w:rsidP="00306C47">
      <w:pPr>
        <w:ind w:left="426" w:hanging="426"/>
        <w:rPr>
          <w:sz w:val="16"/>
          <w:szCs w:val="16"/>
        </w:rPr>
      </w:pPr>
      <w:r w:rsidRPr="00A32765">
        <w:rPr>
          <w:sz w:val="16"/>
          <w:szCs w:val="16"/>
        </w:rPr>
        <w:t>Švec, V. (1979/1980). Umíme žákům z</w:t>
      </w:r>
      <w:r>
        <w:rPr>
          <w:sz w:val="16"/>
          <w:szCs w:val="16"/>
        </w:rPr>
        <w:t>a</w:t>
      </w:r>
      <w:r w:rsidRPr="00A32765">
        <w:rPr>
          <w:sz w:val="16"/>
          <w:szCs w:val="16"/>
        </w:rPr>
        <w:t xml:space="preserve">dat úlohu? </w:t>
      </w:r>
      <w:r w:rsidRPr="00A32765">
        <w:rPr>
          <w:i/>
          <w:sz w:val="16"/>
          <w:szCs w:val="16"/>
        </w:rPr>
        <w:t>Přírodní vědy ve škole, 31</w:t>
      </w:r>
      <w:r w:rsidRPr="00A32765">
        <w:rPr>
          <w:sz w:val="16"/>
          <w:szCs w:val="16"/>
        </w:rPr>
        <w:t>(3), 105.</w:t>
      </w:r>
    </w:p>
    <w:p w:rsidR="0015711E" w:rsidRDefault="0015711E" w:rsidP="004F4D8F">
      <w:pPr>
        <w:ind w:left="426" w:hanging="426"/>
        <w:rPr>
          <w:bCs/>
          <w:iCs/>
          <w:sz w:val="16"/>
          <w:szCs w:val="16"/>
        </w:rPr>
      </w:pPr>
      <w:r w:rsidRPr="00306C47">
        <w:rPr>
          <w:bCs/>
          <w:iCs/>
          <w:sz w:val="16"/>
          <w:szCs w:val="16"/>
        </w:rPr>
        <w:t>Švec, V. (1998). </w:t>
      </w:r>
      <w:r w:rsidRPr="00306C47">
        <w:rPr>
          <w:bCs/>
          <w:i/>
          <w:iCs/>
          <w:sz w:val="16"/>
          <w:szCs w:val="16"/>
        </w:rPr>
        <w:t>Klíčové dovednosti ve vyučování a výcviku</w:t>
      </w:r>
      <w:r w:rsidRPr="00306C47">
        <w:rPr>
          <w:bCs/>
          <w:iCs/>
          <w:sz w:val="16"/>
          <w:szCs w:val="16"/>
        </w:rPr>
        <w:t xml:space="preserve">. </w:t>
      </w:r>
      <w:r>
        <w:rPr>
          <w:bCs/>
          <w:iCs/>
          <w:sz w:val="16"/>
          <w:szCs w:val="16"/>
        </w:rPr>
        <w:t xml:space="preserve">Brno: </w:t>
      </w:r>
      <w:r w:rsidRPr="00306C47">
        <w:rPr>
          <w:bCs/>
          <w:iCs/>
          <w:sz w:val="16"/>
          <w:szCs w:val="16"/>
        </w:rPr>
        <w:t>Masarykova univerzita.</w:t>
      </w:r>
    </w:p>
    <w:p w:rsidR="0015711E" w:rsidRPr="004F4D8F" w:rsidRDefault="0015711E" w:rsidP="004F4D8F">
      <w:pPr>
        <w:ind w:left="426" w:hanging="426"/>
        <w:rPr>
          <w:bCs/>
          <w:iCs/>
          <w:sz w:val="16"/>
          <w:szCs w:val="16"/>
        </w:rPr>
      </w:pPr>
      <w:r w:rsidRPr="004F4D8F">
        <w:rPr>
          <w:bCs/>
          <w:iCs/>
          <w:sz w:val="16"/>
          <w:szCs w:val="16"/>
        </w:rPr>
        <w:t xml:space="preserve">Tadaki, M., Salmond, J., Le Heron, R., &amp; Brierley, G. (2012). Nature, culture, and the work of physical geography. </w:t>
      </w:r>
      <w:r w:rsidRPr="004F4D8F">
        <w:rPr>
          <w:bCs/>
          <w:i/>
          <w:iCs/>
          <w:sz w:val="16"/>
          <w:szCs w:val="16"/>
        </w:rPr>
        <w:t>Transactions of the Institute of British Geographers</w:t>
      </w:r>
      <w:r w:rsidRPr="004F4D8F">
        <w:rPr>
          <w:bCs/>
          <w:iCs/>
          <w:sz w:val="16"/>
          <w:szCs w:val="16"/>
        </w:rPr>
        <w:t xml:space="preserve">, </w:t>
      </w:r>
      <w:r w:rsidRPr="004F4D8F">
        <w:rPr>
          <w:bCs/>
          <w:i/>
          <w:iCs/>
          <w:sz w:val="16"/>
          <w:szCs w:val="16"/>
        </w:rPr>
        <w:t>37</w:t>
      </w:r>
      <w:r w:rsidRPr="004F4D8F">
        <w:rPr>
          <w:bCs/>
          <w:iCs/>
          <w:sz w:val="16"/>
          <w:szCs w:val="16"/>
        </w:rPr>
        <w:t>(4), 547</w:t>
      </w:r>
      <w:r>
        <w:rPr>
          <w:bCs/>
          <w:iCs/>
          <w:sz w:val="16"/>
          <w:szCs w:val="16"/>
        </w:rPr>
        <w:t>–</w:t>
      </w:r>
      <w:r w:rsidRPr="004F4D8F">
        <w:rPr>
          <w:bCs/>
          <w:iCs/>
          <w:sz w:val="16"/>
          <w:szCs w:val="16"/>
        </w:rPr>
        <w:t>562.</w:t>
      </w:r>
    </w:p>
    <w:p w:rsidR="0015711E" w:rsidRPr="007C0E29" w:rsidRDefault="0015711E" w:rsidP="007C0E29">
      <w:pPr>
        <w:ind w:left="426" w:hanging="426"/>
        <w:rPr>
          <w:sz w:val="16"/>
          <w:szCs w:val="16"/>
        </w:rPr>
      </w:pPr>
      <w:r w:rsidRPr="007C0E29">
        <w:rPr>
          <w:sz w:val="16"/>
          <w:szCs w:val="16"/>
        </w:rPr>
        <w:t xml:space="preserve">Takayama, K. (2013). OECD, ‘Key competencies’ and the new challenges of educational inequality. </w:t>
      </w:r>
      <w:r w:rsidRPr="007C0E29">
        <w:rPr>
          <w:i/>
          <w:sz w:val="16"/>
          <w:szCs w:val="16"/>
        </w:rPr>
        <w:t>Journal of Curriculum Studies, 45</w:t>
      </w:r>
      <w:r w:rsidRPr="007C0E29">
        <w:rPr>
          <w:sz w:val="16"/>
          <w:szCs w:val="16"/>
        </w:rPr>
        <w:t>(1), 67–80.</w:t>
      </w:r>
    </w:p>
    <w:p w:rsidR="0015711E" w:rsidRDefault="0015711E" w:rsidP="006B2AFF">
      <w:pPr>
        <w:ind w:left="426" w:hanging="426"/>
        <w:rPr>
          <w:sz w:val="16"/>
          <w:szCs w:val="16"/>
        </w:rPr>
      </w:pPr>
      <w:r w:rsidRPr="00B53212">
        <w:rPr>
          <w:sz w:val="16"/>
          <w:szCs w:val="16"/>
        </w:rPr>
        <w:t>Taylor, D. S. (1988). The meaning and use of the term ‘competence’in linguistics and applied linguistics. </w:t>
      </w:r>
      <w:r w:rsidRPr="00B53212">
        <w:rPr>
          <w:i/>
          <w:iCs/>
          <w:sz w:val="16"/>
          <w:szCs w:val="16"/>
        </w:rPr>
        <w:t xml:space="preserve">Applied </w:t>
      </w:r>
      <w:r>
        <w:rPr>
          <w:i/>
          <w:iCs/>
          <w:sz w:val="16"/>
          <w:szCs w:val="16"/>
        </w:rPr>
        <w:t>L</w:t>
      </w:r>
      <w:r w:rsidRPr="00B53212">
        <w:rPr>
          <w:i/>
          <w:iCs/>
          <w:sz w:val="16"/>
          <w:szCs w:val="16"/>
        </w:rPr>
        <w:t>inguistics</w:t>
      </w:r>
      <w:r w:rsidRPr="00B53212">
        <w:rPr>
          <w:sz w:val="16"/>
          <w:szCs w:val="16"/>
        </w:rPr>
        <w:t>, </w:t>
      </w:r>
      <w:r w:rsidRPr="00B53212">
        <w:rPr>
          <w:i/>
          <w:iCs/>
          <w:sz w:val="16"/>
          <w:szCs w:val="16"/>
        </w:rPr>
        <w:t>9</w:t>
      </w:r>
      <w:r w:rsidRPr="00B53212">
        <w:rPr>
          <w:sz w:val="16"/>
          <w:szCs w:val="16"/>
        </w:rPr>
        <w:t>(2), 148</w:t>
      </w:r>
      <w:r w:rsidRPr="006B2AFF">
        <w:rPr>
          <w:sz w:val="16"/>
          <w:szCs w:val="16"/>
        </w:rPr>
        <w:t>–</w:t>
      </w:r>
      <w:r w:rsidRPr="00B53212">
        <w:rPr>
          <w:sz w:val="16"/>
          <w:szCs w:val="16"/>
        </w:rPr>
        <w:t>168.</w:t>
      </w:r>
    </w:p>
    <w:p w:rsidR="0015711E" w:rsidRPr="00A32765" w:rsidRDefault="0015711E" w:rsidP="00A32765">
      <w:pPr>
        <w:ind w:left="426" w:hanging="426"/>
        <w:rPr>
          <w:sz w:val="16"/>
          <w:szCs w:val="16"/>
        </w:rPr>
      </w:pPr>
      <w:r w:rsidRPr="00A32765">
        <w:rPr>
          <w:sz w:val="16"/>
          <w:szCs w:val="16"/>
        </w:rPr>
        <w:t xml:space="preserve">Taylor, L. (2008). Key concepts and medium term planning. </w:t>
      </w:r>
      <w:r w:rsidRPr="00A32765">
        <w:rPr>
          <w:i/>
          <w:sz w:val="16"/>
          <w:szCs w:val="16"/>
        </w:rPr>
        <w:t>Teaching Geography, 33</w:t>
      </w:r>
      <w:r w:rsidRPr="00A32765">
        <w:rPr>
          <w:sz w:val="16"/>
          <w:szCs w:val="16"/>
        </w:rPr>
        <w:t xml:space="preserve">(2), 50–54. </w:t>
      </w:r>
    </w:p>
    <w:p w:rsidR="0015711E" w:rsidRPr="0075481B" w:rsidRDefault="0015711E" w:rsidP="0075481B">
      <w:pPr>
        <w:ind w:left="426" w:hanging="426"/>
        <w:rPr>
          <w:sz w:val="16"/>
          <w:szCs w:val="16"/>
        </w:rPr>
      </w:pPr>
      <w:r w:rsidRPr="0075481B">
        <w:rPr>
          <w:sz w:val="16"/>
          <w:szCs w:val="16"/>
        </w:rPr>
        <w:t>Terhart, E. (2002). Fremde Schwestern. Zum Verhältnis von Allgemeiner Didaktik</w:t>
      </w:r>
      <w:r>
        <w:rPr>
          <w:sz w:val="16"/>
          <w:szCs w:val="16"/>
        </w:rPr>
        <w:t xml:space="preserve"> </w:t>
      </w:r>
      <w:r w:rsidRPr="0075481B">
        <w:rPr>
          <w:sz w:val="16"/>
          <w:szCs w:val="16"/>
        </w:rPr>
        <w:t xml:space="preserve">und empirischer Lehr-Lern-Forschung. </w:t>
      </w:r>
      <w:r w:rsidRPr="0075481B">
        <w:rPr>
          <w:i/>
          <w:sz w:val="16"/>
          <w:szCs w:val="16"/>
        </w:rPr>
        <w:t>Zeitschrift für pädagogische Psychologie, 16</w:t>
      </w:r>
      <w:r w:rsidRPr="0075481B">
        <w:rPr>
          <w:sz w:val="16"/>
          <w:szCs w:val="16"/>
        </w:rPr>
        <w:t>(2), 77–86.</w:t>
      </w:r>
    </w:p>
    <w:p w:rsidR="0015711E" w:rsidRPr="006E57E0" w:rsidRDefault="0015711E" w:rsidP="006E57E0">
      <w:pPr>
        <w:ind w:left="426" w:hanging="426"/>
        <w:rPr>
          <w:bCs/>
          <w:sz w:val="16"/>
          <w:szCs w:val="16"/>
        </w:rPr>
      </w:pPr>
      <w:r w:rsidRPr="006E57E0">
        <w:rPr>
          <w:bCs/>
          <w:sz w:val="16"/>
          <w:szCs w:val="16"/>
        </w:rPr>
        <w:t>Thomas, R. E. (1997). Problem</w:t>
      </w:r>
      <w:r w:rsidRPr="006E57E0">
        <w:rPr>
          <w:rFonts w:ascii="Cambria Math" w:hAnsi="Cambria Math" w:cs="Cambria Math"/>
          <w:bCs/>
          <w:sz w:val="16"/>
          <w:szCs w:val="16"/>
        </w:rPr>
        <w:t>‐</w:t>
      </w:r>
      <w:r w:rsidRPr="006E57E0">
        <w:rPr>
          <w:bCs/>
          <w:sz w:val="16"/>
          <w:szCs w:val="16"/>
        </w:rPr>
        <w:t xml:space="preserve">based learning: </w:t>
      </w:r>
      <w:r>
        <w:rPr>
          <w:bCs/>
          <w:sz w:val="16"/>
          <w:szCs w:val="16"/>
        </w:rPr>
        <w:t>M</w:t>
      </w:r>
      <w:r w:rsidRPr="006E57E0">
        <w:rPr>
          <w:bCs/>
          <w:sz w:val="16"/>
          <w:szCs w:val="16"/>
        </w:rPr>
        <w:t xml:space="preserve">easurable outcomes. </w:t>
      </w:r>
      <w:r w:rsidRPr="000B0DDA">
        <w:rPr>
          <w:bCs/>
          <w:i/>
          <w:sz w:val="16"/>
          <w:szCs w:val="16"/>
        </w:rPr>
        <w:t>Medical Education, 31</w:t>
      </w:r>
      <w:r w:rsidRPr="006E57E0">
        <w:rPr>
          <w:bCs/>
          <w:sz w:val="16"/>
          <w:szCs w:val="16"/>
        </w:rPr>
        <w:t>(5), 320</w:t>
      </w:r>
      <w:r>
        <w:rPr>
          <w:bCs/>
          <w:sz w:val="16"/>
          <w:szCs w:val="16"/>
        </w:rPr>
        <w:t>–</w:t>
      </w:r>
      <w:r w:rsidRPr="006E57E0">
        <w:rPr>
          <w:bCs/>
          <w:sz w:val="16"/>
          <w:szCs w:val="16"/>
        </w:rPr>
        <w:t>329.</w:t>
      </w:r>
      <w:r w:rsidRPr="006E57E0">
        <w:rPr>
          <w:bCs/>
          <w:sz w:val="16"/>
          <w:szCs w:val="16"/>
        </w:rPr>
        <w:tab/>
      </w:r>
    </w:p>
    <w:p w:rsidR="0015711E" w:rsidRDefault="0015711E" w:rsidP="005B2183">
      <w:pPr>
        <w:ind w:left="426" w:hanging="426"/>
        <w:rPr>
          <w:bCs/>
          <w:iCs/>
          <w:sz w:val="16"/>
          <w:szCs w:val="16"/>
        </w:rPr>
      </w:pPr>
      <w:r w:rsidRPr="000B4745">
        <w:rPr>
          <w:bCs/>
          <w:iCs/>
          <w:sz w:val="16"/>
          <w:szCs w:val="16"/>
        </w:rPr>
        <w:t>Thonhauser, J. (2008). Warum (neues) Interesse am Thema 'Aufgaben'. In J. Thonhauser (Ed.), A</w:t>
      </w:r>
      <w:r w:rsidRPr="000B4745">
        <w:rPr>
          <w:bCs/>
          <w:i/>
          <w:iCs/>
          <w:sz w:val="16"/>
          <w:szCs w:val="16"/>
        </w:rPr>
        <w:t xml:space="preserve">ufgaben als Katalysatoren von Lernprozessen </w:t>
      </w:r>
      <w:r w:rsidRPr="000B4745">
        <w:rPr>
          <w:bCs/>
          <w:iCs/>
          <w:sz w:val="16"/>
          <w:szCs w:val="16"/>
        </w:rPr>
        <w:t>(s. 13–27). Münster: Waxmann.</w:t>
      </w:r>
    </w:p>
    <w:p w:rsidR="0015711E" w:rsidRPr="00C1088A" w:rsidRDefault="0015711E" w:rsidP="00296494">
      <w:pPr>
        <w:ind w:left="426" w:hanging="426"/>
        <w:rPr>
          <w:bCs/>
          <w:iCs/>
          <w:sz w:val="16"/>
          <w:szCs w:val="16"/>
        </w:rPr>
      </w:pPr>
      <w:r w:rsidRPr="00C1088A">
        <w:rPr>
          <w:bCs/>
          <w:iCs/>
          <w:sz w:val="16"/>
          <w:szCs w:val="16"/>
        </w:rPr>
        <w:t xml:space="preserve">Tinsley, H. E., &amp; Weiss, D. J. (2000). Interrater reliability and agreement. In H. E. Tinsley &amp; S. D. Brown (Eds.), </w:t>
      </w:r>
      <w:r w:rsidRPr="00C1088A">
        <w:rPr>
          <w:bCs/>
          <w:i/>
          <w:iCs/>
          <w:sz w:val="16"/>
          <w:szCs w:val="16"/>
        </w:rPr>
        <w:t>Handbook of applied multivariate statistics and mathematical modeling</w:t>
      </w:r>
      <w:r w:rsidRPr="00C1088A">
        <w:rPr>
          <w:bCs/>
          <w:iCs/>
          <w:sz w:val="16"/>
          <w:szCs w:val="16"/>
        </w:rPr>
        <w:t xml:space="preserve"> (s. 95</w:t>
      </w:r>
      <w:r>
        <w:rPr>
          <w:bCs/>
          <w:iCs/>
          <w:sz w:val="16"/>
          <w:szCs w:val="16"/>
        </w:rPr>
        <w:t>–</w:t>
      </w:r>
      <w:r w:rsidRPr="00C1088A">
        <w:rPr>
          <w:bCs/>
          <w:iCs/>
          <w:sz w:val="16"/>
          <w:szCs w:val="16"/>
        </w:rPr>
        <w:t>124). San Diego: Academic Press.</w:t>
      </w:r>
    </w:p>
    <w:p w:rsidR="0015711E" w:rsidRDefault="0015711E" w:rsidP="007C0E29">
      <w:pPr>
        <w:ind w:left="426" w:hanging="426"/>
        <w:rPr>
          <w:bCs/>
          <w:sz w:val="16"/>
          <w:szCs w:val="16"/>
        </w:rPr>
      </w:pPr>
      <w:r w:rsidRPr="007C0E29">
        <w:rPr>
          <w:bCs/>
          <w:sz w:val="16"/>
          <w:szCs w:val="16"/>
        </w:rPr>
        <w:t xml:space="preserve">Tollingerová, D. (1973). Předmluva k slovenskému vydání. In A. M. Maťuškin (1973). </w:t>
      </w:r>
      <w:r w:rsidRPr="007C0E29">
        <w:rPr>
          <w:bCs/>
          <w:i/>
          <w:sz w:val="16"/>
          <w:szCs w:val="16"/>
        </w:rPr>
        <w:t xml:space="preserve">Problémové situácie v myslení a vyučovaní </w:t>
      </w:r>
      <w:r w:rsidRPr="007C0E29">
        <w:rPr>
          <w:bCs/>
          <w:sz w:val="16"/>
          <w:szCs w:val="16"/>
        </w:rPr>
        <w:t>(s. 6–13). Bratislava: SPN.</w:t>
      </w:r>
    </w:p>
    <w:p w:rsidR="0015711E" w:rsidRPr="00D83F21" w:rsidRDefault="0015711E" w:rsidP="007C0E29">
      <w:pPr>
        <w:ind w:left="426" w:hanging="426"/>
        <w:rPr>
          <w:bCs/>
          <w:sz w:val="16"/>
          <w:szCs w:val="16"/>
        </w:rPr>
      </w:pPr>
      <w:r w:rsidRPr="00D83F21">
        <w:rPr>
          <w:bCs/>
          <w:sz w:val="16"/>
          <w:szCs w:val="16"/>
        </w:rPr>
        <w:t xml:space="preserve">Tollingerová, D. </w:t>
      </w:r>
      <w:r>
        <w:rPr>
          <w:bCs/>
          <w:sz w:val="16"/>
          <w:szCs w:val="16"/>
        </w:rPr>
        <w:t xml:space="preserve">(1987). </w:t>
      </w:r>
      <w:r w:rsidRPr="00D83F21">
        <w:rPr>
          <w:bCs/>
          <w:i/>
          <w:iCs/>
          <w:sz w:val="16"/>
          <w:szCs w:val="16"/>
        </w:rPr>
        <w:t>K teorii učebních činností.</w:t>
      </w:r>
      <w:r w:rsidRPr="00D83F21">
        <w:rPr>
          <w:bCs/>
          <w:sz w:val="16"/>
          <w:szCs w:val="16"/>
        </w:rPr>
        <w:t xml:space="preserve"> Praha: SPN</w:t>
      </w:r>
      <w:r>
        <w:rPr>
          <w:bCs/>
          <w:sz w:val="16"/>
          <w:szCs w:val="16"/>
        </w:rPr>
        <w:t>.</w:t>
      </w:r>
      <w:r w:rsidRPr="00D83F21">
        <w:rPr>
          <w:bCs/>
          <w:sz w:val="16"/>
          <w:szCs w:val="16"/>
        </w:rPr>
        <w:t xml:space="preserve"> </w:t>
      </w:r>
    </w:p>
    <w:p w:rsidR="0015711E" w:rsidRPr="007C0E29" w:rsidRDefault="0015711E" w:rsidP="00D83F21">
      <w:pPr>
        <w:ind w:left="426" w:hanging="426"/>
        <w:rPr>
          <w:bCs/>
          <w:sz w:val="16"/>
          <w:szCs w:val="16"/>
        </w:rPr>
      </w:pPr>
      <w:r w:rsidRPr="00D83F21">
        <w:rPr>
          <w:bCs/>
          <w:sz w:val="16"/>
          <w:szCs w:val="16"/>
        </w:rPr>
        <w:t xml:space="preserve">Tollingerová, D., Knězů, V., </w:t>
      </w:r>
      <w:r>
        <w:rPr>
          <w:bCs/>
          <w:sz w:val="16"/>
          <w:szCs w:val="16"/>
        </w:rPr>
        <w:t xml:space="preserve">&amp; </w:t>
      </w:r>
      <w:r w:rsidRPr="00D83F21">
        <w:rPr>
          <w:bCs/>
          <w:sz w:val="16"/>
          <w:szCs w:val="16"/>
        </w:rPr>
        <w:t xml:space="preserve">Kulič, V. </w:t>
      </w:r>
      <w:r>
        <w:rPr>
          <w:bCs/>
          <w:sz w:val="16"/>
          <w:szCs w:val="16"/>
        </w:rPr>
        <w:t xml:space="preserve">(1966). </w:t>
      </w:r>
      <w:r w:rsidRPr="00D83F21">
        <w:rPr>
          <w:bCs/>
          <w:i/>
          <w:sz w:val="16"/>
          <w:szCs w:val="16"/>
        </w:rPr>
        <w:t>Programované učení.</w:t>
      </w:r>
      <w:r>
        <w:rPr>
          <w:bCs/>
          <w:sz w:val="16"/>
          <w:szCs w:val="16"/>
        </w:rPr>
        <w:t xml:space="preserve"> Praha</w:t>
      </w:r>
      <w:r w:rsidRPr="00D83F21">
        <w:rPr>
          <w:bCs/>
          <w:sz w:val="16"/>
          <w:szCs w:val="16"/>
        </w:rPr>
        <w:t>: SPN</w:t>
      </w:r>
      <w:r>
        <w:rPr>
          <w:bCs/>
          <w:sz w:val="16"/>
          <w:szCs w:val="16"/>
        </w:rPr>
        <w:t>.</w:t>
      </w:r>
    </w:p>
    <w:p w:rsidR="0015711E" w:rsidRDefault="0015711E" w:rsidP="00475FF3">
      <w:pPr>
        <w:ind w:left="426" w:hanging="426"/>
        <w:rPr>
          <w:sz w:val="16"/>
          <w:szCs w:val="16"/>
        </w:rPr>
      </w:pPr>
      <w:r w:rsidRPr="00475FF3">
        <w:rPr>
          <w:sz w:val="16"/>
          <w:szCs w:val="16"/>
        </w:rPr>
        <w:t xml:space="preserve">Tondl, L. (2011). O problémech a cílech řízení znalostí. </w:t>
      </w:r>
      <w:r w:rsidRPr="00402176">
        <w:rPr>
          <w:i/>
          <w:sz w:val="16"/>
          <w:szCs w:val="16"/>
        </w:rPr>
        <w:t>Teorie vědy, 33</w:t>
      </w:r>
      <w:r w:rsidRPr="00475FF3">
        <w:rPr>
          <w:sz w:val="16"/>
          <w:szCs w:val="16"/>
        </w:rPr>
        <w:t>(3), 469</w:t>
      </w:r>
      <w:r>
        <w:rPr>
          <w:sz w:val="16"/>
          <w:szCs w:val="16"/>
        </w:rPr>
        <w:t>–</w:t>
      </w:r>
      <w:r w:rsidRPr="00475FF3">
        <w:rPr>
          <w:sz w:val="16"/>
          <w:szCs w:val="16"/>
        </w:rPr>
        <w:t xml:space="preserve">480. </w:t>
      </w:r>
    </w:p>
    <w:p w:rsidR="0015711E" w:rsidRPr="009407C8" w:rsidRDefault="0015711E" w:rsidP="009407C8">
      <w:pPr>
        <w:ind w:left="426" w:hanging="426"/>
        <w:rPr>
          <w:bCs/>
          <w:sz w:val="16"/>
          <w:szCs w:val="16"/>
        </w:rPr>
      </w:pPr>
      <w:r w:rsidRPr="009407C8">
        <w:rPr>
          <w:bCs/>
          <w:sz w:val="16"/>
          <w:szCs w:val="16"/>
        </w:rPr>
        <w:t xml:space="preserve">Trier, U. P. (2003). Twelve countries contributing to DeSeCo: A summary report. In D. S. Rychen, L. H. Salganik, &amp; M. E. Mclaughlin (Eds.), </w:t>
      </w:r>
      <w:r w:rsidRPr="009407C8">
        <w:rPr>
          <w:bCs/>
          <w:i/>
          <w:sz w:val="16"/>
          <w:szCs w:val="16"/>
        </w:rPr>
        <w:t>Selected contributions to the 2nd DeSeCo symposium.</w:t>
      </w:r>
      <w:r>
        <w:rPr>
          <w:bCs/>
          <w:sz w:val="16"/>
          <w:szCs w:val="16"/>
        </w:rPr>
        <w:t xml:space="preserve"> Neuchâtel</w:t>
      </w:r>
      <w:r w:rsidRPr="009407C8">
        <w:rPr>
          <w:bCs/>
          <w:sz w:val="16"/>
          <w:szCs w:val="16"/>
        </w:rPr>
        <w:t xml:space="preserve">: Swiss Federal Statistical Office. </w:t>
      </w:r>
    </w:p>
    <w:p w:rsidR="00533004" w:rsidRDefault="00533004" w:rsidP="005434D2">
      <w:pPr>
        <w:ind w:left="426" w:hanging="426"/>
        <w:rPr>
          <w:bCs/>
          <w:sz w:val="16"/>
          <w:szCs w:val="16"/>
        </w:rPr>
      </w:pPr>
      <w:r>
        <w:rPr>
          <w:bCs/>
          <w:sz w:val="16"/>
          <w:szCs w:val="16"/>
        </w:rPr>
        <w:t xml:space="preserve">Tůma, F. (2014). </w:t>
      </w:r>
      <w:r w:rsidRPr="00533004">
        <w:rPr>
          <w:bCs/>
          <w:sz w:val="16"/>
          <w:szCs w:val="16"/>
        </w:rPr>
        <w:t>Dialogismus a výzkum interakce ve třídě: přehledová studie (1990–2012)</w:t>
      </w:r>
      <w:r>
        <w:rPr>
          <w:bCs/>
          <w:sz w:val="16"/>
          <w:szCs w:val="16"/>
        </w:rPr>
        <w:t xml:space="preserve">. </w:t>
      </w:r>
      <w:r w:rsidRPr="008A30C5">
        <w:rPr>
          <w:bCs/>
          <w:i/>
          <w:sz w:val="16"/>
          <w:szCs w:val="16"/>
        </w:rPr>
        <w:t xml:space="preserve">Pedagogika, </w:t>
      </w:r>
      <w:r w:rsidR="008A30C5" w:rsidRPr="008A30C5">
        <w:rPr>
          <w:bCs/>
          <w:i/>
          <w:sz w:val="16"/>
          <w:szCs w:val="16"/>
        </w:rPr>
        <w:t>64</w:t>
      </w:r>
      <w:r w:rsidR="008A30C5">
        <w:rPr>
          <w:bCs/>
          <w:sz w:val="16"/>
          <w:szCs w:val="16"/>
        </w:rPr>
        <w:t xml:space="preserve">(2), </w:t>
      </w:r>
      <w:r w:rsidR="008A30C5" w:rsidRPr="008A30C5">
        <w:rPr>
          <w:bCs/>
          <w:sz w:val="16"/>
          <w:szCs w:val="16"/>
        </w:rPr>
        <w:t>177</w:t>
      </w:r>
      <w:r w:rsidR="008A30C5">
        <w:rPr>
          <w:bCs/>
          <w:sz w:val="16"/>
          <w:szCs w:val="16"/>
        </w:rPr>
        <w:t>–</w:t>
      </w:r>
      <w:r w:rsidR="008A30C5" w:rsidRPr="008A30C5">
        <w:rPr>
          <w:bCs/>
          <w:sz w:val="16"/>
          <w:szCs w:val="16"/>
        </w:rPr>
        <w:t>199</w:t>
      </w:r>
      <w:r w:rsidR="008A30C5">
        <w:rPr>
          <w:bCs/>
          <w:sz w:val="16"/>
          <w:szCs w:val="16"/>
        </w:rPr>
        <w:t>.</w:t>
      </w:r>
    </w:p>
    <w:p w:rsidR="0015711E" w:rsidRPr="005434D2" w:rsidRDefault="0015711E" w:rsidP="005434D2">
      <w:pPr>
        <w:ind w:left="426" w:hanging="426"/>
        <w:rPr>
          <w:bCs/>
          <w:sz w:val="16"/>
          <w:szCs w:val="16"/>
        </w:rPr>
      </w:pPr>
      <w:r w:rsidRPr="005434D2">
        <w:rPr>
          <w:bCs/>
          <w:sz w:val="16"/>
          <w:szCs w:val="16"/>
        </w:rPr>
        <w:t xml:space="preserve">Turek, I. (1982). </w:t>
      </w:r>
      <w:r w:rsidRPr="005434D2">
        <w:rPr>
          <w:bCs/>
          <w:i/>
          <w:sz w:val="16"/>
          <w:szCs w:val="16"/>
        </w:rPr>
        <w:t>O problémovom vyučovaní.</w:t>
      </w:r>
      <w:r w:rsidRPr="005434D2">
        <w:rPr>
          <w:bCs/>
          <w:sz w:val="16"/>
          <w:szCs w:val="16"/>
        </w:rPr>
        <w:t xml:space="preserve"> Bratislava: SPN.</w:t>
      </w:r>
    </w:p>
    <w:p w:rsidR="0015711E" w:rsidRPr="00812D01" w:rsidRDefault="0015711E" w:rsidP="00812D01">
      <w:pPr>
        <w:ind w:left="426" w:hanging="426"/>
        <w:rPr>
          <w:bCs/>
          <w:iCs/>
          <w:sz w:val="16"/>
          <w:szCs w:val="16"/>
        </w:rPr>
      </w:pPr>
      <w:r w:rsidRPr="00812D01">
        <w:rPr>
          <w:bCs/>
          <w:iCs/>
          <w:sz w:val="16"/>
          <w:szCs w:val="16"/>
        </w:rPr>
        <w:t xml:space="preserve">Uebersachs, J. (2010). </w:t>
      </w:r>
      <w:r w:rsidRPr="00812D01">
        <w:rPr>
          <w:bCs/>
          <w:i/>
          <w:iCs/>
          <w:sz w:val="16"/>
          <w:szCs w:val="16"/>
        </w:rPr>
        <w:t xml:space="preserve">Statistical methods for rater and diagnostic agreement. </w:t>
      </w:r>
      <w:r w:rsidRPr="00812D01">
        <w:rPr>
          <w:bCs/>
          <w:iCs/>
          <w:sz w:val="16"/>
          <w:szCs w:val="16"/>
        </w:rPr>
        <w:t>Dostupné z http://www.john-uebersax.com/stat/agree.htm</w:t>
      </w:r>
    </w:p>
    <w:p w:rsidR="0015711E" w:rsidRPr="00A32765" w:rsidRDefault="0015711E" w:rsidP="00A32765">
      <w:pPr>
        <w:ind w:left="426" w:hanging="426"/>
        <w:rPr>
          <w:sz w:val="16"/>
          <w:szCs w:val="16"/>
        </w:rPr>
      </w:pPr>
      <w:r w:rsidRPr="00A32765">
        <w:rPr>
          <w:sz w:val="16"/>
          <w:szCs w:val="16"/>
        </w:rPr>
        <w:t xml:space="preserve">Uhlenwinkel, A. (2013). Geographical Concepts als Strukturierungshilfe für den Geographieunterricht. </w:t>
      </w:r>
      <w:r w:rsidRPr="00A32765">
        <w:rPr>
          <w:i/>
          <w:sz w:val="16"/>
          <w:szCs w:val="16"/>
        </w:rPr>
        <w:t>Geographie und ihre Didaktik, 41</w:t>
      </w:r>
      <w:r w:rsidRPr="00A32765">
        <w:rPr>
          <w:sz w:val="16"/>
          <w:szCs w:val="16"/>
        </w:rPr>
        <w:t>(1), 18–43.</w:t>
      </w:r>
    </w:p>
    <w:p w:rsidR="0015711E" w:rsidRPr="007C0E29" w:rsidRDefault="0015711E" w:rsidP="007C0E29">
      <w:pPr>
        <w:ind w:left="426" w:hanging="426"/>
        <w:rPr>
          <w:sz w:val="16"/>
          <w:szCs w:val="16"/>
        </w:rPr>
      </w:pPr>
      <w:r w:rsidRPr="007C0E29">
        <w:rPr>
          <w:sz w:val="16"/>
          <w:szCs w:val="16"/>
        </w:rPr>
        <w:t xml:space="preserve">Ullrich, C. (2005). </w:t>
      </w:r>
      <w:r w:rsidRPr="007C0E29">
        <w:rPr>
          <w:i/>
          <w:sz w:val="16"/>
          <w:szCs w:val="16"/>
        </w:rPr>
        <w:t>Erwerb von Problemlösefähigkeit mit Hilfe von Lernumgebungen: Konzeption und Implementierung eines Frameworks.</w:t>
      </w:r>
      <w:r w:rsidRPr="007C0E29">
        <w:rPr>
          <w:sz w:val="16"/>
          <w:szCs w:val="16"/>
        </w:rPr>
        <w:t xml:space="preserve"> Wiesbaden: Deutscher Universitäts-Verlag.</w:t>
      </w:r>
    </w:p>
    <w:p w:rsidR="0015711E" w:rsidRPr="005C45D2" w:rsidRDefault="0015711E" w:rsidP="005C45D2">
      <w:pPr>
        <w:ind w:left="426" w:hanging="426"/>
        <w:rPr>
          <w:bCs/>
          <w:iCs/>
          <w:sz w:val="16"/>
          <w:szCs w:val="16"/>
        </w:rPr>
      </w:pPr>
      <w:r w:rsidRPr="005C45D2">
        <w:rPr>
          <w:bCs/>
          <w:iCs/>
          <w:sz w:val="16"/>
          <w:szCs w:val="16"/>
        </w:rPr>
        <w:t xml:space="preserve">Uphues, R. (2010). Gute Theorie ist praktisch. Kompetenzorientiert unterrichten im Fach Geographie. </w:t>
      </w:r>
      <w:r w:rsidRPr="009F6557">
        <w:rPr>
          <w:bCs/>
          <w:i/>
          <w:iCs/>
          <w:sz w:val="16"/>
          <w:szCs w:val="16"/>
        </w:rPr>
        <w:t>Terrasse.</w:t>
      </w:r>
      <w:r>
        <w:rPr>
          <w:bCs/>
          <w:iCs/>
          <w:sz w:val="16"/>
          <w:szCs w:val="16"/>
        </w:rPr>
        <w:t xml:space="preserve"> </w:t>
      </w:r>
      <w:r w:rsidRPr="005C45D2">
        <w:rPr>
          <w:bCs/>
          <w:i/>
          <w:iCs/>
          <w:sz w:val="16"/>
          <w:szCs w:val="16"/>
        </w:rPr>
        <w:t>Klett-Magazin Geographie</w:t>
      </w:r>
      <w:r w:rsidRPr="005C45D2">
        <w:rPr>
          <w:bCs/>
          <w:iCs/>
          <w:sz w:val="16"/>
          <w:szCs w:val="16"/>
        </w:rPr>
        <w:t xml:space="preserve">, </w:t>
      </w:r>
      <w:r w:rsidRPr="009F6557">
        <w:rPr>
          <w:bCs/>
          <w:i/>
          <w:iCs/>
          <w:sz w:val="16"/>
          <w:szCs w:val="16"/>
        </w:rPr>
        <w:t>5</w:t>
      </w:r>
      <w:r>
        <w:rPr>
          <w:bCs/>
          <w:iCs/>
          <w:sz w:val="16"/>
          <w:szCs w:val="16"/>
        </w:rPr>
        <w:t>(2)</w:t>
      </w:r>
      <w:r w:rsidRPr="005C45D2">
        <w:rPr>
          <w:bCs/>
          <w:iCs/>
          <w:sz w:val="16"/>
          <w:szCs w:val="16"/>
        </w:rPr>
        <w:t>, 8</w:t>
      </w:r>
      <w:r>
        <w:rPr>
          <w:bCs/>
          <w:iCs/>
          <w:sz w:val="16"/>
          <w:szCs w:val="16"/>
        </w:rPr>
        <w:t>–</w:t>
      </w:r>
      <w:r w:rsidRPr="005C45D2">
        <w:rPr>
          <w:bCs/>
          <w:iCs/>
          <w:sz w:val="16"/>
          <w:szCs w:val="16"/>
        </w:rPr>
        <w:t>12.</w:t>
      </w:r>
    </w:p>
    <w:p w:rsidR="0015711E" w:rsidRDefault="0015711E" w:rsidP="00EA1E62">
      <w:pPr>
        <w:ind w:left="426" w:hanging="426"/>
        <w:rPr>
          <w:sz w:val="16"/>
          <w:szCs w:val="16"/>
        </w:rPr>
      </w:pPr>
      <w:r w:rsidRPr="007E13EF">
        <w:rPr>
          <w:sz w:val="16"/>
          <w:szCs w:val="16"/>
        </w:rPr>
        <w:t xml:space="preserve">Urbánek, T., Denglerová, D., &amp; Širůček, J. (2011). </w:t>
      </w:r>
      <w:r w:rsidRPr="00651015">
        <w:rPr>
          <w:i/>
          <w:sz w:val="16"/>
          <w:szCs w:val="16"/>
        </w:rPr>
        <w:t>Psychometrika: měření v psychologii</w:t>
      </w:r>
      <w:r w:rsidRPr="007E13EF">
        <w:rPr>
          <w:sz w:val="16"/>
          <w:szCs w:val="16"/>
        </w:rPr>
        <w:t>. Praha: Portál</w:t>
      </w:r>
    </w:p>
    <w:p w:rsidR="0015711E" w:rsidRPr="00FB7088" w:rsidRDefault="0015711E" w:rsidP="00FB7088">
      <w:pPr>
        <w:ind w:left="426" w:hanging="426"/>
        <w:rPr>
          <w:bCs/>
          <w:sz w:val="16"/>
          <w:szCs w:val="16"/>
        </w:rPr>
      </w:pPr>
      <w:r w:rsidRPr="00FB7088">
        <w:rPr>
          <w:bCs/>
          <w:sz w:val="16"/>
          <w:szCs w:val="16"/>
        </w:rPr>
        <w:t xml:space="preserve">Vaculová, I., Trna, J., &amp; Janík, T. (2008). Učební úlohy ve výuce fyziky na 2. stupni základní školy: vybrané výsledky CPV videostudie fyziky. </w:t>
      </w:r>
      <w:r w:rsidRPr="00FB7088">
        <w:rPr>
          <w:bCs/>
          <w:i/>
          <w:sz w:val="16"/>
          <w:szCs w:val="16"/>
        </w:rPr>
        <w:t>Pedagogická orientace</w:t>
      </w:r>
      <w:r w:rsidRPr="00FB7088">
        <w:rPr>
          <w:bCs/>
          <w:sz w:val="16"/>
          <w:szCs w:val="16"/>
        </w:rPr>
        <w:t xml:space="preserve">, </w:t>
      </w:r>
      <w:r w:rsidRPr="00B578FC">
        <w:rPr>
          <w:bCs/>
          <w:i/>
          <w:sz w:val="16"/>
          <w:szCs w:val="16"/>
        </w:rPr>
        <w:t>18</w:t>
      </w:r>
      <w:r w:rsidRPr="00FB7088">
        <w:rPr>
          <w:bCs/>
          <w:sz w:val="16"/>
          <w:szCs w:val="16"/>
        </w:rPr>
        <w:t xml:space="preserve">(4), 35–36. </w:t>
      </w:r>
    </w:p>
    <w:p w:rsidR="0015711E" w:rsidRDefault="0015711E" w:rsidP="00FA3441">
      <w:pPr>
        <w:ind w:left="426" w:hanging="426"/>
        <w:rPr>
          <w:bCs/>
          <w:iCs/>
          <w:sz w:val="16"/>
          <w:szCs w:val="16"/>
        </w:rPr>
      </w:pPr>
      <w:r w:rsidRPr="00402C6A">
        <w:rPr>
          <w:bCs/>
          <w:iCs/>
          <w:sz w:val="16"/>
          <w:szCs w:val="16"/>
        </w:rPr>
        <w:t xml:space="preserve">Valverde, G. A., Bianchi, L. J., Wolfe, R. G., Schmidt, W. H., &amp; Houang, R. T. (2002). </w:t>
      </w:r>
      <w:r w:rsidRPr="00AA6590">
        <w:rPr>
          <w:bCs/>
          <w:i/>
          <w:iCs/>
          <w:sz w:val="16"/>
          <w:szCs w:val="16"/>
        </w:rPr>
        <w:t>According to the book: Using TIMSS to investigate the translation of policy into practice through the world of textbooks.</w:t>
      </w:r>
      <w:r w:rsidRPr="00402C6A">
        <w:rPr>
          <w:bCs/>
          <w:iCs/>
          <w:sz w:val="16"/>
          <w:szCs w:val="16"/>
        </w:rPr>
        <w:t xml:space="preserve"> Dordrecht: Kluwer.</w:t>
      </w:r>
    </w:p>
    <w:p w:rsidR="0015711E" w:rsidRPr="007C0E29" w:rsidRDefault="0015711E" w:rsidP="007C0E29">
      <w:pPr>
        <w:ind w:left="426" w:hanging="426"/>
        <w:rPr>
          <w:bCs/>
          <w:sz w:val="16"/>
          <w:szCs w:val="16"/>
        </w:rPr>
      </w:pPr>
      <w:r w:rsidRPr="007C0E29">
        <w:rPr>
          <w:bCs/>
          <w:sz w:val="16"/>
          <w:szCs w:val="16"/>
        </w:rPr>
        <w:t xml:space="preserve">Van der Schee, J. (2014). Looking for an international strategy for geography education. </w:t>
      </w:r>
      <w:r w:rsidRPr="007C0E29">
        <w:rPr>
          <w:bCs/>
          <w:i/>
          <w:iCs/>
          <w:sz w:val="16"/>
          <w:szCs w:val="16"/>
        </w:rPr>
        <w:t>J-Reading – Journal of Research and Didactics in Geography</w:t>
      </w:r>
      <w:r w:rsidRPr="007C0E29">
        <w:rPr>
          <w:bCs/>
          <w:i/>
          <w:sz w:val="16"/>
          <w:szCs w:val="16"/>
        </w:rPr>
        <w:t>, 3</w:t>
      </w:r>
      <w:r w:rsidRPr="007C0E29">
        <w:rPr>
          <w:bCs/>
          <w:sz w:val="16"/>
          <w:szCs w:val="16"/>
        </w:rPr>
        <w:t>(1), 9–13.</w:t>
      </w:r>
    </w:p>
    <w:p w:rsidR="0015711E" w:rsidRPr="00A32765" w:rsidRDefault="0015711E" w:rsidP="00A32765">
      <w:pPr>
        <w:ind w:left="426" w:hanging="426"/>
        <w:rPr>
          <w:sz w:val="16"/>
          <w:szCs w:val="16"/>
        </w:rPr>
      </w:pPr>
      <w:r w:rsidRPr="00A32765">
        <w:rPr>
          <w:sz w:val="16"/>
          <w:szCs w:val="16"/>
        </w:rPr>
        <w:t>Van der Schee, J., Leat, D., &amp; Vankan, L. (2006). Effects of the use of thinking through geography strategies. </w:t>
      </w:r>
      <w:r w:rsidRPr="00A32765">
        <w:rPr>
          <w:i/>
          <w:iCs/>
          <w:sz w:val="16"/>
          <w:szCs w:val="16"/>
        </w:rPr>
        <w:t>International Research in Geographical &amp; Environmental Education</w:t>
      </w:r>
      <w:r w:rsidRPr="00A32765">
        <w:rPr>
          <w:sz w:val="16"/>
          <w:szCs w:val="16"/>
        </w:rPr>
        <w:t>, </w:t>
      </w:r>
      <w:r w:rsidRPr="00A32765">
        <w:rPr>
          <w:i/>
          <w:iCs/>
          <w:sz w:val="16"/>
          <w:szCs w:val="16"/>
        </w:rPr>
        <w:t>15</w:t>
      </w:r>
      <w:r w:rsidRPr="00A32765">
        <w:rPr>
          <w:sz w:val="16"/>
          <w:szCs w:val="16"/>
        </w:rPr>
        <w:t>(2), 124–133.</w:t>
      </w:r>
    </w:p>
    <w:p w:rsidR="0015711E" w:rsidRPr="008D7206" w:rsidRDefault="0015711E" w:rsidP="008D7206">
      <w:pPr>
        <w:ind w:left="426" w:hanging="426"/>
        <w:rPr>
          <w:bCs/>
          <w:iCs/>
          <w:sz w:val="16"/>
          <w:szCs w:val="16"/>
        </w:rPr>
      </w:pPr>
      <w:r w:rsidRPr="008D7206">
        <w:rPr>
          <w:bCs/>
          <w:iCs/>
          <w:sz w:val="16"/>
          <w:szCs w:val="16"/>
        </w:rPr>
        <w:t xml:space="preserve">Van der Schee, J., Vankan, L., </w:t>
      </w:r>
      <w:r>
        <w:rPr>
          <w:bCs/>
          <w:iCs/>
          <w:sz w:val="16"/>
          <w:szCs w:val="16"/>
        </w:rPr>
        <w:t xml:space="preserve">&amp; </w:t>
      </w:r>
      <w:r w:rsidRPr="008D7206">
        <w:rPr>
          <w:bCs/>
          <w:iCs/>
          <w:sz w:val="16"/>
          <w:szCs w:val="16"/>
        </w:rPr>
        <w:t xml:space="preserve">Leat, D. (2003). </w:t>
      </w:r>
      <w:r w:rsidRPr="005D4447">
        <w:rPr>
          <w:bCs/>
          <w:iCs/>
          <w:sz w:val="16"/>
          <w:szCs w:val="16"/>
        </w:rPr>
        <w:t>The international challenge of more thinking through geography.</w:t>
      </w:r>
      <w:r>
        <w:rPr>
          <w:bCs/>
          <w:iCs/>
          <w:sz w:val="16"/>
          <w:szCs w:val="16"/>
        </w:rPr>
        <w:t xml:space="preserve"> </w:t>
      </w:r>
      <w:r w:rsidRPr="008D7206">
        <w:rPr>
          <w:bCs/>
          <w:i/>
          <w:iCs/>
          <w:sz w:val="16"/>
          <w:szCs w:val="16"/>
        </w:rPr>
        <w:t>International Research in Geographical and Environmental Education, 12</w:t>
      </w:r>
      <w:r w:rsidRPr="008D7206">
        <w:rPr>
          <w:bCs/>
          <w:iCs/>
          <w:sz w:val="16"/>
          <w:szCs w:val="16"/>
        </w:rPr>
        <w:t>(4), 330</w:t>
      </w:r>
      <w:r>
        <w:rPr>
          <w:bCs/>
          <w:iCs/>
          <w:sz w:val="16"/>
          <w:szCs w:val="16"/>
        </w:rPr>
        <w:t>–</w:t>
      </w:r>
      <w:r w:rsidRPr="008D7206">
        <w:rPr>
          <w:bCs/>
          <w:iCs/>
          <w:sz w:val="16"/>
          <w:szCs w:val="16"/>
        </w:rPr>
        <w:t>343.</w:t>
      </w:r>
    </w:p>
    <w:p w:rsidR="0015711E" w:rsidRPr="00A32765" w:rsidRDefault="0015711E" w:rsidP="00A32765">
      <w:pPr>
        <w:ind w:left="426" w:hanging="426"/>
        <w:rPr>
          <w:sz w:val="16"/>
          <w:szCs w:val="16"/>
        </w:rPr>
      </w:pPr>
      <w:r>
        <w:rPr>
          <w:sz w:val="16"/>
          <w:szCs w:val="16"/>
        </w:rPr>
        <w:t>V</w:t>
      </w:r>
      <w:r w:rsidRPr="00A32765">
        <w:rPr>
          <w:sz w:val="16"/>
          <w:szCs w:val="16"/>
        </w:rPr>
        <w:t xml:space="preserve">an Dijk, E. M., </w:t>
      </w:r>
      <w:r>
        <w:rPr>
          <w:sz w:val="16"/>
          <w:szCs w:val="16"/>
        </w:rPr>
        <w:t>&amp; Kattmann, U. (2007).</w:t>
      </w:r>
      <w:r w:rsidRPr="00A32765">
        <w:rPr>
          <w:sz w:val="16"/>
          <w:szCs w:val="16"/>
        </w:rPr>
        <w:t xml:space="preserve"> A research model for the study of science teachers’ PCK and improving teacher education. </w:t>
      </w:r>
      <w:r w:rsidRPr="000B2B2B">
        <w:rPr>
          <w:i/>
          <w:sz w:val="16"/>
          <w:szCs w:val="16"/>
        </w:rPr>
        <w:t>Teaching and Teacher Education, 23</w:t>
      </w:r>
      <w:r>
        <w:rPr>
          <w:sz w:val="16"/>
          <w:szCs w:val="16"/>
        </w:rPr>
        <w:t>(</w:t>
      </w:r>
      <w:r w:rsidRPr="00A32765">
        <w:rPr>
          <w:sz w:val="16"/>
          <w:szCs w:val="16"/>
        </w:rPr>
        <w:t>6</w:t>
      </w:r>
      <w:r>
        <w:rPr>
          <w:sz w:val="16"/>
          <w:szCs w:val="16"/>
        </w:rPr>
        <w:t>)</w:t>
      </w:r>
      <w:r w:rsidRPr="00A32765">
        <w:rPr>
          <w:sz w:val="16"/>
          <w:szCs w:val="16"/>
        </w:rPr>
        <w:t xml:space="preserve">, 885–897. </w:t>
      </w:r>
    </w:p>
    <w:p w:rsidR="0015711E" w:rsidRPr="000006F1" w:rsidRDefault="0015711E" w:rsidP="000006F1">
      <w:pPr>
        <w:ind w:left="426" w:hanging="426"/>
        <w:rPr>
          <w:sz w:val="16"/>
          <w:szCs w:val="16"/>
        </w:rPr>
      </w:pPr>
      <w:r w:rsidRPr="000006F1">
        <w:rPr>
          <w:sz w:val="16"/>
          <w:szCs w:val="16"/>
        </w:rPr>
        <w:t xml:space="preserve">Van Someren, M. W., Barnard, Y. F., &amp; Sandberg, J. A. (1994). </w:t>
      </w:r>
      <w:r w:rsidRPr="00402176">
        <w:rPr>
          <w:i/>
          <w:sz w:val="16"/>
          <w:szCs w:val="16"/>
        </w:rPr>
        <w:t>The think aloud method: A practical guide to modelling cognitive processes.</w:t>
      </w:r>
      <w:r w:rsidRPr="000006F1">
        <w:rPr>
          <w:sz w:val="16"/>
          <w:szCs w:val="16"/>
        </w:rPr>
        <w:t xml:space="preserve"> London: Academic Press.</w:t>
      </w:r>
    </w:p>
    <w:p w:rsidR="0015711E" w:rsidRPr="006346E5" w:rsidRDefault="0015711E" w:rsidP="006346E5">
      <w:pPr>
        <w:ind w:left="426" w:hanging="426"/>
        <w:rPr>
          <w:sz w:val="16"/>
          <w:szCs w:val="16"/>
        </w:rPr>
      </w:pPr>
      <w:r w:rsidRPr="006346E5">
        <w:rPr>
          <w:sz w:val="16"/>
          <w:szCs w:val="16"/>
        </w:rPr>
        <w:t xml:space="preserve">VanLehn, K. (1998). Analogy events: How examples are used during problem solving. </w:t>
      </w:r>
      <w:r w:rsidRPr="006346E5">
        <w:rPr>
          <w:i/>
          <w:iCs/>
          <w:sz w:val="16"/>
          <w:szCs w:val="16"/>
        </w:rPr>
        <w:t>Cognitive Science</w:t>
      </w:r>
      <w:r w:rsidRPr="006346E5">
        <w:rPr>
          <w:sz w:val="16"/>
          <w:szCs w:val="16"/>
        </w:rPr>
        <w:t xml:space="preserve">, </w:t>
      </w:r>
      <w:r w:rsidRPr="006346E5">
        <w:rPr>
          <w:i/>
          <w:iCs/>
          <w:sz w:val="16"/>
          <w:szCs w:val="16"/>
        </w:rPr>
        <w:t>22</w:t>
      </w:r>
      <w:r w:rsidRPr="006346E5">
        <w:rPr>
          <w:sz w:val="16"/>
          <w:szCs w:val="16"/>
        </w:rPr>
        <w:t>(3), 347–388.</w:t>
      </w:r>
    </w:p>
    <w:p w:rsidR="0015711E" w:rsidRPr="007C0E29" w:rsidRDefault="0015711E" w:rsidP="007C0E29">
      <w:pPr>
        <w:ind w:left="426" w:hanging="426"/>
        <w:rPr>
          <w:sz w:val="16"/>
          <w:szCs w:val="16"/>
        </w:rPr>
      </w:pPr>
      <w:r w:rsidRPr="007C0E29">
        <w:rPr>
          <w:sz w:val="16"/>
          <w:szCs w:val="16"/>
        </w:rPr>
        <w:t xml:space="preserve">Vávra, J. (2006). </w:t>
      </w:r>
      <w:r w:rsidRPr="007C0E29">
        <w:rPr>
          <w:i/>
          <w:sz w:val="16"/>
          <w:szCs w:val="16"/>
        </w:rPr>
        <w:t xml:space="preserve">Pojetí výuky zeměpisu (geografie) v britském kurikulu </w:t>
      </w:r>
      <w:r w:rsidRPr="007C0E29">
        <w:rPr>
          <w:sz w:val="16"/>
          <w:szCs w:val="16"/>
        </w:rPr>
        <w:t>[online]. Dostupné z http://clanky.rvp.cz/clanek/c/z/853/POJETI-VYUKY-ZEMEPISU-GEOGRAFIE-V-BRITSKEM-KURIKULU.html</w:t>
      </w:r>
    </w:p>
    <w:p w:rsidR="0015711E" w:rsidRPr="007C0E29" w:rsidRDefault="0015711E" w:rsidP="007C0E29">
      <w:pPr>
        <w:ind w:left="426" w:hanging="426"/>
        <w:rPr>
          <w:sz w:val="16"/>
          <w:szCs w:val="16"/>
          <w:lang w:eastAsia="en-US"/>
        </w:rPr>
      </w:pPr>
      <w:r w:rsidRPr="007C0E29">
        <w:rPr>
          <w:sz w:val="16"/>
          <w:szCs w:val="16"/>
          <w:lang w:eastAsia="en-US"/>
        </w:rPr>
        <w:t xml:space="preserve">Vávra, J. (2012). </w:t>
      </w:r>
      <w:r w:rsidRPr="00B364F4">
        <w:rPr>
          <w:i/>
          <w:sz w:val="16"/>
          <w:szCs w:val="16"/>
          <w:lang w:eastAsia="en-US"/>
        </w:rPr>
        <w:t>Zahraniční geografická kurikula, standardy a příklady hodnocení v roce 2012.</w:t>
      </w:r>
      <w:r w:rsidRPr="007C0E29">
        <w:rPr>
          <w:sz w:val="16"/>
          <w:szCs w:val="16"/>
          <w:lang w:eastAsia="en-US"/>
        </w:rPr>
        <w:t xml:space="preserve"> Dostupné z http://clanky.rvp.cz/clanek/s/Z/16709/ZAHRANICNI-GEOGRAFICKA-KURIKULA-STANDARDY-A-PRIKLADY-HODNOCENI-V-ROCE-2012.html</w:t>
      </w:r>
    </w:p>
    <w:p w:rsidR="0015711E" w:rsidRPr="006E57E0" w:rsidRDefault="0015711E" w:rsidP="006E57E0">
      <w:pPr>
        <w:ind w:left="426" w:hanging="426"/>
        <w:rPr>
          <w:bCs/>
          <w:sz w:val="16"/>
          <w:szCs w:val="16"/>
        </w:rPr>
      </w:pPr>
      <w:r w:rsidRPr="006E57E0">
        <w:rPr>
          <w:bCs/>
          <w:sz w:val="16"/>
          <w:szCs w:val="16"/>
        </w:rPr>
        <w:t xml:space="preserve">Vernon, D. T., &amp; Blake, R. L. (1993). Does problem-based learning work? A meta-analysis of evaluative research. </w:t>
      </w:r>
      <w:r w:rsidRPr="000B0DDA">
        <w:rPr>
          <w:bCs/>
          <w:i/>
          <w:sz w:val="16"/>
          <w:szCs w:val="16"/>
        </w:rPr>
        <w:t xml:space="preserve">Academic </w:t>
      </w:r>
      <w:r>
        <w:rPr>
          <w:bCs/>
          <w:i/>
          <w:sz w:val="16"/>
          <w:szCs w:val="16"/>
        </w:rPr>
        <w:t>M</w:t>
      </w:r>
      <w:r w:rsidRPr="000B0DDA">
        <w:rPr>
          <w:bCs/>
          <w:i/>
          <w:sz w:val="16"/>
          <w:szCs w:val="16"/>
        </w:rPr>
        <w:t>edicine, 68</w:t>
      </w:r>
      <w:r w:rsidRPr="006E57E0">
        <w:rPr>
          <w:bCs/>
          <w:sz w:val="16"/>
          <w:szCs w:val="16"/>
        </w:rPr>
        <w:t>(7), 550</w:t>
      </w:r>
      <w:r>
        <w:rPr>
          <w:bCs/>
          <w:sz w:val="16"/>
          <w:szCs w:val="16"/>
        </w:rPr>
        <w:t>–5</w:t>
      </w:r>
      <w:r w:rsidRPr="006E57E0">
        <w:rPr>
          <w:bCs/>
          <w:sz w:val="16"/>
          <w:szCs w:val="16"/>
        </w:rPr>
        <w:t>63.</w:t>
      </w:r>
    </w:p>
    <w:p w:rsidR="0015711E" w:rsidRPr="007E13EF" w:rsidRDefault="0015711E" w:rsidP="00B67F9E">
      <w:pPr>
        <w:ind w:left="426" w:hanging="426"/>
        <w:rPr>
          <w:bCs/>
          <w:sz w:val="16"/>
          <w:szCs w:val="16"/>
        </w:rPr>
      </w:pPr>
      <w:r w:rsidRPr="007E13EF">
        <w:rPr>
          <w:sz w:val="16"/>
          <w:szCs w:val="16"/>
        </w:rPr>
        <w:t>Viehrig, K., Greiff, S., Siegmund, A., &amp; Funke, J. (2011). Geographische Kompetenzen fördern. Erfassung der Geographischen Systemkompetenz als Grundlage zur Bewertung der Kompetenzentwicklung. In C. Meyer, R. Henrÿ, &amp; G. Stöber (Eds.), </w:t>
      </w:r>
      <w:r w:rsidRPr="007E13EF">
        <w:rPr>
          <w:i/>
          <w:sz w:val="16"/>
          <w:szCs w:val="16"/>
        </w:rPr>
        <w:t>Geographische Bildung. Kompetenzen in didaktischer Forschung und Schulpraxis</w:t>
      </w:r>
      <w:r w:rsidRPr="007E13EF">
        <w:rPr>
          <w:sz w:val="16"/>
          <w:szCs w:val="16"/>
        </w:rPr>
        <w:t xml:space="preserve"> (s. 49–57). Braunschweig: Westermann.</w:t>
      </w:r>
    </w:p>
    <w:p w:rsidR="00D05616" w:rsidRDefault="00D05616" w:rsidP="007C0E29">
      <w:pPr>
        <w:ind w:left="426" w:hanging="426"/>
        <w:rPr>
          <w:bCs/>
          <w:sz w:val="16"/>
          <w:szCs w:val="16"/>
        </w:rPr>
      </w:pPr>
      <w:r w:rsidRPr="00D05616">
        <w:rPr>
          <w:bCs/>
          <w:sz w:val="16"/>
          <w:szCs w:val="16"/>
        </w:rPr>
        <w:t>V</w:t>
      </w:r>
      <w:r>
        <w:rPr>
          <w:bCs/>
          <w:sz w:val="16"/>
          <w:szCs w:val="16"/>
        </w:rPr>
        <w:t>iktorová</w:t>
      </w:r>
      <w:r w:rsidRPr="00D05616">
        <w:rPr>
          <w:bCs/>
          <w:sz w:val="16"/>
          <w:szCs w:val="16"/>
        </w:rPr>
        <w:t>, I. (2004). Změny rodičovského vztahu ke škole a vzdělávání dětí.</w:t>
      </w:r>
      <w:r>
        <w:rPr>
          <w:bCs/>
          <w:sz w:val="16"/>
          <w:szCs w:val="16"/>
        </w:rPr>
        <w:t xml:space="preserve"> </w:t>
      </w:r>
      <w:r w:rsidRPr="00D05616">
        <w:rPr>
          <w:bCs/>
          <w:i/>
          <w:iCs/>
          <w:sz w:val="16"/>
          <w:szCs w:val="16"/>
        </w:rPr>
        <w:t>Pedagogika</w:t>
      </w:r>
      <w:r>
        <w:rPr>
          <w:bCs/>
          <w:i/>
          <w:iCs/>
          <w:sz w:val="16"/>
          <w:szCs w:val="16"/>
        </w:rPr>
        <w:t>, 54</w:t>
      </w:r>
      <w:r>
        <w:rPr>
          <w:bCs/>
          <w:iCs/>
          <w:sz w:val="16"/>
          <w:szCs w:val="16"/>
        </w:rPr>
        <w:t>(4)</w:t>
      </w:r>
      <w:r w:rsidRPr="00D05616">
        <w:rPr>
          <w:bCs/>
          <w:sz w:val="16"/>
          <w:szCs w:val="16"/>
        </w:rPr>
        <w:t>, 389</w:t>
      </w:r>
      <w:r w:rsidRPr="007E13EF">
        <w:rPr>
          <w:sz w:val="16"/>
          <w:szCs w:val="16"/>
        </w:rPr>
        <w:t>–</w:t>
      </w:r>
      <w:r w:rsidRPr="00D05616">
        <w:rPr>
          <w:bCs/>
          <w:sz w:val="16"/>
          <w:szCs w:val="16"/>
        </w:rPr>
        <w:t>405.</w:t>
      </w:r>
    </w:p>
    <w:p w:rsidR="0015711E" w:rsidRPr="007C0E29" w:rsidRDefault="0015711E" w:rsidP="007C0E29">
      <w:pPr>
        <w:ind w:left="426" w:hanging="426"/>
        <w:rPr>
          <w:bCs/>
          <w:sz w:val="16"/>
          <w:szCs w:val="16"/>
        </w:rPr>
      </w:pPr>
      <w:r w:rsidRPr="007C0E29">
        <w:rPr>
          <w:bCs/>
          <w:sz w:val="16"/>
          <w:szCs w:val="16"/>
        </w:rPr>
        <w:t xml:space="preserve">Von Bertalanffy, L. (1950). </w:t>
      </w:r>
      <w:r w:rsidRPr="007C0E29">
        <w:rPr>
          <w:bCs/>
          <w:iCs/>
          <w:sz w:val="16"/>
          <w:szCs w:val="16"/>
        </w:rPr>
        <w:t>An outline of general system theory</w:t>
      </w:r>
      <w:r w:rsidRPr="007C0E29">
        <w:rPr>
          <w:bCs/>
          <w:sz w:val="16"/>
          <w:szCs w:val="16"/>
        </w:rPr>
        <w:t xml:space="preserve">. </w:t>
      </w:r>
      <w:r w:rsidRPr="007C0E29">
        <w:rPr>
          <w:bCs/>
          <w:i/>
          <w:sz w:val="16"/>
          <w:szCs w:val="16"/>
        </w:rPr>
        <w:t>British Journal for the Philosophy of Science</w:t>
      </w:r>
      <w:r w:rsidRPr="007C0E29">
        <w:rPr>
          <w:bCs/>
          <w:sz w:val="16"/>
          <w:szCs w:val="16"/>
        </w:rPr>
        <w:t xml:space="preserve">, </w:t>
      </w:r>
      <w:r w:rsidRPr="007564B7">
        <w:rPr>
          <w:bCs/>
          <w:i/>
          <w:sz w:val="16"/>
          <w:szCs w:val="16"/>
        </w:rPr>
        <w:t>1</w:t>
      </w:r>
      <w:r w:rsidRPr="007C0E29">
        <w:rPr>
          <w:bCs/>
          <w:sz w:val="16"/>
          <w:szCs w:val="16"/>
        </w:rPr>
        <w:t>(2), 134–165.</w:t>
      </w:r>
    </w:p>
    <w:p w:rsidR="0015711E" w:rsidRPr="007C0E29" w:rsidRDefault="0015711E" w:rsidP="007C0E29">
      <w:pPr>
        <w:ind w:left="426" w:hanging="426"/>
        <w:rPr>
          <w:bCs/>
          <w:sz w:val="16"/>
          <w:szCs w:val="16"/>
        </w:rPr>
      </w:pPr>
      <w:r w:rsidRPr="007C0E29">
        <w:rPr>
          <w:bCs/>
          <w:sz w:val="16"/>
          <w:szCs w:val="16"/>
        </w:rPr>
        <w:t xml:space="preserve">Von Bertalanffy, L. (1968). </w:t>
      </w:r>
      <w:r w:rsidRPr="007C0E29">
        <w:rPr>
          <w:bCs/>
          <w:i/>
          <w:iCs/>
          <w:sz w:val="16"/>
          <w:szCs w:val="16"/>
        </w:rPr>
        <w:t>General system theory: Foundations, development, applications</w:t>
      </w:r>
      <w:r w:rsidRPr="007C0E29">
        <w:rPr>
          <w:bCs/>
          <w:sz w:val="16"/>
          <w:szCs w:val="16"/>
        </w:rPr>
        <w:t>. New York: Braziller.</w:t>
      </w:r>
    </w:p>
    <w:p w:rsidR="0015711E" w:rsidRPr="007C0E29" w:rsidRDefault="0015711E" w:rsidP="007C0E29">
      <w:pPr>
        <w:ind w:left="426" w:hanging="426"/>
        <w:rPr>
          <w:bCs/>
          <w:sz w:val="16"/>
          <w:szCs w:val="16"/>
        </w:rPr>
      </w:pPr>
      <w:r w:rsidRPr="007C0E29">
        <w:rPr>
          <w:bCs/>
          <w:sz w:val="16"/>
          <w:szCs w:val="16"/>
        </w:rPr>
        <w:t xml:space="preserve">Von Bertalanffy, L. (1972). </w:t>
      </w:r>
      <w:r w:rsidRPr="007C0E29">
        <w:rPr>
          <w:bCs/>
          <w:i/>
          <w:iCs/>
          <w:sz w:val="16"/>
          <w:szCs w:val="16"/>
        </w:rPr>
        <w:t>Člověk – robot a myšlení</w:t>
      </w:r>
      <w:r w:rsidRPr="007C0E29">
        <w:rPr>
          <w:bCs/>
          <w:sz w:val="16"/>
          <w:szCs w:val="16"/>
        </w:rPr>
        <w:t>. Praha: Svoboda.</w:t>
      </w:r>
    </w:p>
    <w:p w:rsidR="0015711E" w:rsidRDefault="0015711E" w:rsidP="00015FB5">
      <w:pPr>
        <w:ind w:left="426" w:hanging="426"/>
        <w:rPr>
          <w:sz w:val="16"/>
          <w:szCs w:val="16"/>
        </w:rPr>
      </w:pPr>
      <w:r w:rsidRPr="00992F3B">
        <w:rPr>
          <w:sz w:val="16"/>
          <w:szCs w:val="16"/>
        </w:rPr>
        <w:t>Voss, J. F. (1990). Das Lösen schlecht strukturierter Probleme</w:t>
      </w:r>
      <w:r>
        <w:rPr>
          <w:sz w:val="16"/>
          <w:szCs w:val="16"/>
        </w:rPr>
        <w:t xml:space="preserve"> – </w:t>
      </w:r>
      <w:r w:rsidRPr="00992F3B">
        <w:rPr>
          <w:sz w:val="16"/>
          <w:szCs w:val="16"/>
        </w:rPr>
        <w:t>ein Überblick.</w:t>
      </w:r>
      <w:r>
        <w:rPr>
          <w:sz w:val="16"/>
          <w:szCs w:val="16"/>
        </w:rPr>
        <w:t xml:space="preserve"> </w:t>
      </w:r>
      <w:r w:rsidRPr="00992F3B">
        <w:rPr>
          <w:i/>
          <w:iCs/>
          <w:sz w:val="16"/>
          <w:szCs w:val="16"/>
        </w:rPr>
        <w:t>Unterrichtswissenschaft</w:t>
      </w:r>
      <w:r w:rsidRPr="00992F3B">
        <w:rPr>
          <w:sz w:val="16"/>
          <w:szCs w:val="16"/>
        </w:rPr>
        <w:t>, </w:t>
      </w:r>
      <w:r w:rsidRPr="00992F3B">
        <w:rPr>
          <w:i/>
          <w:iCs/>
          <w:sz w:val="16"/>
          <w:szCs w:val="16"/>
        </w:rPr>
        <w:t>18</w:t>
      </w:r>
      <w:r w:rsidRPr="00992F3B">
        <w:rPr>
          <w:sz w:val="16"/>
          <w:szCs w:val="16"/>
        </w:rPr>
        <w:t>(4), 313</w:t>
      </w:r>
      <w:r>
        <w:rPr>
          <w:sz w:val="16"/>
          <w:szCs w:val="16"/>
        </w:rPr>
        <w:t>–</w:t>
      </w:r>
      <w:r w:rsidRPr="00992F3B">
        <w:rPr>
          <w:sz w:val="16"/>
          <w:szCs w:val="16"/>
        </w:rPr>
        <w:t>337.</w:t>
      </w:r>
    </w:p>
    <w:p w:rsidR="0015711E" w:rsidRPr="008E1CDD" w:rsidRDefault="0015711E" w:rsidP="008E1CDD">
      <w:pPr>
        <w:ind w:left="426" w:hanging="426"/>
        <w:rPr>
          <w:sz w:val="16"/>
          <w:szCs w:val="16"/>
        </w:rPr>
      </w:pPr>
      <w:r w:rsidRPr="008E1CDD">
        <w:rPr>
          <w:sz w:val="16"/>
          <w:szCs w:val="16"/>
        </w:rPr>
        <w:t xml:space="preserve">Wahla, A. (1975). </w:t>
      </w:r>
      <w:r w:rsidRPr="008E1CDD">
        <w:rPr>
          <w:i/>
          <w:iCs/>
          <w:sz w:val="16"/>
          <w:szCs w:val="16"/>
        </w:rPr>
        <w:t xml:space="preserve">Využití samočinného počítače k analýze didaktického materiálu v didaktice zeměpisu. </w:t>
      </w:r>
      <w:r w:rsidRPr="008E1CDD">
        <w:rPr>
          <w:sz w:val="16"/>
          <w:szCs w:val="16"/>
        </w:rPr>
        <w:t>Ostrava: Pedagogická fakulta.</w:t>
      </w:r>
    </w:p>
    <w:p w:rsidR="0015711E" w:rsidRPr="000006F1" w:rsidRDefault="0015711E" w:rsidP="000006F1">
      <w:pPr>
        <w:ind w:left="426" w:hanging="426"/>
        <w:rPr>
          <w:sz w:val="16"/>
          <w:szCs w:val="16"/>
        </w:rPr>
      </w:pPr>
      <w:r w:rsidRPr="000006F1">
        <w:rPr>
          <w:sz w:val="16"/>
          <w:szCs w:val="16"/>
        </w:rPr>
        <w:t>Walton, H. J., &amp; Matthews, M. B. (1989). Essentials of problem</w:t>
      </w:r>
      <w:r w:rsidRPr="000006F1">
        <w:rPr>
          <w:rFonts w:ascii="Cambria Math" w:hAnsi="Cambria Math" w:cs="Cambria Math"/>
          <w:sz w:val="16"/>
          <w:szCs w:val="16"/>
        </w:rPr>
        <w:t>‐</w:t>
      </w:r>
      <w:r w:rsidRPr="000006F1">
        <w:rPr>
          <w:sz w:val="16"/>
          <w:szCs w:val="16"/>
        </w:rPr>
        <w:t xml:space="preserve">based learning. </w:t>
      </w:r>
      <w:r w:rsidRPr="000006F1">
        <w:rPr>
          <w:i/>
          <w:sz w:val="16"/>
          <w:szCs w:val="16"/>
        </w:rPr>
        <w:t>Medical Education, 23</w:t>
      </w:r>
      <w:r w:rsidRPr="000006F1">
        <w:rPr>
          <w:sz w:val="16"/>
          <w:szCs w:val="16"/>
        </w:rPr>
        <w:t>(6), 542</w:t>
      </w:r>
      <w:r>
        <w:rPr>
          <w:sz w:val="16"/>
          <w:szCs w:val="16"/>
        </w:rPr>
        <w:t>–</w:t>
      </w:r>
      <w:r w:rsidRPr="000006F1">
        <w:rPr>
          <w:sz w:val="16"/>
          <w:szCs w:val="16"/>
        </w:rPr>
        <w:t>558.</w:t>
      </w:r>
    </w:p>
    <w:p w:rsidR="0015711E" w:rsidRPr="00295B58" w:rsidRDefault="0015711E" w:rsidP="00B544D7">
      <w:pPr>
        <w:ind w:left="426" w:hanging="426"/>
        <w:rPr>
          <w:bCs/>
          <w:iCs/>
          <w:sz w:val="16"/>
          <w:szCs w:val="16"/>
        </w:rPr>
      </w:pPr>
      <w:r w:rsidRPr="00295B58">
        <w:rPr>
          <w:bCs/>
          <w:iCs/>
          <w:sz w:val="16"/>
          <w:szCs w:val="16"/>
        </w:rPr>
        <w:t xml:space="preserve">Wang, J. (1998). Opportunity to learn: The impacts and policy implications. </w:t>
      </w:r>
      <w:r w:rsidRPr="00295B58">
        <w:rPr>
          <w:bCs/>
          <w:i/>
          <w:iCs/>
          <w:sz w:val="16"/>
          <w:szCs w:val="16"/>
        </w:rPr>
        <w:t>Educational Evaluation and Policy Analysis, 20</w:t>
      </w:r>
      <w:r w:rsidRPr="00295B58">
        <w:rPr>
          <w:bCs/>
          <w:iCs/>
          <w:sz w:val="16"/>
          <w:szCs w:val="16"/>
        </w:rPr>
        <w:t>(3), 137</w:t>
      </w:r>
      <w:r>
        <w:rPr>
          <w:bCs/>
          <w:iCs/>
          <w:sz w:val="16"/>
          <w:szCs w:val="16"/>
        </w:rPr>
        <w:t>–</w:t>
      </w:r>
      <w:r w:rsidRPr="00295B58">
        <w:rPr>
          <w:bCs/>
          <w:iCs/>
          <w:sz w:val="16"/>
          <w:szCs w:val="16"/>
        </w:rPr>
        <w:t>156.</w:t>
      </w:r>
    </w:p>
    <w:p w:rsidR="0015711E" w:rsidRPr="00B717AE" w:rsidRDefault="0015711E" w:rsidP="0012647E">
      <w:pPr>
        <w:ind w:left="426" w:hanging="426"/>
        <w:rPr>
          <w:sz w:val="16"/>
          <w:szCs w:val="16"/>
          <w:lang w:val="de-DE"/>
        </w:rPr>
      </w:pPr>
      <w:r w:rsidRPr="00BF37DF">
        <w:rPr>
          <w:sz w:val="16"/>
          <w:szCs w:val="16"/>
          <w:lang w:val="de-DE"/>
        </w:rPr>
        <w:t xml:space="preserve">Wang, M. C., Haertel, G. D., &amp; Walberg, H. J. (1993). </w:t>
      </w:r>
      <w:r w:rsidRPr="0012647E">
        <w:rPr>
          <w:sz w:val="16"/>
          <w:szCs w:val="16"/>
          <w:lang w:val="en-US"/>
        </w:rPr>
        <w:t xml:space="preserve">Toward a knowledge base for school learning. </w:t>
      </w:r>
      <w:r w:rsidRPr="00B717AE">
        <w:rPr>
          <w:i/>
          <w:iCs/>
          <w:sz w:val="16"/>
          <w:szCs w:val="16"/>
          <w:lang w:val="de-DE"/>
        </w:rPr>
        <w:t>Review of Educational Research</w:t>
      </w:r>
      <w:r w:rsidRPr="00B717AE">
        <w:rPr>
          <w:sz w:val="16"/>
          <w:szCs w:val="16"/>
          <w:lang w:val="de-DE"/>
        </w:rPr>
        <w:t xml:space="preserve">, </w:t>
      </w:r>
      <w:r w:rsidRPr="00B717AE">
        <w:rPr>
          <w:i/>
          <w:sz w:val="16"/>
          <w:szCs w:val="16"/>
          <w:lang w:val="de-DE"/>
        </w:rPr>
        <w:t>63</w:t>
      </w:r>
      <w:r w:rsidRPr="00B717AE">
        <w:rPr>
          <w:sz w:val="16"/>
          <w:szCs w:val="16"/>
          <w:lang w:val="de-DE"/>
        </w:rPr>
        <w:t>(3), 249–294.</w:t>
      </w:r>
    </w:p>
    <w:p w:rsidR="0015711E" w:rsidRPr="00B717AE" w:rsidRDefault="0015711E" w:rsidP="00FB7088">
      <w:pPr>
        <w:ind w:left="426" w:hanging="426"/>
        <w:rPr>
          <w:bCs/>
          <w:sz w:val="16"/>
          <w:szCs w:val="16"/>
          <w:lang w:val="de-DE"/>
        </w:rPr>
      </w:pPr>
      <w:r w:rsidRPr="00FB7088">
        <w:rPr>
          <w:bCs/>
          <w:sz w:val="16"/>
          <w:szCs w:val="16"/>
          <w:lang w:val="de-DE"/>
        </w:rPr>
        <w:t xml:space="preserve">Weinberg, J. (1999). Lernkultur </w:t>
      </w:r>
      <w:r>
        <w:rPr>
          <w:bCs/>
          <w:sz w:val="16"/>
          <w:szCs w:val="16"/>
          <w:lang w:val="de-DE"/>
        </w:rPr>
        <w:t>–</w:t>
      </w:r>
      <w:r w:rsidRPr="00FB7088">
        <w:rPr>
          <w:bCs/>
          <w:sz w:val="16"/>
          <w:szCs w:val="16"/>
          <w:lang w:val="de-DE"/>
        </w:rPr>
        <w:t xml:space="preserve"> Begriff, Geschichte, Perspektiven. In </w:t>
      </w:r>
      <w:r w:rsidRPr="00FB7088">
        <w:rPr>
          <w:bCs/>
          <w:i/>
          <w:iCs/>
          <w:sz w:val="16"/>
          <w:szCs w:val="16"/>
          <w:lang w:val="de-DE"/>
        </w:rPr>
        <w:t>Kompetenzentwicklung. Aspekte einer neuen Lernkultur: Argumente, Erfahrungen, Konsequenzen</w:t>
      </w:r>
      <w:r w:rsidRPr="00FB7088">
        <w:rPr>
          <w:bCs/>
          <w:sz w:val="16"/>
          <w:szCs w:val="16"/>
          <w:lang w:val="de-DE"/>
        </w:rPr>
        <w:t xml:space="preserve"> (s. 81–143)</w:t>
      </w:r>
      <w:r w:rsidRPr="00FB7088">
        <w:rPr>
          <w:bCs/>
          <w:i/>
          <w:iCs/>
          <w:sz w:val="16"/>
          <w:szCs w:val="16"/>
          <w:lang w:val="de-DE"/>
        </w:rPr>
        <w:t>.</w:t>
      </w:r>
      <w:r w:rsidRPr="00FB7088">
        <w:rPr>
          <w:bCs/>
          <w:sz w:val="16"/>
          <w:szCs w:val="16"/>
          <w:lang w:val="de-DE"/>
        </w:rPr>
        <w:t xml:space="preserve"> </w:t>
      </w:r>
      <w:r w:rsidRPr="00B717AE">
        <w:rPr>
          <w:bCs/>
          <w:sz w:val="16"/>
          <w:szCs w:val="16"/>
          <w:lang w:val="de-DE"/>
        </w:rPr>
        <w:t>Münster: Waxmann.</w:t>
      </w:r>
    </w:p>
    <w:p w:rsidR="0015711E" w:rsidRPr="00841A1E" w:rsidRDefault="0015711E" w:rsidP="00D83F21">
      <w:pPr>
        <w:ind w:left="426" w:hanging="426"/>
        <w:rPr>
          <w:bCs/>
          <w:sz w:val="16"/>
          <w:szCs w:val="16"/>
          <w:lang w:val="en-US"/>
        </w:rPr>
      </w:pPr>
      <w:r w:rsidRPr="00D83F21">
        <w:rPr>
          <w:bCs/>
          <w:sz w:val="16"/>
          <w:szCs w:val="16"/>
          <w:lang w:val="de-DE"/>
        </w:rPr>
        <w:t xml:space="preserve">Weinert, F. E. (1997). Lernkultur im Wandel. In E. Beck, T. Guldimann, &amp; M. Zutavern (Eds.), </w:t>
      </w:r>
      <w:r w:rsidRPr="00D83F21">
        <w:rPr>
          <w:bCs/>
          <w:i/>
          <w:iCs/>
          <w:sz w:val="16"/>
          <w:szCs w:val="16"/>
          <w:lang w:val="de-DE"/>
        </w:rPr>
        <w:t>Lernkultur im Wandel. Tagungsband der Schweizerischen Gesellschaft für Lehrerinen- und Lehrerbildung und der Schweizerischen Gesellschaft für Bildungsforschung</w:t>
      </w:r>
      <w:r w:rsidRPr="00D83F21">
        <w:rPr>
          <w:bCs/>
          <w:sz w:val="16"/>
          <w:szCs w:val="16"/>
          <w:lang w:val="de-DE"/>
        </w:rPr>
        <w:t xml:space="preserve"> (</w:t>
      </w:r>
      <w:r>
        <w:rPr>
          <w:bCs/>
          <w:sz w:val="16"/>
          <w:szCs w:val="16"/>
          <w:lang w:val="de-DE"/>
        </w:rPr>
        <w:t>s.</w:t>
      </w:r>
      <w:r w:rsidRPr="00D83F21">
        <w:rPr>
          <w:bCs/>
          <w:sz w:val="16"/>
          <w:szCs w:val="16"/>
          <w:lang w:val="de-DE"/>
        </w:rPr>
        <w:t xml:space="preserve"> 11</w:t>
      </w:r>
      <w:r>
        <w:rPr>
          <w:bCs/>
          <w:sz w:val="16"/>
          <w:szCs w:val="16"/>
          <w:lang w:val="de-DE"/>
        </w:rPr>
        <w:t>–</w:t>
      </w:r>
      <w:r w:rsidRPr="00D83F21">
        <w:rPr>
          <w:bCs/>
          <w:sz w:val="16"/>
          <w:szCs w:val="16"/>
          <w:lang w:val="de-DE"/>
        </w:rPr>
        <w:t xml:space="preserve">29). </w:t>
      </w:r>
      <w:r w:rsidRPr="00841A1E">
        <w:rPr>
          <w:bCs/>
          <w:sz w:val="16"/>
          <w:szCs w:val="16"/>
          <w:lang w:val="en-US"/>
        </w:rPr>
        <w:t>St. Gallen: UVK.</w:t>
      </w:r>
    </w:p>
    <w:p w:rsidR="0015711E" w:rsidRPr="00121F79" w:rsidRDefault="0015711E" w:rsidP="00EE4D9E">
      <w:pPr>
        <w:ind w:left="426" w:hanging="426"/>
        <w:rPr>
          <w:sz w:val="16"/>
          <w:szCs w:val="16"/>
        </w:rPr>
      </w:pPr>
      <w:r w:rsidRPr="00121F79">
        <w:rPr>
          <w:sz w:val="16"/>
          <w:szCs w:val="16"/>
        </w:rPr>
        <w:t>Weinert, F. E. (2001</w:t>
      </w:r>
      <w:r>
        <w:rPr>
          <w:sz w:val="16"/>
          <w:szCs w:val="16"/>
        </w:rPr>
        <w:t>a</w:t>
      </w:r>
      <w:r w:rsidRPr="00121F79">
        <w:rPr>
          <w:sz w:val="16"/>
          <w:szCs w:val="16"/>
        </w:rPr>
        <w:t xml:space="preserve">). Concept of </w:t>
      </w:r>
      <w:r>
        <w:rPr>
          <w:sz w:val="16"/>
          <w:szCs w:val="16"/>
        </w:rPr>
        <w:t>c</w:t>
      </w:r>
      <w:r w:rsidRPr="00121F79">
        <w:rPr>
          <w:sz w:val="16"/>
          <w:szCs w:val="16"/>
        </w:rPr>
        <w:t>ompetence: A conceptual clarification. In</w:t>
      </w:r>
      <w:r>
        <w:rPr>
          <w:sz w:val="16"/>
          <w:szCs w:val="16"/>
        </w:rPr>
        <w:t xml:space="preserve"> D. S. Rychen &amp;</w:t>
      </w:r>
      <w:r w:rsidRPr="00121F79">
        <w:rPr>
          <w:sz w:val="16"/>
          <w:szCs w:val="16"/>
        </w:rPr>
        <w:t xml:space="preserve"> </w:t>
      </w:r>
      <w:r>
        <w:rPr>
          <w:sz w:val="16"/>
          <w:szCs w:val="16"/>
        </w:rPr>
        <w:t xml:space="preserve">L. H. </w:t>
      </w:r>
      <w:r w:rsidRPr="00121F79">
        <w:rPr>
          <w:sz w:val="16"/>
          <w:szCs w:val="16"/>
        </w:rPr>
        <w:t xml:space="preserve">Salganik (Eds.), </w:t>
      </w:r>
      <w:r w:rsidRPr="006723EE">
        <w:rPr>
          <w:i/>
          <w:sz w:val="16"/>
          <w:szCs w:val="16"/>
        </w:rPr>
        <w:t>Defining and selecting key competencies</w:t>
      </w:r>
      <w:r>
        <w:rPr>
          <w:sz w:val="16"/>
          <w:szCs w:val="16"/>
        </w:rPr>
        <w:t xml:space="preserve"> (s. 45–65). Seattle</w:t>
      </w:r>
      <w:r w:rsidRPr="00121F79">
        <w:rPr>
          <w:sz w:val="16"/>
          <w:szCs w:val="16"/>
        </w:rPr>
        <w:t>: Hogrefe &amp; Huber.</w:t>
      </w:r>
    </w:p>
    <w:p w:rsidR="0015711E" w:rsidRPr="005E1DC2" w:rsidRDefault="0015711E" w:rsidP="005E1DC2">
      <w:pPr>
        <w:ind w:left="426" w:hanging="426"/>
        <w:rPr>
          <w:sz w:val="16"/>
          <w:szCs w:val="16"/>
        </w:rPr>
      </w:pPr>
      <w:r w:rsidRPr="005E1DC2">
        <w:rPr>
          <w:sz w:val="16"/>
          <w:szCs w:val="16"/>
        </w:rPr>
        <w:t>Weinert, F. E. (2001</w:t>
      </w:r>
      <w:r>
        <w:rPr>
          <w:sz w:val="16"/>
          <w:szCs w:val="16"/>
        </w:rPr>
        <w:t>b</w:t>
      </w:r>
      <w:r w:rsidRPr="005E1DC2">
        <w:rPr>
          <w:sz w:val="16"/>
          <w:szCs w:val="16"/>
        </w:rPr>
        <w:t xml:space="preserve">). Vergleichende Leistungsmessung in Schulen </w:t>
      </w:r>
      <w:r>
        <w:rPr>
          <w:sz w:val="16"/>
          <w:szCs w:val="16"/>
        </w:rPr>
        <w:t>–</w:t>
      </w:r>
      <w:r w:rsidRPr="005E1DC2">
        <w:rPr>
          <w:sz w:val="16"/>
          <w:szCs w:val="16"/>
        </w:rPr>
        <w:t xml:space="preserve"> eine umstrittene Selbstverständlichkeit. In F. E. Weinert (Ed.), </w:t>
      </w:r>
      <w:r w:rsidRPr="005E1DC2">
        <w:rPr>
          <w:i/>
          <w:sz w:val="16"/>
          <w:szCs w:val="16"/>
        </w:rPr>
        <w:t xml:space="preserve">Leistungsmessungen in Schulen </w:t>
      </w:r>
      <w:r w:rsidRPr="005E1DC2">
        <w:rPr>
          <w:sz w:val="16"/>
          <w:szCs w:val="16"/>
        </w:rPr>
        <w:t>(</w:t>
      </w:r>
      <w:r>
        <w:rPr>
          <w:sz w:val="16"/>
          <w:szCs w:val="16"/>
        </w:rPr>
        <w:t xml:space="preserve">s. </w:t>
      </w:r>
      <w:r w:rsidRPr="005E1DC2">
        <w:rPr>
          <w:sz w:val="16"/>
          <w:szCs w:val="16"/>
        </w:rPr>
        <w:t>17</w:t>
      </w:r>
      <w:r>
        <w:rPr>
          <w:sz w:val="16"/>
          <w:szCs w:val="16"/>
        </w:rPr>
        <w:t>–</w:t>
      </w:r>
      <w:r w:rsidRPr="005E1DC2">
        <w:rPr>
          <w:sz w:val="16"/>
          <w:szCs w:val="16"/>
        </w:rPr>
        <w:t xml:space="preserve">31). Weinheim: Beltz. </w:t>
      </w:r>
    </w:p>
    <w:p w:rsidR="0015711E" w:rsidRPr="006346E5" w:rsidRDefault="0015711E" w:rsidP="006346E5">
      <w:pPr>
        <w:ind w:left="426" w:hanging="426"/>
        <w:rPr>
          <w:sz w:val="16"/>
          <w:szCs w:val="16"/>
        </w:rPr>
      </w:pPr>
      <w:r w:rsidRPr="006346E5">
        <w:rPr>
          <w:sz w:val="16"/>
          <w:szCs w:val="16"/>
        </w:rPr>
        <w:t>Wenke, D., Frensch, P. A., &amp; Funke, J. (2005). Complex problem solving and intelligence: Empirical relation and causa</w:t>
      </w:r>
      <w:r>
        <w:rPr>
          <w:sz w:val="16"/>
          <w:szCs w:val="16"/>
        </w:rPr>
        <w:t>l direction. In R. J. Sternberg</w:t>
      </w:r>
      <w:r w:rsidRPr="006346E5">
        <w:rPr>
          <w:sz w:val="16"/>
          <w:szCs w:val="16"/>
        </w:rPr>
        <w:t xml:space="preserve"> &amp; J. E. </w:t>
      </w:r>
      <w:r>
        <w:rPr>
          <w:sz w:val="16"/>
          <w:szCs w:val="16"/>
        </w:rPr>
        <w:t>Pretz</w:t>
      </w:r>
      <w:r w:rsidRPr="006346E5">
        <w:rPr>
          <w:sz w:val="16"/>
          <w:szCs w:val="16"/>
        </w:rPr>
        <w:t xml:space="preserve"> (Eds.), </w:t>
      </w:r>
      <w:r w:rsidRPr="006346E5">
        <w:rPr>
          <w:i/>
          <w:sz w:val="16"/>
          <w:szCs w:val="16"/>
        </w:rPr>
        <w:t>Cognition and intelligence: Identifying the mechanisms of the mind</w:t>
      </w:r>
      <w:r w:rsidRPr="006346E5">
        <w:rPr>
          <w:sz w:val="16"/>
          <w:szCs w:val="16"/>
        </w:rPr>
        <w:t xml:space="preserve"> (s. 160–187). Cambridge University Press.</w:t>
      </w:r>
    </w:p>
    <w:p w:rsidR="0015711E" w:rsidRPr="00B717AE" w:rsidRDefault="0015711E" w:rsidP="00BF123C">
      <w:pPr>
        <w:ind w:left="426" w:hanging="426"/>
        <w:rPr>
          <w:bCs/>
          <w:sz w:val="16"/>
          <w:szCs w:val="16"/>
          <w:lang w:val="de-DE"/>
        </w:rPr>
      </w:pPr>
      <w:r w:rsidRPr="00BF123C">
        <w:rPr>
          <w:bCs/>
          <w:sz w:val="16"/>
          <w:szCs w:val="16"/>
          <w:lang w:val="en-US"/>
        </w:rPr>
        <w:t xml:space="preserve">Westera, W. (2001). Competences in education: A confusion of tongues. </w:t>
      </w:r>
      <w:r w:rsidRPr="00B717AE">
        <w:rPr>
          <w:bCs/>
          <w:i/>
          <w:iCs/>
          <w:sz w:val="16"/>
          <w:szCs w:val="16"/>
          <w:lang w:val="de-DE"/>
        </w:rPr>
        <w:t>Journal of Curriculum Studies</w:t>
      </w:r>
      <w:r w:rsidRPr="00B717AE">
        <w:rPr>
          <w:bCs/>
          <w:sz w:val="16"/>
          <w:szCs w:val="16"/>
          <w:lang w:val="de-DE"/>
        </w:rPr>
        <w:t xml:space="preserve">, </w:t>
      </w:r>
      <w:r w:rsidRPr="00B717AE">
        <w:rPr>
          <w:bCs/>
          <w:i/>
          <w:sz w:val="16"/>
          <w:szCs w:val="16"/>
          <w:lang w:val="de-DE"/>
        </w:rPr>
        <w:t>33</w:t>
      </w:r>
      <w:r w:rsidRPr="00B717AE">
        <w:rPr>
          <w:bCs/>
          <w:sz w:val="16"/>
          <w:szCs w:val="16"/>
          <w:lang w:val="de-DE"/>
        </w:rPr>
        <w:t>(1), 75–88.</w:t>
      </w:r>
    </w:p>
    <w:p w:rsidR="0015711E" w:rsidRPr="000574E2" w:rsidRDefault="0015711E" w:rsidP="000574E2">
      <w:pPr>
        <w:ind w:left="426" w:hanging="426"/>
        <w:rPr>
          <w:sz w:val="16"/>
          <w:szCs w:val="16"/>
        </w:rPr>
      </w:pPr>
      <w:r w:rsidRPr="000574E2">
        <w:rPr>
          <w:sz w:val="16"/>
          <w:szCs w:val="16"/>
        </w:rPr>
        <w:t>Wiater, W. (2005). Die neue Lernkultur im Widerstreit der Meinungen. InE. M.</w:t>
      </w:r>
      <w:r w:rsidR="00BE2CAC">
        <w:rPr>
          <w:sz w:val="16"/>
          <w:szCs w:val="16"/>
        </w:rPr>
        <w:t xml:space="preserve"> </w:t>
      </w:r>
      <w:r w:rsidRPr="000574E2">
        <w:rPr>
          <w:sz w:val="16"/>
          <w:szCs w:val="16"/>
        </w:rPr>
        <w:t xml:space="preserve">Lanthaler &amp; R. Meraner (Eds.), </w:t>
      </w:r>
      <w:r w:rsidRPr="000574E2">
        <w:rPr>
          <w:i/>
          <w:sz w:val="16"/>
          <w:szCs w:val="16"/>
        </w:rPr>
        <w:t>Neue Lernkultur im Kindergarten und Schule</w:t>
      </w:r>
      <w:r w:rsidRPr="000574E2">
        <w:rPr>
          <w:sz w:val="16"/>
          <w:szCs w:val="16"/>
        </w:rPr>
        <w:t xml:space="preserve"> (s. 46–62). Bozen: Pädagogisches Institut.</w:t>
      </w:r>
    </w:p>
    <w:p w:rsidR="0015711E" w:rsidRPr="007C0E29" w:rsidRDefault="0015711E" w:rsidP="007C0E29">
      <w:pPr>
        <w:ind w:left="426" w:hanging="426"/>
        <w:rPr>
          <w:bCs/>
          <w:sz w:val="16"/>
          <w:szCs w:val="16"/>
        </w:rPr>
      </w:pPr>
      <w:r w:rsidRPr="007C0E29">
        <w:rPr>
          <w:bCs/>
          <w:sz w:val="16"/>
          <w:szCs w:val="16"/>
        </w:rPr>
        <w:t xml:space="preserve">Winkelmann, H., Robitzsch, A., Stanat, P., &amp; Köller, O. (2012). Mathematische Kompetenzen in der Grundschule. </w:t>
      </w:r>
      <w:r w:rsidRPr="007C0E29">
        <w:rPr>
          <w:bCs/>
          <w:i/>
          <w:sz w:val="16"/>
          <w:szCs w:val="16"/>
        </w:rPr>
        <w:t>Diagnostica, 58</w:t>
      </w:r>
      <w:r w:rsidRPr="007C0E29">
        <w:rPr>
          <w:bCs/>
          <w:sz w:val="16"/>
          <w:szCs w:val="16"/>
        </w:rPr>
        <w:t>(1), 15–30.</w:t>
      </w:r>
    </w:p>
    <w:p w:rsidR="0015711E" w:rsidRPr="00C1088A" w:rsidRDefault="0015711E" w:rsidP="00296494">
      <w:pPr>
        <w:ind w:left="426" w:hanging="426"/>
        <w:rPr>
          <w:bCs/>
          <w:iCs/>
          <w:sz w:val="16"/>
          <w:szCs w:val="16"/>
        </w:rPr>
      </w:pPr>
      <w:r w:rsidRPr="00C1088A">
        <w:rPr>
          <w:bCs/>
          <w:iCs/>
          <w:sz w:val="16"/>
          <w:szCs w:val="16"/>
        </w:rPr>
        <w:t xml:space="preserve">Wirtz, M., </w:t>
      </w:r>
      <w:r>
        <w:rPr>
          <w:bCs/>
          <w:iCs/>
          <w:sz w:val="16"/>
          <w:szCs w:val="16"/>
        </w:rPr>
        <w:t xml:space="preserve">&amp; </w:t>
      </w:r>
      <w:r w:rsidRPr="00C1088A">
        <w:rPr>
          <w:bCs/>
          <w:iCs/>
          <w:sz w:val="16"/>
          <w:szCs w:val="16"/>
        </w:rPr>
        <w:t xml:space="preserve">Caspar, F. (2002). </w:t>
      </w:r>
      <w:r w:rsidRPr="00C1088A">
        <w:rPr>
          <w:bCs/>
          <w:i/>
          <w:iCs/>
          <w:sz w:val="16"/>
          <w:szCs w:val="16"/>
        </w:rPr>
        <w:t>Beurteilerübereinstimmung und Beurteilerreliabilität.</w:t>
      </w:r>
      <w:r w:rsidRPr="00C1088A">
        <w:rPr>
          <w:bCs/>
          <w:iCs/>
          <w:sz w:val="16"/>
          <w:szCs w:val="16"/>
        </w:rPr>
        <w:t xml:space="preserve"> Göttingen: Hogrefe. </w:t>
      </w:r>
    </w:p>
    <w:p w:rsidR="0015711E" w:rsidRPr="009407C8" w:rsidRDefault="0015711E" w:rsidP="009407C8">
      <w:pPr>
        <w:ind w:left="426" w:hanging="426"/>
        <w:rPr>
          <w:bCs/>
          <w:sz w:val="16"/>
          <w:szCs w:val="16"/>
          <w:lang w:val="en-US"/>
        </w:rPr>
      </w:pPr>
      <w:r w:rsidRPr="009407C8">
        <w:rPr>
          <w:bCs/>
          <w:sz w:val="16"/>
          <w:szCs w:val="16"/>
          <w:lang w:val="en-US"/>
        </w:rPr>
        <w:t xml:space="preserve">Xin, Y. P. (2007). Word problem solving tasks in textbooks and their relation to student performance. </w:t>
      </w:r>
      <w:r w:rsidRPr="009407C8">
        <w:rPr>
          <w:bCs/>
          <w:i/>
          <w:iCs/>
          <w:sz w:val="16"/>
          <w:szCs w:val="16"/>
          <w:lang w:val="en-US"/>
        </w:rPr>
        <w:t>The</w:t>
      </w:r>
      <w:r w:rsidRPr="009407C8">
        <w:rPr>
          <w:bCs/>
          <w:sz w:val="16"/>
          <w:szCs w:val="16"/>
          <w:lang w:val="en-US"/>
        </w:rPr>
        <w:t xml:space="preserve"> </w:t>
      </w:r>
      <w:r w:rsidRPr="009407C8">
        <w:rPr>
          <w:bCs/>
          <w:i/>
          <w:iCs/>
          <w:sz w:val="16"/>
          <w:szCs w:val="16"/>
          <w:lang w:val="en-US"/>
        </w:rPr>
        <w:t>Journal of Educational Research</w:t>
      </w:r>
      <w:r w:rsidRPr="009407C8">
        <w:rPr>
          <w:bCs/>
          <w:sz w:val="16"/>
          <w:szCs w:val="16"/>
          <w:lang w:val="en-US"/>
        </w:rPr>
        <w:t xml:space="preserve">, </w:t>
      </w:r>
      <w:r w:rsidRPr="009407C8">
        <w:rPr>
          <w:bCs/>
          <w:i/>
          <w:sz w:val="16"/>
          <w:szCs w:val="16"/>
          <w:lang w:val="en-US"/>
        </w:rPr>
        <w:t>100</w:t>
      </w:r>
      <w:r w:rsidRPr="009407C8">
        <w:rPr>
          <w:bCs/>
          <w:sz w:val="16"/>
          <w:szCs w:val="16"/>
          <w:lang w:val="en-US"/>
        </w:rPr>
        <w:t>(6), 347–359.</w:t>
      </w:r>
    </w:p>
    <w:p w:rsidR="0015711E" w:rsidRPr="005434D2" w:rsidRDefault="0015711E" w:rsidP="005434D2">
      <w:pPr>
        <w:ind w:left="426" w:hanging="426"/>
        <w:rPr>
          <w:bCs/>
          <w:sz w:val="16"/>
          <w:szCs w:val="16"/>
        </w:rPr>
      </w:pPr>
      <w:r w:rsidRPr="005434D2">
        <w:rPr>
          <w:bCs/>
          <w:sz w:val="16"/>
          <w:szCs w:val="16"/>
        </w:rPr>
        <w:t xml:space="preserve">Yeung, S. (2010). Problem-Based Learning for promoting student learning in high school geography. </w:t>
      </w:r>
      <w:r w:rsidRPr="000B0DDA">
        <w:rPr>
          <w:bCs/>
          <w:i/>
          <w:sz w:val="16"/>
          <w:szCs w:val="16"/>
        </w:rPr>
        <w:t>Journal of Geography, 109</w:t>
      </w:r>
      <w:r w:rsidRPr="005434D2">
        <w:rPr>
          <w:bCs/>
          <w:sz w:val="16"/>
          <w:szCs w:val="16"/>
        </w:rPr>
        <w:t>(5), 190</w:t>
      </w:r>
      <w:r>
        <w:rPr>
          <w:bCs/>
          <w:sz w:val="16"/>
          <w:szCs w:val="16"/>
        </w:rPr>
        <w:t>–</w:t>
      </w:r>
      <w:r w:rsidRPr="005434D2">
        <w:rPr>
          <w:bCs/>
          <w:sz w:val="16"/>
          <w:szCs w:val="16"/>
        </w:rPr>
        <w:t>200.</w:t>
      </w:r>
    </w:p>
    <w:p w:rsidR="0015711E" w:rsidRPr="00B67F9E" w:rsidRDefault="0015711E" w:rsidP="00B67F9E">
      <w:pPr>
        <w:ind w:left="426" w:hanging="426"/>
        <w:rPr>
          <w:sz w:val="16"/>
          <w:szCs w:val="16"/>
        </w:rPr>
      </w:pPr>
      <w:r w:rsidRPr="00B67F9E">
        <w:rPr>
          <w:sz w:val="16"/>
          <w:szCs w:val="16"/>
        </w:rPr>
        <w:t>Yim, N. H., Kim, S. H., Kim, H. W., &amp; Kwahk, K. Y. (2004). Knowledge based decision making on higher l</w:t>
      </w:r>
      <w:r>
        <w:rPr>
          <w:sz w:val="16"/>
          <w:szCs w:val="16"/>
        </w:rPr>
        <w:t xml:space="preserve">evel strategic concerns: System </w:t>
      </w:r>
      <w:r w:rsidRPr="00B67F9E">
        <w:rPr>
          <w:sz w:val="16"/>
          <w:szCs w:val="16"/>
        </w:rPr>
        <w:t xml:space="preserve">dynamics approach. </w:t>
      </w:r>
      <w:r w:rsidRPr="00B67F9E">
        <w:rPr>
          <w:i/>
          <w:iCs/>
          <w:sz w:val="16"/>
          <w:szCs w:val="16"/>
        </w:rPr>
        <w:t>Expert Systems with Applications</w:t>
      </w:r>
      <w:r w:rsidRPr="00B67F9E">
        <w:rPr>
          <w:sz w:val="16"/>
          <w:szCs w:val="16"/>
        </w:rPr>
        <w:t xml:space="preserve">, </w:t>
      </w:r>
      <w:r w:rsidRPr="00B67F9E">
        <w:rPr>
          <w:i/>
          <w:iCs/>
          <w:sz w:val="16"/>
          <w:szCs w:val="16"/>
        </w:rPr>
        <w:t>27</w:t>
      </w:r>
      <w:r w:rsidRPr="00B67F9E">
        <w:rPr>
          <w:sz w:val="16"/>
          <w:szCs w:val="16"/>
        </w:rPr>
        <w:t>(1), 143</w:t>
      </w:r>
      <w:r>
        <w:rPr>
          <w:sz w:val="16"/>
          <w:szCs w:val="16"/>
        </w:rPr>
        <w:t>–</w:t>
      </w:r>
      <w:r w:rsidRPr="00B67F9E">
        <w:rPr>
          <w:sz w:val="16"/>
          <w:szCs w:val="16"/>
        </w:rPr>
        <w:t xml:space="preserve">158. </w:t>
      </w:r>
    </w:p>
    <w:p w:rsidR="0015711E" w:rsidRPr="00B544D7" w:rsidRDefault="0015711E" w:rsidP="00B544D7">
      <w:pPr>
        <w:ind w:left="426" w:hanging="426"/>
        <w:rPr>
          <w:bCs/>
          <w:iCs/>
          <w:sz w:val="16"/>
          <w:szCs w:val="16"/>
        </w:rPr>
      </w:pPr>
      <w:r w:rsidRPr="00B544D7">
        <w:rPr>
          <w:bCs/>
          <w:iCs/>
          <w:sz w:val="16"/>
          <w:szCs w:val="16"/>
        </w:rPr>
        <w:t xml:space="preserve">Young, M. (2007). </w:t>
      </w:r>
      <w:r w:rsidRPr="00AA6590">
        <w:rPr>
          <w:bCs/>
          <w:i/>
          <w:iCs/>
          <w:sz w:val="16"/>
          <w:szCs w:val="16"/>
        </w:rPr>
        <w:t>Bringing knowledge back in: From social constructivism to social realism in the sociology of education.</w:t>
      </w:r>
      <w:r w:rsidRPr="00B544D7">
        <w:rPr>
          <w:bCs/>
          <w:iCs/>
          <w:sz w:val="16"/>
          <w:szCs w:val="16"/>
        </w:rPr>
        <w:t xml:space="preserve"> New York: Routledge.</w:t>
      </w:r>
    </w:p>
    <w:p w:rsidR="0015711E" w:rsidRPr="007C0E29" w:rsidRDefault="0015711E" w:rsidP="007C0E29">
      <w:pPr>
        <w:ind w:left="426" w:hanging="426"/>
        <w:rPr>
          <w:sz w:val="16"/>
          <w:szCs w:val="16"/>
        </w:rPr>
      </w:pPr>
      <w:r w:rsidRPr="007C0E29">
        <w:rPr>
          <w:sz w:val="16"/>
          <w:szCs w:val="16"/>
        </w:rPr>
        <w:t xml:space="preserve">Young, M. (2013). Overcoming the crisis in curriculum theory: A knowledge-based approach. </w:t>
      </w:r>
      <w:r w:rsidRPr="007C0E29">
        <w:rPr>
          <w:i/>
          <w:sz w:val="16"/>
          <w:szCs w:val="16"/>
        </w:rPr>
        <w:t>Journal of Curriculum Studies, 45</w:t>
      </w:r>
      <w:r w:rsidRPr="007C0E29">
        <w:rPr>
          <w:sz w:val="16"/>
          <w:szCs w:val="16"/>
        </w:rPr>
        <w:t>(2), 101–118.</w:t>
      </w:r>
    </w:p>
    <w:p w:rsidR="0015711E" w:rsidRPr="006346E5" w:rsidRDefault="0015711E" w:rsidP="006346E5">
      <w:pPr>
        <w:ind w:left="426" w:hanging="426"/>
        <w:rPr>
          <w:sz w:val="16"/>
          <w:szCs w:val="16"/>
        </w:rPr>
      </w:pPr>
      <w:r w:rsidRPr="006346E5">
        <w:rPr>
          <w:sz w:val="16"/>
          <w:szCs w:val="16"/>
        </w:rPr>
        <w:t xml:space="preserve">Zimmerman, B. J., &amp; Campillo, M. (2003). Motivating self-regulated problem solvers. In J. E. Davidson, &amp; R. J. Sternberg (Eds.), </w:t>
      </w:r>
      <w:r w:rsidRPr="006346E5">
        <w:rPr>
          <w:i/>
          <w:sz w:val="16"/>
          <w:szCs w:val="16"/>
        </w:rPr>
        <w:t>The psychology of problem solving</w:t>
      </w:r>
      <w:r w:rsidRPr="006346E5">
        <w:rPr>
          <w:sz w:val="16"/>
          <w:szCs w:val="16"/>
        </w:rPr>
        <w:t xml:space="preserve"> (</w:t>
      </w:r>
      <w:r>
        <w:rPr>
          <w:sz w:val="16"/>
          <w:szCs w:val="16"/>
        </w:rPr>
        <w:t xml:space="preserve">s. </w:t>
      </w:r>
      <w:r w:rsidRPr="006346E5">
        <w:rPr>
          <w:sz w:val="16"/>
          <w:szCs w:val="16"/>
        </w:rPr>
        <w:t>233–262). Cambridge: Cambridge University Press.</w:t>
      </w:r>
    </w:p>
    <w:p w:rsidR="00B1759D" w:rsidRDefault="00B1759D" w:rsidP="00BF123C">
      <w:pPr>
        <w:ind w:left="426" w:hanging="426"/>
        <w:rPr>
          <w:bCs/>
          <w:sz w:val="16"/>
          <w:szCs w:val="16"/>
        </w:rPr>
      </w:pPr>
      <w:r w:rsidRPr="00B1759D">
        <w:rPr>
          <w:bCs/>
          <w:sz w:val="16"/>
          <w:szCs w:val="16"/>
        </w:rPr>
        <w:t>Zlatníček, P., &amp; Pešková, K. (2012). Vývoj nástroje pro posuzování vybraných komponent a charakteristik kvality výuky: aplika</w:t>
      </w:r>
      <w:r>
        <w:rPr>
          <w:bCs/>
          <w:sz w:val="16"/>
          <w:szCs w:val="16"/>
        </w:rPr>
        <w:t xml:space="preserve">ce v oblasti cizího jazyka. </w:t>
      </w:r>
      <w:r w:rsidR="00B30CE1" w:rsidRPr="00B30CE1">
        <w:rPr>
          <w:bCs/>
          <w:i/>
          <w:sz w:val="16"/>
          <w:szCs w:val="16"/>
        </w:rPr>
        <w:t>Orbis scholae, 6</w:t>
      </w:r>
      <w:r w:rsidR="00B30CE1" w:rsidRPr="00B30CE1">
        <w:rPr>
          <w:bCs/>
          <w:sz w:val="16"/>
          <w:szCs w:val="16"/>
        </w:rPr>
        <w:t>(3) 57</w:t>
      </w:r>
      <w:r w:rsidR="00B30CE1" w:rsidRPr="00B30CE1">
        <w:rPr>
          <w:rFonts w:hint="eastAsia"/>
          <w:bCs/>
          <w:sz w:val="16"/>
          <w:szCs w:val="16"/>
        </w:rPr>
        <w:t>−</w:t>
      </w:r>
      <w:r w:rsidR="00B30CE1" w:rsidRPr="00B30CE1">
        <w:rPr>
          <w:bCs/>
          <w:sz w:val="16"/>
          <w:szCs w:val="16"/>
        </w:rPr>
        <w:t>76</w:t>
      </w:r>
      <w:r w:rsidR="00B30CE1">
        <w:rPr>
          <w:bCs/>
          <w:sz w:val="16"/>
          <w:szCs w:val="16"/>
        </w:rPr>
        <w:t>.</w:t>
      </w:r>
    </w:p>
    <w:p w:rsidR="0015711E" w:rsidRPr="00C01C4E" w:rsidRDefault="0015711E" w:rsidP="00BF123C">
      <w:pPr>
        <w:ind w:left="426" w:hanging="426"/>
        <w:rPr>
          <w:bCs/>
          <w:sz w:val="16"/>
          <w:szCs w:val="16"/>
          <w:lang w:val="en-US"/>
        </w:rPr>
      </w:pPr>
      <w:r w:rsidRPr="0096491F">
        <w:rPr>
          <w:bCs/>
          <w:sz w:val="16"/>
          <w:szCs w:val="16"/>
        </w:rPr>
        <w:t xml:space="preserve">Zujev, D. D. (1986). </w:t>
      </w:r>
      <w:r w:rsidRPr="0096491F">
        <w:rPr>
          <w:bCs/>
          <w:i/>
          <w:iCs/>
          <w:sz w:val="16"/>
          <w:szCs w:val="16"/>
        </w:rPr>
        <w:t>Ako tvoriť učebnice.</w:t>
      </w:r>
      <w:r w:rsidRPr="0096491F">
        <w:rPr>
          <w:bCs/>
          <w:sz w:val="16"/>
          <w:szCs w:val="16"/>
        </w:rPr>
        <w:t xml:space="preserve"> </w:t>
      </w:r>
      <w:r w:rsidRPr="00C01C4E">
        <w:rPr>
          <w:bCs/>
          <w:sz w:val="16"/>
          <w:szCs w:val="16"/>
          <w:lang w:val="en-US"/>
        </w:rPr>
        <w:t>Bratislava: SPN.</w:t>
      </w:r>
    </w:p>
    <w:p w:rsidR="0015711E" w:rsidRPr="005434D2" w:rsidRDefault="0015711E" w:rsidP="005434D2">
      <w:pPr>
        <w:ind w:left="426" w:hanging="426"/>
        <w:rPr>
          <w:bCs/>
          <w:sz w:val="16"/>
          <w:szCs w:val="16"/>
        </w:rPr>
      </w:pPr>
      <w:r w:rsidRPr="005434D2">
        <w:rPr>
          <w:bCs/>
          <w:sz w:val="16"/>
          <w:szCs w:val="16"/>
        </w:rPr>
        <w:t xml:space="preserve">Zumbach, J. (2003). </w:t>
      </w:r>
      <w:r w:rsidRPr="005434D2">
        <w:rPr>
          <w:bCs/>
          <w:i/>
          <w:sz w:val="16"/>
          <w:szCs w:val="16"/>
        </w:rPr>
        <w:t>Problembasiertes Lernen.</w:t>
      </w:r>
      <w:r w:rsidRPr="005434D2">
        <w:rPr>
          <w:bCs/>
          <w:sz w:val="16"/>
          <w:szCs w:val="16"/>
        </w:rPr>
        <w:t xml:space="preserve"> Münster: Waxmann. </w:t>
      </w:r>
    </w:p>
    <w:p w:rsidR="0015711E" w:rsidRPr="006C1E4A" w:rsidRDefault="0015711E" w:rsidP="006C1E4A">
      <w:pPr>
        <w:ind w:left="426" w:hanging="426"/>
        <w:rPr>
          <w:bCs/>
          <w:iCs/>
          <w:sz w:val="16"/>
          <w:szCs w:val="16"/>
        </w:rPr>
      </w:pPr>
      <w:r w:rsidRPr="006C1E4A">
        <w:rPr>
          <w:bCs/>
          <w:iCs/>
          <w:sz w:val="16"/>
          <w:szCs w:val="16"/>
        </w:rPr>
        <w:t xml:space="preserve">Žák, V. (2014). Kvalita výuky fyziky dvojí perspektivou – porovnání pohledů výzkumníka a učitele. </w:t>
      </w:r>
      <w:r w:rsidRPr="006C1E4A">
        <w:rPr>
          <w:bCs/>
          <w:i/>
          <w:iCs/>
          <w:sz w:val="16"/>
          <w:szCs w:val="16"/>
        </w:rPr>
        <w:t>Pedagogika, 64</w:t>
      </w:r>
      <w:r w:rsidRPr="006C1E4A">
        <w:rPr>
          <w:bCs/>
          <w:iCs/>
          <w:sz w:val="16"/>
          <w:szCs w:val="16"/>
        </w:rPr>
        <w:t>(1), 66</w:t>
      </w:r>
      <w:r w:rsidRPr="006C1E4A">
        <w:rPr>
          <w:bCs/>
          <w:i/>
          <w:iCs/>
          <w:sz w:val="16"/>
          <w:szCs w:val="16"/>
        </w:rPr>
        <w:t>–</w:t>
      </w:r>
      <w:r w:rsidRPr="006C1E4A">
        <w:rPr>
          <w:bCs/>
          <w:iCs/>
          <w:sz w:val="16"/>
          <w:szCs w:val="16"/>
        </w:rPr>
        <w:t>80.</w:t>
      </w:r>
    </w:p>
    <w:p w:rsidR="00244BCA" w:rsidRPr="00B717AE" w:rsidRDefault="00244BCA" w:rsidP="00F708AC">
      <w:pPr>
        <w:spacing w:after="120" w:line="360" w:lineRule="auto"/>
        <w:rPr>
          <w:rFonts w:ascii="Calibri" w:hAnsi="Calibri"/>
          <w:b/>
          <w:bCs/>
          <w:i/>
          <w:iCs/>
          <w:kern w:val="3"/>
          <w:sz w:val="20"/>
          <w:szCs w:val="20"/>
          <w:lang w:eastAsia="zh-CN"/>
        </w:rPr>
      </w:pPr>
    </w:p>
    <w:p w:rsidR="00C509AF" w:rsidRPr="002C58AD" w:rsidRDefault="00C509AF" w:rsidP="00F708AC">
      <w:pPr>
        <w:spacing w:after="120" w:line="360" w:lineRule="auto"/>
        <w:rPr>
          <w:b/>
          <w:sz w:val="32"/>
          <w:szCs w:val="32"/>
        </w:rPr>
      </w:pPr>
      <w:r w:rsidRPr="002C58AD">
        <w:rPr>
          <w:b/>
          <w:sz w:val="32"/>
          <w:szCs w:val="32"/>
        </w:rPr>
        <w:t>Analyzované učebnice</w:t>
      </w:r>
    </w:p>
    <w:p w:rsidR="002E21A4" w:rsidRPr="00B260C3" w:rsidRDefault="00F45BC6" w:rsidP="00B260C3">
      <w:pPr>
        <w:ind w:left="425" w:hanging="425"/>
        <w:rPr>
          <w:bCs/>
          <w:sz w:val="16"/>
          <w:szCs w:val="20"/>
        </w:rPr>
      </w:pPr>
      <w:r w:rsidRPr="00B260C3">
        <w:rPr>
          <w:bCs/>
          <w:sz w:val="16"/>
          <w:szCs w:val="20"/>
        </w:rPr>
        <w:t xml:space="preserve">Hübelová, D., Novák, S., &amp; Weinhöfer, M. (2007). </w:t>
      </w:r>
      <w:r w:rsidRPr="00B260C3">
        <w:rPr>
          <w:bCs/>
          <w:i/>
          <w:sz w:val="16"/>
          <w:szCs w:val="20"/>
        </w:rPr>
        <w:t>Zeměpis pro 6. ročník. 2. díl. Přírodní obraz Země.</w:t>
      </w:r>
      <w:r w:rsidRPr="00B260C3">
        <w:rPr>
          <w:bCs/>
          <w:sz w:val="16"/>
          <w:szCs w:val="20"/>
        </w:rPr>
        <w:t xml:space="preserve"> Brno: Nová škola.</w:t>
      </w:r>
    </w:p>
    <w:p w:rsidR="00F45BC6" w:rsidRPr="00B260C3" w:rsidRDefault="00F45BC6" w:rsidP="00B260C3">
      <w:pPr>
        <w:ind w:left="425" w:hanging="425"/>
        <w:rPr>
          <w:bCs/>
          <w:sz w:val="16"/>
          <w:szCs w:val="20"/>
        </w:rPr>
      </w:pPr>
      <w:r w:rsidRPr="00B260C3">
        <w:rPr>
          <w:bCs/>
          <w:sz w:val="16"/>
          <w:szCs w:val="20"/>
        </w:rPr>
        <w:t xml:space="preserve">Červený, P., Dokoupil, J., Kopp, J., Matušková, A., &amp; Mentlík, P. (2003). </w:t>
      </w:r>
      <w:r w:rsidRPr="00B260C3">
        <w:rPr>
          <w:bCs/>
          <w:i/>
          <w:sz w:val="16"/>
          <w:szCs w:val="20"/>
        </w:rPr>
        <w:t>Zeměpis 6. Učebnice pro základní šk</w:t>
      </w:r>
      <w:r w:rsidR="002D7C0F" w:rsidRPr="00B260C3">
        <w:rPr>
          <w:bCs/>
          <w:i/>
          <w:sz w:val="16"/>
          <w:szCs w:val="20"/>
        </w:rPr>
        <w:t>o</w:t>
      </w:r>
      <w:r w:rsidRPr="00B260C3">
        <w:rPr>
          <w:bCs/>
          <w:i/>
          <w:sz w:val="16"/>
          <w:szCs w:val="20"/>
        </w:rPr>
        <w:t>ly a víceletá gymnázia.</w:t>
      </w:r>
      <w:r w:rsidRPr="00B260C3">
        <w:rPr>
          <w:bCs/>
          <w:sz w:val="16"/>
          <w:szCs w:val="20"/>
        </w:rPr>
        <w:t xml:space="preserve"> </w:t>
      </w:r>
      <w:r w:rsidR="002D7C0F" w:rsidRPr="00B260C3">
        <w:rPr>
          <w:bCs/>
          <w:sz w:val="16"/>
          <w:szCs w:val="20"/>
        </w:rPr>
        <w:t>Plzeň: Fraus.</w:t>
      </w:r>
    </w:p>
    <w:p w:rsidR="002D7C0F" w:rsidRPr="00B260C3" w:rsidRDefault="002D7C0F" w:rsidP="00B260C3">
      <w:pPr>
        <w:ind w:left="425" w:hanging="425"/>
        <w:rPr>
          <w:bCs/>
          <w:sz w:val="16"/>
          <w:szCs w:val="20"/>
        </w:rPr>
      </w:pPr>
      <w:r w:rsidRPr="00B260C3">
        <w:rPr>
          <w:bCs/>
          <w:sz w:val="16"/>
          <w:szCs w:val="20"/>
        </w:rPr>
        <w:t xml:space="preserve">Demek, J., Horník, S., Hofmann, E., Hradilová, L., Janás, J., &amp; Kovařík, J. (2007). </w:t>
      </w:r>
      <w:r w:rsidRPr="00B260C3">
        <w:rPr>
          <w:bCs/>
          <w:i/>
          <w:sz w:val="16"/>
          <w:szCs w:val="20"/>
        </w:rPr>
        <w:t>Zeměpis 6. Planeta Země.</w:t>
      </w:r>
      <w:r w:rsidRPr="00B260C3">
        <w:rPr>
          <w:bCs/>
          <w:sz w:val="16"/>
          <w:szCs w:val="20"/>
        </w:rPr>
        <w:t xml:space="preserve"> Praha: SPN.</w:t>
      </w:r>
    </w:p>
    <w:p w:rsidR="002D7C0F" w:rsidRPr="00B260C3" w:rsidRDefault="002D7C0F" w:rsidP="00B260C3">
      <w:pPr>
        <w:ind w:left="425" w:hanging="425"/>
        <w:rPr>
          <w:bCs/>
          <w:sz w:val="16"/>
          <w:szCs w:val="20"/>
        </w:rPr>
      </w:pPr>
      <w:r w:rsidRPr="00B260C3">
        <w:rPr>
          <w:bCs/>
          <w:sz w:val="16"/>
          <w:szCs w:val="20"/>
        </w:rPr>
        <w:t xml:space="preserve">Voženílek, V., &amp; Demek, J. (2000). </w:t>
      </w:r>
      <w:r w:rsidRPr="00B260C3">
        <w:rPr>
          <w:bCs/>
          <w:i/>
          <w:sz w:val="16"/>
          <w:szCs w:val="20"/>
        </w:rPr>
        <w:t>Zeměpis 1. Planeta Země. Glóbus a mapa. Přírodní složky a oblasti Země.</w:t>
      </w:r>
      <w:r w:rsidRPr="00B260C3">
        <w:rPr>
          <w:bCs/>
          <w:sz w:val="16"/>
          <w:szCs w:val="20"/>
        </w:rPr>
        <w:t xml:space="preserve"> </w:t>
      </w:r>
      <w:r w:rsidR="008E42A7" w:rsidRPr="00B260C3">
        <w:rPr>
          <w:bCs/>
          <w:sz w:val="16"/>
          <w:szCs w:val="20"/>
        </w:rPr>
        <w:t>Olomouc: Prodos.</w:t>
      </w:r>
    </w:p>
    <w:p w:rsidR="008E42A7" w:rsidRPr="00B260C3" w:rsidRDefault="008E42A7" w:rsidP="00B260C3">
      <w:pPr>
        <w:ind w:left="425" w:hanging="425"/>
        <w:rPr>
          <w:bCs/>
          <w:sz w:val="16"/>
          <w:szCs w:val="20"/>
        </w:rPr>
      </w:pPr>
      <w:r w:rsidRPr="00B260C3">
        <w:rPr>
          <w:bCs/>
          <w:sz w:val="16"/>
          <w:szCs w:val="20"/>
        </w:rPr>
        <w:t xml:space="preserve">Červinka, P., &amp; Tampír, V. (2002). </w:t>
      </w:r>
      <w:r w:rsidRPr="00B260C3">
        <w:rPr>
          <w:bCs/>
          <w:i/>
          <w:sz w:val="16"/>
          <w:szCs w:val="20"/>
        </w:rPr>
        <w:t>Přírodní prostředí Země.</w:t>
      </w:r>
      <w:r w:rsidRPr="00B260C3">
        <w:rPr>
          <w:bCs/>
          <w:sz w:val="16"/>
          <w:szCs w:val="20"/>
        </w:rPr>
        <w:t xml:space="preserve"> Praha: Nakladatelství České geografické společnosti.</w:t>
      </w:r>
    </w:p>
    <w:p w:rsidR="002D7C0F" w:rsidRDefault="002D7C0F" w:rsidP="008B26CE">
      <w:pPr>
        <w:spacing w:after="120" w:line="360" w:lineRule="auto"/>
        <w:rPr>
          <w:bCs/>
          <w:sz w:val="20"/>
          <w:szCs w:val="20"/>
        </w:rPr>
      </w:pPr>
    </w:p>
    <w:p w:rsidR="00625A6E" w:rsidRDefault="00625A6E" w:rsidP="001A4000">
      <w:pPr>
        <w:pStyle w:val="Nadpis1"/>
        <w:numPr>
          <w:ilvl w:val="0"/>
          <w:numId w:val="0"/>
        </w:numPr>
        <w:spacing w:before="0" w:after="120" w:line="360" w:lineRule="auto"/>
      </w:pPr>
      <w:bookmarkStart w:id="136" w:name="_Toc399775455"/>
      <w:r w:rsidRPr="002C58AD">
        <w:t>Seznam obrázků</w:t>
      </w:r>
      <w:bookmarkEnd w:id="136"/>
      <w:r w:rsidRPr="002C58AD">
        <w:t xml:space="preserve"> </w:t>
      </w:r>
    </w:p>
    <w:p w:rsidR="00F636D4" w:rsidRPr="001A61B6" w:rsidRDefault="003818A1">
      <w:pPr>
        <w:pStyle w:val="Seznamobrzk"/>
        <w:tabs>
          <w:tab w:val="right" w:leader="dot" w:pos="9060"/>
        </w:tabs>
        <w:rPr>
          <w:rFonts w:asciiTheme="minorHAnsi" w:eastAsiaTheme="minorEastAsia" w:hAnsiTheme="minorHAnsi" w:cstheme="minorBidi"/>
          <w:noProof/>
          <w:sz w:val="16"/>
          <w:szCs w:val="16"/>
        </w:rPr>
      </w:pPr>
      <w:r w:rsidRPr="001A61B6">
        <w:rPr>
          <w:sz w:val="16"/>
          <w:szCs w:val="16"/>
        </w:rPr>
        <w:fldChar w:fldCharType="begin"/>
      </w:r>
      <w:r w:rsidR="001A4000" w:rsidRPr="001A61B6">
        <w:rPr>
          <w:sz w:val="16"/>
          <w:szCs w:val="16"/>
        </w:rPr>
        <w:instrText xml:space="preserve"> TOC \h \z \c "Obrázek" </w:instrText>
      </w:r>
      <w:r w:rsidRPr="001A61B6">
        <w:rPr>
          <w:sz w:val="16"/>
          <w:szCs w:val="16"/>
        </w:rPr>
        <w:fldChar w:fldCharType="separate"/>
      </w:r>
      <w:hyperlink w:anchor="_Toc399789139" w:history="1">
        <w:r w:rsidR="00F636D4" w:rsidRPr="001A61B6">
          <w:rPr>
            <w:rStyle w:val="Hypertextovodkaz"/>
            <w:i/>
            <w:noProof/>
            <w:sz w:val="16"/>
            <w:szCs w:val="16"/>
          </w:rPr>
          <w:t>Obrázek 1.</w:t>
        </w:r>
        <w:r w:rsidR="00F636D4" w:rsidRPr="001A61B6">
          <w:rPr>
            <w:rStyle w:val="Hypertextovodkaz"/>
            <w:noProof/>
            <w:sz w:val="16"/>
            <w:szCs w:val="16"/>
          </w:rPr>
          <w:t xml:space="preserve"> Helmkeho model kvality výuky.</w:t>
        </w:r>
        <w:r w:rsidR="00F636D4" w:rsidRPr="001A61B6">
          <w:rPr>
            <w:noProof/>
            <w:webHidden/>
            <w:sz w:val="16"/>
            <w:szCs w:val="16"/>
          </w:rPr>
          <w:tab/>
        </w:r>
        <w:r w:rsidRPr="001A61B6">
          <w:rPr>
            <w:noProof/>
            <w:webHidden/>
            <w:sz w:val="16"/>
            <w:szCs w:val="16"/>
          </w:rPr>
          <w:fldChar w:fldCharType="begin"/>
        </w:r>
        <w:r w:rsidR="00F636D4" w:rsidRPr="001A61B6">
          <w:rPr>
            <w:noProof/>
            <w:webHidden/>
            <w:sz w:val="16"/>
            <w:szCs w:val="16"/>
          </w:rPr>
          <w:instrText xml:space="preserve"> PAGEREF _Toc399789139 \h </w:instrText>
        </w:r>
        <w:r w:rsidRPr="001A61B6">
          <w:rPr>
            <w:noProof/>
            <w:webHidden/>
            <w:sz w:val="16"/>
            <w:szCs w:val="16"/>
          </w:rPr>
        </w:r>
        <w:r w:rsidRPr="001A61B6">
          <w:rPr>
            <w:noProof/>
            <w:webHidden/>
            <w:sz w:val="16"/>
            <w:szCs w:val="16"/>
          </w:rPr>
          <w:fldChar w:fldCharType="separate"/>
        </w:r>
        <w:r w:rsidR="00A720FB">
          <w:rPr>
            <w:noProof/>
            <w:webHidden/>
            <w:sz w:val="16"/>
            <w:szCs w:val="16"/>
          </w:rPr>
          <w:t>14</w:t>
        </w:r>
        <w:r w:rsidRPr="001A61B6">
          <w:rPr>
            <w:noProof/>
            <w:webHidden/>
            <w:sz w:val="16"/>
            <w:szCs w:val="16"/>
          </w:rPr>
          <w:fldChar w:fldCharType="end"/>
        </w:r>
      </w:hyperlink>
    </w:p>
    <w:p w:rsidR="00F636D4"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789140" w:history="1">
        <w:r w:rsidR="00F636D4" w:rsidRPr="001A61B6">
          <w:rPr>
            <w:rStyle w:val="Hypertextovodkaz"/>
            <w:i/>
            <w:noProof/>
            <w:sz w:val="16"/>
            <w:szCs w:val="16"/>
          </w:rPr>
          <w:t>Obrázek 2</w:t>
        </w:r>
        <w:r w:rsidR="00F636D4" w:rsidRPr="001A61B6">
          <w:rPr>
            <w:rStyle w:val="Hypertextovodkaz"/>
            <w:noProof/>
            <w:sz w:val="16"/>
            <w:szCs w:val="16"/>
          </w:rPr>
          <w:t>. Zastřešující kategorie klíčových kompetencí.</w:t>
        </w:r>
        <w:r w:rsidR="00F636D4" w:rsidRPr="001A61B6">
          <w:rPr>
            <w:noProof/>
            <w:webHidden/>
            <w:sz w:val="16"/>
            <w:szCs w:val="16"/>
          </w:rPr>
          <w:tab/>
        </w:r>
        <w:r w:rsidR="003818A1" w:rsidRPr="001A61B6">
          <w:rPr>
            <w:noProof/>
            <w:webHidden/>
            <w:sz w:val="16"/>
            <w:szCs w:val="16"/>
          </w:rPr>
          <w:fldChar w:fldCharType="begin"/>
        </w:r>
        <w:r w:rsidR="00F636D4" w:rsidRPr="001A61B6">
          <w:rPr>
            <w:noProof/>
            <w:webHidden/>
            <w:sz w:val="16"/>
            <w:szCs w:val="16"/>
          </w:rPr>
          <w:instrText xml:space="preserve"> PAGEREF _Toc399789140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25</w:t>
        </w:r>
        <w:r w:rsidR="003818A1" w:rsidRPr="001A61B6">
          <w:rPr>
            <w:noProof/>
            <w:webHidden/>
            <w:sz w:val="16"/>
            <w:szCs w:val="16"/>
          </w:rPr>
          <w:fldChar w:fldCharType="end"/>
        </w:r>
      </w:hyperlink>
    </w:p>
    <w:p w:rsidR="00F636D4"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789141" w:history="1">
        <w:r w:rsidR="00F636D4" w:rsidRPr="001A61B6">
          <w:rPr>
            <w:rStyle w:val="Hypertextovodkaz"/>
            <w:i/>
            <w:noProof/>
            <w:sz w:val="16"/>
            <w:szCs w:val="16"/>
          </w:rPr>
          <w:t>Obrázek 3.</w:t>
        </w:r>
        <w:r w:rsidR="00F636D4" w:rsidRPr="001A61B6">
          <w:rPr>
            <w:rStyle w:val="Hypertextovodkaz"/>
            <w:noProof/>
            <w:sz w:val="16"/>
            <w:szCs w:val="16"/>
          </w:rPr>
          <w:t xml:space="preserve"> Frekvence výskytu klíčových kompetencí v kurikulárních dokumentech ve dvanácti zemích zapojených do projektu </w:t>
        </w:r>
        <w:r w:rsidR="00F636D4" w:rsidRPr="001A61B6">
          <w:rPr>
            <w:rStyle w:val="Hypertextovodkaz"/>
            <w:i/>
            <w:noProof/>
            <w:sz w:val="16"/>
            <w:szCs w:val="16"/>
          </w:rPr>
          <w:t>DeSeCo</w:t>
        </w:r>
        <w:r w:rsidR="00F636D4" w:rsidRPr="001A61B6">
          <w:rPr>
            <w:rStyle w:val="Hypertextovodkaz"/>
            <w:noProof/>
            <w:sz w:val="16"/>
            <w:szCs w:val="16"/>
          </w:rPr>
          <w:t>.</w:t>
        </w:r>
        <w:r w:rsidR="00F636D4" w:rsidRPr="001A61B6">
          <w:rPr>
            <w:noProof/>
            <w:webHidden/>
            <w:sz w:val="16"/>
            <w:szCs w:val="16"/>
          </w:rPr>
          <w:tab/>
        </w:r>
        <w:r w:rsidR="003818A1" w:rsidRPr="001A61B6">
          <w:rPr>
            <w:noProof/>
            <w:webHidden/>
            <w:sz w:val="16"/>
            <w:szCs w:val="16"/>
          </w:rPr>
          <w:fldChar w:fldCharType="begin"/>
        </w:r>
        <w:r w:rsidR="00F636D4" w:rsidRPr="001A61B6">
          <w:rPr>
            <w:noProof/>
            <w:webHidden/>
            <w:sz w:val="16"/>
            <w:szCs w:val="16"/>
          </w:rPr>
          <w:instrText xml:space="preserve"> PAGEREF _Toc399789141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25</w:t>
        </w:r>
        <w:r w:rsidR="003818A1" w:rsidRPr="001A61B6">
          <w:rPr>
            <w:noProof/>
            <w:webHidden/>
            <w:sz w:val="16"/>
            <w:szCs w:val="16"/>
          </w:rPr>
          <w:fldChar w:fldCharType="end"/>
        </w:r>
      </w:hyperlink>
    </w:p>
    <w:p w:rsidR="00F636D4"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789142" w:history="1">
        <w:r w:rsidR="00F636D4" w:rsidRPr="001A61B6">
          <w:rPr>
            <w:rStyle w:val="Hypertextovodkaz"/>
            <w:i/>
            <w:noProof/>
            <w:sz w:val="16"/>
            <w:szCs w:val="16"/>
          </w:rPr>
          <w:t>Obrázek 4.</w:t>
        </w:r>
        <w:r w:rsidR="00F636D4" w:rsidRPr="001A61B6">
          <w:rPr>
            <w:rStyle w:val="Hypertextovodkaz"/>
            <w:noProof/>
            <w:sz w:val="16"/>
            <w:szCs w:val="16"/>
          </w:rPr>
          <w:t xml:space="preserve"> Tři dimenze fyzikální kompetence vztažené k oborovým obsahům.</w:t>
        </w:r>
        <w:r w:rsidR="00F636D4" w:rsidRPr="001A61B6">
          <w:rPr>
            <w:noProof/>
            <w:webHidden/>
            <w:sz w:val="16"/>
            <w:szCs w:val="16"/>
          </w:rPr>
          <w:tab/>
        </w:r>
        <w:r w:rsidR="003818A1" w:rsidRPr="001A61B6">
          <w:rPr>
            <w:noProof/>
            <w:webHidden/>
            <w:sz w:val="16"/>
            <w:szCs w:val="16"/>
          </w:rPr>
          <w:fldChar w:fldCharType="begin"/>
        </w:r>
        <w:r w:rsidR="00F636D4" w:rsidRPr="001A61B6">
          <w:rPr>
            <w:noProof/>
            <w:webHidden/>
            <w:sz w:val="16"/>
            <w:szCs w:val="16"/>
          </w:rPr>
          <w:instrText xml:space="preserve"> PAGEREF _Toc399789142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31</w:t>
        </w:r>
        <w:r w:rsidR="003818A1" w:rsidRPr="001A61B6">
          <w:rPr>
            <w:noProof/>
            <w:webHidden/>
            <w:sz w:val="16"/>
            <w:szCs w:val="16"/>
          </w:rPr>
          <w:fldChar w:fldCharType="end"/>
        </w:r>
      </w:hyperlink>
    </w:p>
    <w:p w:rsidR="00F636D4"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789143" w:history="1">
        <w:r w:rsidR="00F636D4" w:rsidRPr="001A61B6">
          <w:rPr>
            <w:rStyle w:val="Hypertextovodkaz"/>
            <w:i/>
            <w:noProof/>
            <w:sz w:val="16"/>
            <w:szCs w:val="16"/>
          </w:rPr>
          <w:t>Obrázek 5.</w:t>
        </w:r>
        <w:r w:rsidR="00F636D4" w:rsidRPr="001A61B6">
          <w:rPr>
            <w:rStyle w:val="Hypertextovodkaz"/>
            <w:noProof/>
            <w:sz w:val="16"/>
            <w:szCs w:val="16"/>
          </w:rPr>
          <w:t xml:space="preserve"> Základní koncepty analýzy prostoru v geografii.</w:t>
        </w:r>
        <w:r w:rsidR="00F636D4" w:rsidRPr="001A61B6">
          <w:rPr>
            <w:noProof/>
            <w:webHidden/>
            <w:sz w:val="16"/>
            <w:szCs w:val="16"/>
          </w:rPr>
          <w:tab/>
        </w:r>
        <w:r w:rsidR="003818A1" w:rsidRPr="001A61B6">
          <w:rPr>
            <w:noProof/>
            <w:webHidden/>
            <w:sz w:val="16"/>
            <w:szCs w:val="16"/>
          </w:rPr>
          <w:fldChar w:fldCharType="begin"/>
        </w:r>
        <w:r w:rsidR="00F636D4" w:rsidRPr="001A61B6">
          <w:rPr>
            <w:noProof/>
            <w:webHidden/>
            <w:sz w:val="16"/>
            <w:szCs w:val="16"/>
          </w:rPr>
          <w:instrText xml:space="preserve"> PAGEREF _Toc399789143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36</w:t>
        </w:r>
        <w:r w:rsidR="003818A1" w:rsidRPr="001A61B6">
          <w:rPr>
            <w:noProof/>
            <w:webHidden/>
            <w:sz w:val="16"/>
            <w:szCs w:val="16"/>
          </w:rPr>
          <w:fldChar w:fldCharType="end"/>
        </w:r>
      </w:hyperlink>
    </w:p>
    <w:p w:rsidR="00F636D4"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789144" w:history="1">
        <w:r w:rsidR="00F636D4" w:rsidRPr="001A61B6">
          <w:rPr>
            <w:rStyle w:val="Hypertextovodkaz"/>
            <w:i/>
            <w:noProof/>
            <w:sz w:val="16"/>
            <w:szCs w:val="16"/>
          </w:rPr>
          <w:t>Obrázek 6.</w:t>
        </w:r>
        <w:r w:rsidR="00F636D4" w:rsidRPr="001A61B6">
          <w:rPr>
            <w:rStyle w:val="Hypertextovodkaz"/>
            <w:noProof/>
            <w:sz w:val="16"/>
            <w:szCs w:val="16"/>
          </w:rPr>
          <w:t xml:space="preserve"> Klasifikace situací se zřetelem k typologii problémů.</w:t>
        </w:r>
        <w:r w:rsidR="00F636D4" w:rsidRPr="001A61B6">
          <w:rPr>
            <w:noProof/>
            <w:webHidden/>
            <w:sz w:val="16"/>
            <w:szCs w:val="16"/>
          </w:rPr>
          <w:tab/>
        </w:r>
        <w:r w:rsidR="003818A1" w:rsidRPr="001A61B6">
          <w:rPr>
            <w:noProof/>
            <w:webHidden/>
            <w:sz w:val="16"/>
            <w:szCs w:val="16"/>
          </w:rPr>
          <w:fldChar w:fldCharType="begin"/>
        </w:r>
        <w:r w:rsidR="00F636D4" w:rsidRPr="001A61B6">
          <w:rPr>
            <w:noProof/>
            <w:webHidden/>
            <w:sz w:val="16"/>
            <w:szCs w:val="16"/>
          </w:rPr>
          <w:instrText xml:space="preserve"> PAGEREF _Toc399789144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46</w:t>
        </w:r>
        <w:r w:rsidR="003818A1" w:rsidRPr="001A61B6">
          <w:rPr>
            <w:noProof/>
            <w:webHidden/>
            <w:sz w:val="16"/>
            <w:szCs w:val="16"/>
          </w:rPr>
          <w:fldChar w:fldCharType="end"/>
        </w:r>
      </w:hyperlink>
    </w:p>
    <w:p w:rsidR="00F636D4"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789145" w:history="1">
        <w:r w:rsidR="00F636D4" w:rsidRPr="001A61B6">
          <w:rPr>
            <w:rStyle w:val="Hypertextovodkaz"/>
            <w:i/>
            <w:noProof/>
            <w:sz w:val="16"/>
            <w:szCs w:val="16"/>
          </w:rPr>
          <w:t xml:space="preserve">Obrázek 7. </w:t>
        </w:r>
        <w:r w:rsidR="00F636D4" w:rsidRPr="001A61B6">
          <w:rPr>
            <w:rStyle w:val="Hypertextovodkaz"/>
            <w:noProof/>
            <w:sz w:val="16"/>
            <w:szCs w:val="16"/>
          </w:rPr>
          <w:t>Typy problémů a jejich vztah ke znalostem.</w:t>
        </w:r>
        <w:r w:rsidR="00F636D4" w:rsidRPr="001A61B6">
          <w:rPr>
            <w:noProof/>
            <w:webHidden/>
            <w:sz w:val="16"/>
            <w:szCs w:val="16"/>
          </w:rPr>
          <w:tab/>
        </w:r>
        <w:r w:rsidR="003818A1" w:rsidRPr="001A61B6">
          <w:rPr>
            <w:noProof/>
            <w:webHidden/>
            <w:sz w:val="16"/>
            <w:szCs w:val="16"/>
          </w:rPr>
          <w:fldChar w:fldCharType="begin"/>
        </w:r>
        <w:r w:rsidR="00F636D4" w:rsidRPr="001A61B6">
          <w:rPr>
            <w:noProof/>
            <w:webHidden/>
            <w:sz w:val="16"/>
            <w:szCs w:val="16"/>
          </w:rPr>
          <w:instrText xml:space="preserve"> PAGEREF _Toc399789145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52</w:t>
        </w:r>
        <w:r w:rsidR="003818A1" w:rsidRPr="001A61B6">
          <w:rPr>
            <w:noProof/>
            <w:webHidden/>
            <w:sz w:val="16"/>
            <w:szCs w:val="16"/>
          </w:rPr>
          <w:fldChar w:fldCharType="end"/>
        </w:r>
      </w:hyperlink>
    </w:p>
    <w:p w:rsidR="00F636D4"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789146" w:history="1">
        <w:r w:rsidR="00F636D4" w:rsidRPr="001A61B6">
          <w:rPr>
            <w:rStyle w:val="Hypertextovodkaz"/>
            <w:i/>
            <w:noProof/>
            <w:sz w:val="16"/>
            <w:szCs w:val="16"/>
          </w:rPr>
          <w:t xml:space="preserve">Obrázek 8. </w:t>
        </w:r>
        <w:r w:rsidR="00F636D4" w:rsidRPr="001A61B6">
          <w:rPr>
            <w:rStyle w:val="Hypertextovodkaz"/>
            <w:noProof/>
            <w:sz w:val="16"/>
            <w:szCs w:val="16"/>
          </w:rPr>
          <w:t>Třísložkový model řešení problémů s vyznačenými interakcemi.</w:t>
        </w:r>
        <w:r w:rsidR="00F636D4" w:rsidRPr="001A61B6">
          <w:rPr>
            <w:noProof/>
            <w:webHidden/>
            <w:sz w:val="16"/>
            <w:szCs w:val="16"/>
          </w:rPr>
          <w:tab/>
        </w:r>
        <w:r w:rsidR="003818A1" w:rsidRPr="001A61B6">
          <w:rPr>
            <w:noProof/>
            <w:webHidden/>
            <w:sz w:val="16"/>
            <w:szCs w:val="16"/>
          </w:rPr>
          <w:fldChar w:fldCharType="begin"/>
        </w:r>
        <w:r w:rsidR="00F636D4" w:rsidRPr="001A61B6">
          <w:rPr>
            <w:noProof/>
            <w:webHidden/>
            <w:sz w:val="16"/>
            <w:szCs w:val="16"/>
          </w:rPr>
          <w:instrText xml:space="preserve"> PAGEREF _Toc399789146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56</w:t>
        </w:r>
        <w:r w:rsidR="003818A1" w:rsidRPr="001A61B6">
          <w:rPr>
            <w:noProof/>
            <w:webHidden/>
            <w:sz w:val="16"/>
            <w:szCs w:val="16"/>
          </w:rPr>
          <w:fldChar w:fldCharType="end"/>
        </w:r>
      </w:hyperlink>
    </w:p>
    <w:p w:rsidR="00F636D4"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789147" w:history="1">
        <w:r w:rsidR="00F636D4" w:rsidRPr="001A61B6">
          <w:rPr>
            <w:rStyle w:val="Hypertextovodkaz"/>
            <w:i/>
            <w:noProof/>
            <w:sz w:val="16"/>
            <w:szCs w:val="16"/>
          </w:rPr>
          <w:t xml:space="preserve">Obrázek 9. </w:t>
        </w:r>
        <w:r w:rsidR="00F636D4" w:rsidRPr="001A61B6">
          <w:rPr>
            <w:rStyle w:val="Hypertextovodkaz"/>
            <w:noProof/>
            <w:sz w:val="16"/>
            <w:szCs w:val="16"/>
          </w:rPr>
          <w:t>Ideálně typický postup řešení problémové učební úlohy a jeho členění do dílčích fází.</w:t>
        </w:r>
        <w:r w:rsidR="00F636D4" w:rsidRPr="001A61B6">
          <w:rPr>
            <w:noProof/>
            <w:webHidden/>
            <w:sz w:val="16"/>
            <w:szCs w:val="16"/>
          </w:rPr>
          <w:tab/>
        </w:r>
        <w:r w:rsidR="003818A1" w:rsidRPr="001A61B6">
          <w:rPr>
            <w:noProof/>
            <w:webHidden/>
            <w:sz w:val="16"/>
            <w:szCs w:val="16"/>
          </w:rPr>
          <w:fldChar w:fldCharType="begin"/>
        </w:r>
        <w:r w:rsidR="00F636D4" w:rsidRPr="001A61B6">
          <w:rPr>
            <w:noProof/>
            <w:webHidden/>
            <w:sz w:val="16"/>
            <w:szCs w:val="16"/>
          </w:rPr>
          <w:instrText xml:space="preserve"> PAGEREF _Toc399789147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68</w:t>
        </w:r>
        <w:r w:rsidR="003818A1" w:rsidRPr="001A61B6">
          <w:rPr>
            <w:noProof/>
            <w:webHidden/>
            <w:sz w:val="16"/>
            <w:szCs w:val="16"/>
          </w:rPr>
          <w:fldChar w:fldCharType="end"/>
        </w:r>
      </w:hyperlink>
    </w:p>
    <w:p w:rsidR="00F636D4"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789148" w:history="1">
        <w:r w:rsidR="00F636D4" w:rsidRPr="001A61B6">
          <w:rPr>
            <w:rStyle w:val="Hypertextovodkaz"/>
            <w:i/>
            <w:noProof/>
            <w:sz w:val="16"/>
            <w:szCs w:val="16"/>
          </w:rPr>
          <w:t xml:space="preserve">Obrázek 10. </w:t>
        </w:r>
        <w:r w:rsidR="00F636D4" w:rsidRPr="001A61B6">
          <w:rPr>
            <w:rStyle w:val="Hypertextovodkaz"/>
            <w:noProof/>
            <w:sz w:val="16"/>
            <w:szCs w:val="16"/>
          </w:rPr>
          <w:t>Vnitřní pohled na učební úlohu.</w:t>
        </w:r>
        <w:r w:rsidR="00F636D4" w:rsidRPr="001A61B6">
          <w:rPr>
            <w:noProof/>
            <w:webHidden/>
            <w:sz w:val="16"/>
            <w:szCs w:val="16"/>
          </w:rPr>
          <w:tab/>
        </w:r>
        <w:r w:rsidR="003818A1" w:rsidRPr="001A61B6">
          <w:rPr>
            <w:noProof/>
            <w:webHidden/>
            <w:sz w:val="16"/>
            <w:szCs w:val="16"/>
          </w:rPr>
          <w:fldChar w:fldCharType="begin"/>
        </w:r>
        <w:r w:rsidR="00F636D4" w:rsidRPr="001A61B6">
          <w:rPr>
            <w:noProof/>
            <w:webHidden/>
            <w:sz w:val="16"/>
            <w:szCs w:val="16"/>
          </w:rPr>
          <w:instrText xml:space="preserve"> PAGEREF _Toc399789148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69</w:t>
        </w:r>
        <w:r w:rsidR="003818A1" w:rsidRPr="001A61B6">
          <w:rPr>
            <w:noProof/>
            <w:webHidden/>
            <w:sz w:val="16"/>
            <w:szCs w:val="16"/>
          </w:rPr>
          <w:fldChar w:fldCharType="end"/>
        </w:r>
      </w:hyperlink>
    </w:p>
    <w:p w:rsidR="00F636D4"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789149" w:history="1">
        <w:r w:rsidR="00F636D4" w:rsidRPr="001A61B6">
          <w:rPr>
            <w:rStyle w:val="Hypertextovodkaz"/>
            <w:i/>
            <w:noProof/>
            <w:sz w:val="16"/>
            <w:szCs w:val="16"/>
          </w:rPr>
          <w:t xml:space="preserve">Obrázek 11. </w:t>
        </w:r>
        <w:r w:rsidR="00F636D4" w:rsidRPr="001A61B6">
          <w:rPr>
            <w:rStyle w:val="Hypertextovodkaz"/>
            <w:noProof/>
            <w:sz w:val="16"/>
            <w:szCs w:val="16"/>
          </w:rPr>
          <w:t>Cyklus řešení problémů.</w:t>
        </w:r>
        <w:r w:rsidR="00F636D4" w:rsidRPr="001A61B6">
          <w:rPr>
            <w:noProof/>
            <w:webHidden/>
            <w:sz w:val="16"/>
            <w:szCs w:val="16"/>
          </w:rPr>
          <w:tab/>
        </w:r>
        <w:r w:rsidR="003818A1" w:rsidRPr="001A61B6">
          <w:rPr>
            <w:noProof/>
            <w:webHidden/>
            <w:sz w:val="16"/>
            <w:szCs w:val="16"/>
          </w:rPr>
          <w:fldChar w:fldCharType="begin"/>
        </w:r>
        <w:r w:rsidR="00F636D4" w:rsidRPr="001A61B6">
          <w:rPr>
            <w:noProof/>
            <w:webHidden/>
            <w:sz w:val="16"/>
            <w:szCs w:val="16"/>
          </w:rPr>
          <w:instrText xml:space="preserve"> PAGEREF _Toc399789149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70</w:t>
        </w:r>
        <w:r w:rsidR="003818A1" w:rsidRPr="001A61B6">
          <w:rPr>
            <w:noProof/>
            <w:webHidden/>
            <w:sz w:val="16"/>
            <w:szCs w:val="16"/>
          </w:rPr>
          <w:fldChar w:fldCharType="end"/>
        </w:r>
      </w:hyperlink>
    </w:p>
    <w:p w:rsidR="00F636D4"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789150" w:history="1">
        <w:r w:rsidR="00F636D4" w:rsidRPr="001A61B6">
          <w:rPr>
            <w:rStyle w:val="Hypertextovodkaz"/>
            <w:i/>
            <w:noProof/>
            <w:sz w:val="16"/>
            <w:szCs w:val="16"/>
          </w:rPr>
          <w:t xml:space="preserve">Obrázek 12. </w:t>
        </w:r>
        <w:r w:rsidR="00F636D4" w:rsidRPr="001A61B6">
          <w:rPr>
            <w:rStyle w:val="Hypertextovodkaz"/>
            <w:noProof/>
            <w:sz w:val="16"/>
            <w:szCs w:val="16"/>
          </w:rPr>
          <w:t>Konceptualizace znalostí.</w:t>
        </w:r>
        <w:r w:rsidR="00F636D4" w:rsidRPr="001A61B6">
          <w:rPr>
            <w:noProof/>
            <w:webHidden/>
            <w:sz w:val="16"/>
            <w:szCs w:val="16"/>
          </w:rPr>
          <w:tab/>
        </w:r>
        <w:r w:rsidR="003818A1" w:rsidRPr="001A61B6">
          <w:rPr>
            <w:noProof/>
            <w:webHidden/>
            <w:sz w:val="16"/>
            <w:szCs w:val="16"/>
          </w:rPr>
          <w:fldChar w:fldCharType="begin"/>
        </w:r>
        <w:r w:rsidR="00F636D4" w:rsidRPr="001A61B6">
          <w:rPr>
            <w:noProof/>
            <w:webHidden/>
            <w:sz w:val="16"/>
            <w:szCs w:val="16"/>
          </w:rPr>
          <w:instrText xml:space="preserve"> PAGEREF _Toc399789150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74</w:t>
        </w:r>
        <w:r w:rsidR="003818A1" w:rsidRPr="001A61B6">
          <w:rPr>
            <w:noProof/>
            <w:webHidden/>
            <w:sz w:val="16"/>
            <w:szCs w:val="16"/>
          </w:rPr>
          <w:fldChar w:fldCharType="end"/>
        </w:r>
      </w:hyperlink>
    </w:p>
    <w:p w:rsidR="00F636D4"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789151" w:history="1">
        <w:r w:rsidR="00F636D4" w:rsidRPr="001A61B6">
          <w:rPr>
            <w:rStyle w:val="Hypertextovodkaz"/>
            <w:i/>
            <w:noProof/>
            <w:sz w:val="16"/>
            <w:szCs w:val="16"/>
          </w:rPr>
          <w:t xml:space="preserve">Obrázek 13. </w:t>
        </w:r>
        <w:r w:rsidR="00F636D4" w:rsidRPr="001A61B6">
          <w:rPr>
            <w:rStyle w:val="Hypertextovodkaz"/>
            <w:noProof/>
            <w:sz w:val="16"/>
            <w:szCs w:val="16"/>
          </w:rPr>
          <w:t>Gagného klasifikace znalostí.</w:t>
        </w:r>
        <w:r w:rsidR="00F636D4" w:rsidRPr="001A61B6">
          <w:rPr>
            <w:noProof/>
            <w:webHidden/>
            <w:sz w:val="16"/>
            <w:szCs w:val="16"/>
          </w:rPr>
          <w:tab/>
        </w:r>
        <w:r w:rsidR="003818A1" w:rsidRPr="001A61B6">
          <w:rPr>
            <w:noProof/>
            <w:webHidden/>
            <w:sz w:val="16"/>
            <w:szCs w:val="16"/>
          </w:rPr>
          <w:fldChar w:fldCharType="begin"/>
        </w:r>
        <w:r w:rsidR="00F636D4" w:rsidRPr="001A61B6">
          <w:rPr>
            <w:noProof/>
            <w:webHidden/>
            <w:sz w:val="16"/>
            <w:szCs w:val="16"/>
          </w:rPr>
          <w:instrText xml:space="preserve"> PAGEREF _Toc399789151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76</w:t>
        </w:r>
        <w:r w:rsidR="003818A1" w:rsidRPr="001A61B6">
          <w:rPr>
            <w:noProof/>
            <w:webHidden/>
            <w:sz w:val="16"/>
            <w:szCs w:val="16"/>
          </w:rPr>
          <w:fldChar w:fldCharType="end"/>
        </w:r>
      </w:hyperlink>
    </w:p>
    <w:p w:rsidR="00F636D4"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789152" w:history="1">
        <w:r w:rsidR="00F636D4" w:rsidRPr="001A61B6">
          <w:rPr>
            <w:rStyle w:val="Hypertextovodkaz"/>
            <w:i/>
            <w:noProof/>
            <w:sz w:val="16"/>
            <w:szCs w:val="16"/>
          </w:rPr>
          <w:t xml:space="preserve">Obrázek 14. </w:t>
        </w:r>
        <w:r w:rsidR="00F636D4" w:rsidRPr="001A61B6">
          <w:rPr>
            <w:rStyle w:val="Hypertextovodkaz"/>
            <w:noProof/>
            <w:sz w:val="16"/>
            <w:szCs w:val="16"/>
          </w:rPr>
          <w:t>Teoretický model pro zkoumání příležitostí k utváření a rozvíjení kompetence k řešení problémů.</w:t>
        </w:r>
        <w:r w:rsidR="00F636D4" w:rsidRPr="001A61B6">
          <w:rPr>
            <w:noProof/>
            <w:webHidden/>
            <w:sz w:val="16"/>
            <w:szCs w:val="16"/>
          </w:rPr>
          <w:tab/>
        </w:r>
        <w:r w:rsidR="003818A1" w:rsidRPr="001A61B6">
          <w:rPr>
            <w:noProof/>
            <w:webHidden/>
            <w:sz w:val="16"/>
            <w:szCs w:val="16"/>
          </w:rPr>
          <w:fldChar w:fldCharType="begin"/>
        </w:r>
        <w:r w:rsidR="00F636D4" w:rsidRPr="001A61B6">
          <w:rPr>
            <w:noProof/>
            <w:webHidden/>
            <w:sz w:val="16"/>
            <w:szCs w:val="16"/>
          </w:rPr>
          <w:instrText xml:space="preserve"> PAGEREF _Toc399789152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84</w:t>
        </w:r>
        <w:r w:rsidR="003818A1" w:rsidRPr="001A61B6">
          <w:rPr>
            <w:noProof/>
            <w:webHidden/>
            <w:sz w:val="16"/>
            <w:szCs w:val="16"/>
          </w:rPr>
          <w:fldChar w:fldCharType="end"/>
        </w:r>
      </w:hyperlink>
    </w:p>
    <w:p w:rsidR="00F636D4"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789153" w:history="1">
        <w:r w:rsidR="00F636D4" w:rsidRPr="001A61B6">
          <w:rPr>
            <w:rStyle w:val="Hypertextovodkaz"/>
            <w:i/>
            <w:noProof/>
            <w:sz w:val="16"/>
            <w:szCs w:val="16"/>
          </w:rPr>
          <w:t xml:space="preserve">Obrázek 15. </w:t>
        </w:r>
        <w:r w:rsidR="00F636D4" w:rsidRPr="001A61B6">
          <w:rPr>
            <w:rStyle w:val="Hypertextovodkaz"/>
            <w:noProof/>
            <w:sz w:val="16"/>
            <w:szCs w:val="16"/>
          </w:rPr>
          <w:t>Schéma výzkumného designu.</w:t>
        </w:r>
        <w:r w:rsidR="00F636D4" w:rsidRPr="001A61B6">
          <w:rPr>
            <w:noProof/>
            <w:webHidden/>
            <w:sz w:val="16"/>
            <w:szCs w:val="16"/>
          </w:rPr>
          <w:tab/>
        </w:r>
        <w:r w:rsidR="003818A1" w:rsidRPr="001A61B6">
          <w:rPr>
            <w:noProof/>
            <w:webHidden/>
            <w:sz w:val="16"/>
            <w:szCs w:val="16"/>
          </w:rPr>
          <w:fldChar w:fldCharType="begin"/>
        </w:r>
        <w:r w:rsidR="00F636D4" w:rsidRPr="001A61B6">
          <w:rPr>
            <w:noProof/>
            <w:webHidden/>
            <w:sz w:val="16"/>
            <w:szCs w:val="16"/>
          </w:rPr>
          <w:instrText xml:space="preserve"> PAGEREF _Toc399789153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94</w:t>
        </w:r>
        <w:r w:rsidR="003818A1" w:rsidRPr="001A61B6">
          <w:rPr>
            <w:noProof/>
            <w:webHidden/>
            <w:sz w:val="16"/>
            <w:szCs w:val="16"/>
          </w:rPr>
          <w:fldChar w:fldCharType="end"/>
        </w:r>
      </w:hyperlink>
    </w:p>
    <w:p w:rsidR="00F636D4"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789154" w:history="1">
        <w:r w:rsidR="00F636D4" w:rsidRPr="001A61B6">
          <w:rPr>
            <w:rStyle w:val="Hypertextovodkaz"/>
            <w:i/>
            <w:noProof/>
            <w:sz w:val="16"/>
            <w:szCs w:val="16"/>
          </w:rPr>
          <w:t>Obrázek 16.</w:t>
        </w:r>
        <w:r w:rsidR="00F636D4" w:rsidRPr="001A61B6">
          <w:rPr>
            <w:rStyle w:val="Hypertextovodkaz"/>
            <w:noProof/>
            <w:sz w:val="16"/>
            <w:szCs w:val="16"/>
          </w:rPr>
          <w:t xml:space="preserve"> Názorná pomůcka pro posuzování jednotlivých dimenzí problémových učebních úloh.</w:t>
        </w:r>
        <w:r w:rsidR="00F636D4" w:rsidRPr="001A61B6">
          <w:rPr>
            <w:noProof/>
            <w:webHidden/>
            <w:sz w:val="16"/>
            <w:szCs w:val="16"/>
          </w:rPr>
          <w:tab/>
        </w:r>
        <w:r w:rsidR="003818A1" w:rsidRPr="001A61B6">
          <w:rPr>
            <w:noProof/>
            <w:webHidden/>
            <w:sz w:val="16"/>
            <w:szCs w:val="16"/>
          </w:rPr>
          <w:fldChar w:fldCharType="begin"/>
        </w:r>
        <w:r w:rsidR="00F636D4" w:rsidRPr="001A61B6">
          <w:rPr>
            <w:noProof/>
            <w:webHidden/>
            <w:sz w:val="16"/>
            <w:szCs w:val="16"/>
          </w:rPr>
          <w:instrText xml:space="preserve"> PAGEREF _Toc399789154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97</w:t>
        </w:r>
        <w:r w:rsidR="003818A1" w:rsidRPr="001A61B6">
          <w:rPr>
            <w:noProof/>
            <w:webHidden/>
            <w:sz w:val="16"/>
            <w:szCs w:val="16"/>
          </w:rPr>
          <w:fldChar w:fldCharType="end"/>
        </w:r>
      </w:hyperlink>
    </w:p>
    <w:p w:rsidR="00F636D4"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789155" w:history="1">
        <w:r w:rsidR="00F636D4" w:rsidRPr="001A61B6">
          <w:rPr>
            <w:rStyle w:val="Hypertextovodkaz"/>
            <w:i/>
            <w:noProof/>
            <w:sz w:val="16"/>
            <w:szCs w:val="16"/>
          </w:rPr>
          <w:t xml:space="preserve">Obrázek 17. </w:t>
        </w:r>
        <w:r w:rsidR="00F636D4" w:rsidRPr="001A61B6">
          <w:rPr>
            <w:rStyle w:val="Hypertextovodkaz"/>
            <w:noProof/>
            <w:sz w:val="16"/>
            <w:szCs w:val="16"/>
          </w:rPr>
          <w:t>Počet učebních úloh v učebnicích z jednotlivých vydavatelství.</w:t>
        </w:r>
        <w:r w:rsidR="00F636D4" w:rsidRPr="001A61B6">
          <w:rPr>
            <w:noProof/>
            <w:webHidden/>
            <w:sz w:val="16"/>
            <w:szCs w:val="16"/>
          </w:rPr>
          <w:tab/>
        </w:r>
        <w:r w:rsidR="003818A1" w:rsidRPr="001A61B6">
          <w:rPr>
            <w:noProof/>
            <w:webHidden/>
            <w:sz w:val="16"/>
            <w:szCs w:val="16"/>
          </w:rPr>
          <w:fldChar w:fldCharType="begin"/>
        </w:r>
        <w:r w:rsidR="00F636D4" w:rsidRPr="001A61B6">
          <w:rPr>
            <w:noProof/>
            <w:webHidden/>
            <w:sz w:val="16"/>
            <w:szCs w:val="16"/>
          </w:rPr>
          <w:instrText xml:space="preserve"> PAGEREF _Toc399789155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110</w:t>
        </w:r>
        <w:r w:rsidR="003818A1" w:rsidRPr="001A61B6">
          <w:rPr>
            <w:noProof/>
            <w:webHidden/>
            <w:sz w:val="16"/>
            <w:szCs w:val="16"/>
          </w:rPr>
          <w:fldChar w:fldCharType="end"/>
        </w:r>
      </w:hyperlink>
    </w:p>
    <w:p w:rsidR="00F636D4"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789156" w:history="1">
        <w:r w:rsidR="00F636D4" w:rsidRPr="001A61B6">
          <w:rPr>
            <w:rStyle w:val="Hypertextovodkaz"/>
            <w:i/>
            <w:noProof/>
            <w:sz w:val="16"/>
            <w:szCs w:val="16"/>
          </w:rPr>
          <w:t xml:space="preserve">Obrázek 18. </w:t>
        </w:r>
        <w:r w:rsidR="00F636D4" w:rsidRPr="001A61B6">
          <w:rPr>
            <w:rStyle w:val="Hypertextovodkaz"/>
            <w:noProof/>
            <w:sz w:val="16"/>
            <w:szCs w:val="16"/>
          </w:rPr>
          <w:t>Průměrné hodnoty jednotlivých dimenzí problémových učebních úloh v učebnicích z jednotlivých vydavatelství.</w:t>
        </w:r>
        <w:r w:rsidR="00F636D4" w:rsidRPr="001A61B6">
          <w:rPr>
            <w:noProof/>
            <w:webHidden/>
            <w:sz w:val="16"/>
            <w:szCs w:val="16"/>
          </w:rPr>
          <w:tab/>
        </w:r>
        <w:r w:rsidR="003818A1" w:rsidRPr="001A61B6">
          <w:rPr>
            <w:noProof/>
            <w:webHidden/>
            <w:sz w:val="16"/>
            <w:szCs w:val="16"/>
          </w:rPr>
          <w:fldChar w:fldCharType="begin"/>
        </w:r>
        <w:r w:rsidR="00F636D4" w:rsidRPr="001A61B6">
          <w:rPr>
            <w:noProof/>
            <w:webHidden/>
            <w:sz w:val="16"/>
            <w:szCs w:val="16"/>
          </w:rPr>
          <w:instrText xml:space="preserve"> PAGEREF _Toc399789156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113</w:t>
        </w:r>
        <w:r w:rsidR="003818A1" w:rsidRPr="001A61B6">
          <w:rPr>
            <w:noProof/>
            <w:webHidden/>
            <w:sz w:val="16"/>
            <w:szCs w:val="16"/>
          </w:rPr>
          <w:fldChar w:fldCharType="end"/>
        </w:r>
      </w:hyperlink>
    </w:p>
    <w:p w:rsidR="00F636D4"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789157" w:history="1">
        <w:r w:rsidR="00F636D4" w:rsidRPr="001A61B6">
          <w:rPr>
            <w:rStyle w:val="Hypertextovodkaz"/>
            <w:i/>
            <w:noProof/>
            <w:sz w:val="16"/>
            <w:szCs w:val="16"/>
          </w:rPr>
          <w:t xml:space="preserve">Obrázek 19. </w:t>
        </w:r>
        <w:r w:rsidR="00F636D4" w:rsidRPr="001A61B6">
          <w:rPr>
            <w:rStyle w:val="Hypertextovodkaz"/>
            <w:noProof/>
            <w:sz w:val="16"/>
            <w:szCs w:val="16"/>
          </w:rPr>
          <w:t>Kolo řešení problémů TASC.</w:t>
        </w:r>
        <w:r w:rsidR="00F636D4" w:rsidRPr="001A61B6">
          <w:rPr>
            <w:noProof/>
            <w:webHidden/>
            <w:sz w:val="16"/>
            <w:szCs w:val="16"/>
          </w:rPr>
          <w:tab/>
        </w:r>
        <w:r w:rsidR="003818A1" w:rsidRPr="001A61B6">
          <w:rPr>
            <w:noProof/>
            <w:webHidden/>
            <w:sz w:val="16"/>
            <w:szCs w:val="16"/>
          </w:rPr>
          <w:fldChar w:fldCharType="begin"/>
        </w:r>
        <w:r w:rsidR="00F636D4" w:rsidRPr="001A61B6">
          <w:rPr>
            <w:noProof/>
            <w:webHidden/>
            <w:sz w:val="16"/>
            <w:szCs w:val="16"/>
          </w:rPr>
          <w:instrText xml:space="preserve"> PAGEREF _Toc399789157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149</w:t>
        </w:r>
        <w:r w:rsidR="003818A1" w:rsidRPr="001A61B6">
          <w:rPr>
            <w:noProof/>
            <w:webHidden/>
            <w:sz w:val="16"/>
            <w:szCs w:val="16"/>
          </w:rPr>
          <w:fldChar w:fldCharType="end"/>
        </w:r>
      </w:hyperlink>
    </w:p>
    <w:p w:rsidR="001A4000" w:rsidRPr="001A4000" w:rsidRDefault="003818A1" w:rsidP="001A4000">
      <w:pPr>
        <w:spacing w:after="120" w:line="360" w:lineRule="auto"/>
      </w:pPr>
      <w:r w:rsidRPr="001A61B6">
        <w:rPr>
          <w:sz w:val="16"/>
          <w:szCs w:val="16"/>
        </w:rPr>
        <w:fldChar w:fldCharType="end"/>
      </w:r>
    </w:p>
    <w:p w:rsidR="00823E2A" w:rsidRDefault="00823E2A" w:rsidP="001A4000">
      <w:pPr>
        <w:pStyle w:val="Nadpis1"/>
        <w:numPr>
          <w:ilvl w:val="0"/>
          <w:numId w:val="0"/>
        </w:numPr>
        <w:spacing w:before="0" w:after="120" w:line="360" w:lineRule="auto"/>
      </w:pPr>
      <w:bookmarkStart w:id="137" w:name="_Toc399775456"/>
      <w:r w:rsidRPr="002C58AD">
        <w:t>Seznam tabulek</w:t>
      </w:r>
      <w:bookmarkEnd w:id="137"/>
    </w:p>
    <w:p w:rsidR="00FB20B9" w:rsidRPr="001A61B6" w:rsidRDefault="003818A1">
      <w:pPr>
        <w:pStyle w:val="Seznamobrzk"/>
        <w:tabs>
          <w:tab w:val="right" w:leader="dot" w:pos="9060"/>
        </w:tabs>
        <w:rPr>
          <w:rFonts w:asciiTheme="minorHAnsi" w:eastAsiaTheme="minorEastAsia" w:hAnsiTheme="minorHAnsi" w:cstheme="minorBidi"/>
          <w:noProof/>
          <w:sz w:val="16"/>
          <w:szCs w:val="16"/>
        </w:rPr>
      </w:pPr>
      <w:r w:rsidRPr="001A61B6">
        <w:rPr>
          <w:sz w:val="16"/>
          <w:szCs w:val="16"/>
        </w:rPr>
        <w:fldChar w:fldCharType="begin"/>
      </w:r>
      <w:r w:rsidR="00FB20B9" w:rsidRPr="001A61B6">
        <w:rPr>
          <w:sz w:val="16"/>
          <w:szCs w:val="16"/>
        </w:rPr>
        <w:instrText xml:space="preserve"> TOC \h \z \c "Tabulka" </w:instrText>
      </w:r>
      <w:r w:rsidRPr="001A61B6">
        <w:rPr>
          <w:sz w:val="16"/>
          <w:szCs w:val="16"/>
        </w:rPr>
        <w:fldChar w:fldCharType="separate"/>
      </w:r>
      <w:hyperlink w:anchor="_Toc399013065" w:history="1">
        <w:r w:rsidR="00FB20B9" w:rsidRPr="001A61B6">
          <w:rPr>
            <w:rStyle w:val="Hypertextovodkaz"/>
            <w:noProof/>
            <w:sz w:val="16"/>
            <w:szCs w:val="16"/>
          </w:rPr>
          <w:t>Tabulka 1</w:t>
        </w:r>
        <w:r w:rsidR="00497C76" w:rsidRPr="001A61B6">
          <w:rPr>
            <w:rStyle w:val="Hypertextovodkaz"/>
            <w:noProof/>
            <w:sz w:val="16"/>
            <w:szCs w:val="16"/>
          </w:rPr>
          <w:t xml:space="preserve"> Rozdíly mezi tradiční a novou kulturou učení </w:t>
        </w:r>
        <w:r w:rsidR="00FB20B9" w:rsidRPr="001A61B6">
          <w:rPr>
            <w:noProof/>
            <w:webHidden/>
            <w:sz w:val="16"/>
            <w:szCs w:val="16"/>
          </w:rPr>
          <w:tab/>
        </w:r>
        <w:r w:rsidRPr="001A61B6">
          <w:rPr>
            <w:noProof/>
            <w:webHidden/>
            <w:sz w:val="16"/>
            <w:szCs w:val="16"/>
          </w:rPr>
          <w:fldChar w:fldCharType="begin"/>
        </w:r>
        <w:r w:rsidR="00FB20B9" w:rsidRPr="001A61B6">
          <w:rPr>
            <w:noProof/>
            <w:webHidden/>
            <w:sz w:val="16"/>
            <w:szCs w:val="16"/>
          </w:rPr>
          <w:instrText xml:space="preserve"> PAGEREF _Toc399013065 \h </w:instrText>
        </w:r>
        <w:r w:rsidRPr="001A61B6">
          <w:rPr>
            <w:noProof/>
            <w:webHidden/>
            <w:sz w:val="16"/>
            <w:szCs w:val="16"/>
          </w:rPr>
        </w:r>
        <w:r w:rsidRPr="001A61B6">
          <w:rPr>
            <w:noProof/>
            <w:webHidden/>
            <w:sz w:val="16"/>
            <w:szCs w:val="16"/>
          </w:rPr>
          <w:fldChar w:fldCharType="separate"/>
        </w:r>
        <w:r w:rsidR="00A720FB">
          <w:rPr>
            <w:noProof/>
            <w:webHidden/>
            <w:sz w:val="16"/>
            <w:szCs w:val="16"/>
          </w:rPr>
          <w:t>17</w:t>
        </w:r>
        <w:r w:rsidRPr="001A61B6">
          <w:rPr>
            <w:noProof/>
            <w:webHidden/>
            <w:sz w:val="16"/>
            <w:szCs w:val="16"/>
          </w:rPr>
          <w:fldChar w:fldCharType="end"/>
        </w:r>
      </w:hyperlink>
    </w:p>
    <w:p w:rsidR="00FB20B9"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013066" w:history="1">
        <w:r w:rsidR="00FB20B9" w:rsidRPr="001A61B6">
          <w:rPr>
            <w:rStyle w:val="Hypertextovodkaz"/>
            <w:noProof/>
            <w:sz w:val="16"/>
            <w:szCs w:val="16"/>
          </w:rPr>
          <w:t>Tabulka 2</w:t>
        </w:r>
        <w:r w:rsidR="00AD3E45" w:rsidRPr="001A61B6">
          <w:rPr>
            <w:noProof/>
            <w:sz w:val="16"/>
            <w:szCs w:val="16"/>
          </w:rPr>
          <w:t xml:space="preserve"> </w:t>
        </w:r>
        <w:r w:rsidR="00AD3E45" w:rsidRPr="001A61B6">
          <w:rPr>
            <w:rStyle w:val="Hypertextovodkaz"/>
            <w:noProof/>
            <w:sz w:val="16"/>
            <w:szCs w:val="16"/>
          </w:rPr>
          <w:t>Deweyho model myšlenkového aktu a jeho rozvinutí Reusserem</w:t>
        </w:r>
        <w:r w:rsidR="00FB20B9" w:rsidRPr="001A61B6">
          <w:rPr>
            <w:noProof/>
            <w:webHidden/>
            <w:sz w:val="16"/>
            <w:szCs w:val="16"/>
          </w:rPr>
          <w:tab/>
        </w:r>
        <w:r w:rsidR="003818A1" w:rsidRPr="001A61B6">
          <w:rPr>
            <w:noProof/>
            <w:webHidden/>
            <w:sz w:val="16"/>
            <w:szCs w:val="16"/>
          </w:rPr>
          <w:fldChar w:fldCharType="begin"/>
        </w:r>
        <w:r w:rsidR="00FB20B9" w:rsidRPr="001A61B6">
          <w:rPr>
            <w:noProof/>
            <w:webHidden/>
            <w:sz w:val="16"/>
            <w:szCs w:val="16"/>
          </w:rPr>
          <w:instrText xml:space="preserve"> PAGEREF _Toc399013066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71</w:t>
        </w:r>
        <w:r w:rsidR="003818A1" w:rsidRPr="001A61B6">
          <w:rPr>
            <w:noProof/>
            <w:webHidden/>
            <w:sz w:val="16"/>
            <w:szCs w:val="16"/>
          </w:rPr>
          <w:fldChar w:fldCharType="end"/>
        </w:r>
      </w:hyperlink>
    </w:p>
    <w:p w:rsidR="00FB20B9"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013067" w:history="1">
        <w:r w:rsidR="00FB20B9" w:rsidRPr="001A61B6">
          <w:rPr>
            <w:rStyle w:val="Hypertextovodkaz"/>
            <w:noProof/>
            <w:sz w:val="16"/>
            <w:szCs w:val="16"/>
          </w:rPr>
          <w:t>Tabulka 3</w:t>
        </w:r>
        <w:r w:rsidR="00AD3E45" w:rsidRPr="001A61B6">
          <w:rPr>
            <w:noProof/>
            <w:sz w:val="16"/>
            <w:szCs w:val="16"/>
          </w:rPr>
          <w:t xml:space="preserve"> </w:t>
        </w:r>
        <w:r w:rsidR="00AD3E45" w:rsidRPr="001A61B6">
          <w:rPr>
            <w:rStyle w:val="Hypertextovodkaz"/>
            <w:noProof/>
            <w:sz w:val="16"/>
            <w:szCs w:val="16"/>
          </w:rPr>
          <w:t>Klasifikační tabulka revidované Bloomovy taxonomie</w:t>
        </w:r>
        <w:r w:rsidR="00FB20B9" w:rsidRPr="001A61B6">
          <w:rPr>
            <w:noProof/>
            <w:webHidden/>
            <w:sz w:val="16"/>
            <w:szCs w:val="16"/>
          </w:rPr>
          <w:tab/>
        </w:r>
        <w:r w:rsidR="003818A1" w:rsidRPr="001A61B6">
          <w:rPr>
            <w:noProof/>
            <w:webHidden/>
            <w:sz w:val="16"/>
            <w:szCs w:val="16"/>
          </w:rPr>
          <w:fldChar w:fldCharType="begin"/>
        </w:r>
        <w:r w:rsidR="00FB20B9" w:rsidRPr="001A61B6">
          <w:rPr>
            <w:noProof/>
            <w:webHidden/>
            <w:sz w:val="16"/>
            <w:szCs w:val="16"/>
          </w:rPr>
          <w:instrText xml:space="preserve"> PAGEREF _Toc399013067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77</w:t>
        </w:r>
        <w:r w:rsidR="003818A1" w:rsidRPr="001A61B6">
          <w:rPr>
            <w:noProof/>
            <w:webHidden/>
            <w:sz w:val="16"/>
            <w:szCs w:val="16"/>
          </w:rPr>
          <w:fldChar w:fldCharType="end"/>
        </w:r>
      </w:hyperlink>
    </w:p>
    <w:p w:rsidR="00FB20B9"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013068" w:history="1">
        <w:r w:rsidR="00FB20B9" w:rsidRPr="001A61B6">
          <w:rPr>
            <w:rStyle w:val="Hypertextovodkaz"/>
            <w:noProof/>
            <w:sz w:val="16"/>
            <w:szCs w:val="16"/>
          </w:rPr>
          <w:t>Tabulka 4</w:t>
        </w:r>
        <w:r w:rsidR="00AD3E45" w:rsidRPr="001A61B6">
          <w:rPr>
            <w:noProof/>
            <w:sz w:val="16"/>
            <w:szCs w:val="16"/>
          </w:rPr>
          <w:t xml:space="preserve"> </w:t>
        </w:r>
        <w:r w:rsidR="00AD3E45" w:rsidRPr="001A61B6">
          <w:rPr>
            <w:rStyle w:val="Hypertextovodkaz"/>
            <w:noProof/>
            <w:sz w:val="16"/>
            <w:szCs w:val="16"/>
          </w:rPr>
          <w:t>Kategoriální systém pro hodnocení systémovosti učebních úloh</w:t>
        </w:r>
        <w:r w:rsidR="00FB20B9" w:rsidRPr="001A61B6">
          <w:rPr>
            <w:noProof/>
            <w:webHidden/>
            <w:sz w:val="16"/>
            <w:szCs w:val="16"/>
          </w:rPr>
          <w:tab/>
        </w:r>
        <w:r w:rsidR="003818A1" w:rsidRPr="001A61B6">
          <w:rPr>
            <w:noProof/>
            <w:webHidden/>
            <w:sz w:val="16"/>
            <w:szCs w:val="16"/>
          </w:rPr>
          <w:fldChar w:fldCharType="begin"/>
        </w:r>
        <w:r w:rsidR="00FB20B9" w:rsidRPr="001A61B6">
          <w:rPr>
            <w:noProof/>
            <w:webHidden/>
            <w:sz w:val="16"/>
            <w:szCs w:val="16"/>
          </w:rPr>
          <w:instrText xml:space="preserve"> PAGEREF _Toc399013068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97</w:t>
        </w:r>
        <w:r w:rsidR="003818A1" w:rsidRPr="001A61B6">
          <w:rPr>
            <w:noProof/>
            <w:webHidden/>
            <w:sz w:val="16"/>
            <w:szCs w:val="16"/>
          </w:rPr>
          <w:fldChar w:fldCharType="end"/>
        </w:r>
      </w:hyperlink>
    </w:p>
    <w:p w:rsidR="00FB20B9"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013069" w:history="1">
        <w:r w:rsidR="00FB20B9" w:rsidRPr="001A61B6">
          <w:rPr>
            <w:rStyle w:val="Hypertextovodkaz"/>
            <w:noProof/>
            <w:sz w:val="16"/>
            <w:szCs w:val="16"/>
          </w:rPr>
          <w:t>Tabulka 5</w:t>
        </w:r>
        <w:r w:rsidR="00AD3E45" w:rsidRPr="001A61B6">
          <w:rPr>
            <w:rStyle w:val="Hypertextovodkaz"/>
            <w:noProof/>
            <w:sz w:val="16"/>
            <w:szCs w:val="16"/>
          </w:rPr>
          <w:t xml:space="preserve"> Kategoriální systém pro hodnocení komplexity učebních úloh</w:t>
        </w:r>
        <w:r w:rsidR="00FB20B9" w:rsidRPr="001A61B6">
          <w:rPr>
            <w:noProof/>
            <w:webHidden/>
            <w:sz w:val="16"/>
            <w:szCs w:val="16"/>
          </w:rPr>
          <w:tab/>
        </w:r>
        <w:r w:rsidR="003818A1" w:rsidRPr="001A61B6">
          <w:rPr>
            <w:noProof/>
            <w:webHidden/>
            <w:sz w:val="16"/>
            <w:szCs w:val="16"/>
          </w:rPr>
          <w:fldChar w:fldCharType="begin"/>
        </w:r>
        <w:r w:rsidR="00FB20B9" w:rsidRPr="001A61B6">
          <w:rPr>
            <w:noProof/>
            <w:webHidden/>
            <w:sz w:val="16"/>
            <w:szCs w:val="16"/>
          </w:rPr>
          <w:instrText xml:space="preserve"> PAGEREF _Toc399013069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98</w:t>
        </w:r>
        <w:r w:rsidR="003818A1" w:rsidRPr="001A61B6">
          <w:rPr>
            <w:noProof/>
            <w:webHidden/>
            <w:sz w:val="16"/>
            <w:szCs w:val="16"/>
          </w:rPr>
          <w:fldChar w:fldCharType="end"/>
        </w:r>
      </w:hyperlink>
    </w:p>
    <w:p w:rsidR="00FB20B9"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013070" w:history="1">
        <w:r w:rsidR="00FB20B9" w:rsidRPr="001A61B6">
          <w:rPr>
            <w:rStyle w:val="Hypertextovodkaz"/>
            <w:noProof/>
            <w:sz w:val="16"/>
            <w:szCs w:val="16"/>
          </w:rPr>
          <w:t>Tabulka 6</w:t>
        </w:r>
        <w:r w:rsidR="00AD3E45" w:rsidRPr="001A61B6">
          <w:rPr>
            <w:noProof/>
            <w:sz w:val="16"/>
            <w:szCs w:val="16"/>
          </w:rPr>
          <w:t xml:space="preserve"> </w:t>
        </w:r>
        <w:r w:rsidR="00AD3E45" w:rsidRPr="001A61B6">
          <w:rPr>
            <w:rStyle w:val="Hypertextovodkaz"/>
            <w:noProof/>
            <w:sz w:val="16"/>
            <w:szCs w:val="16"/>
          </w:rPr>
          <w:t>Kategoriální systém pro hodnocení náročnosti učebních úloh</w:t>
        </w:r>
        <w:r w:rsidR="00FB20B9" w:rsidRPr="001A61B6">
          <w:rPr>
            <w:noProof/>
            <w:webHidden/>
            <w:sz w:val="16"/>
            <w:szCs w:val="16"/>
          </w:rPr>
          <w:tab/>
        </w:r>
        <w:r w:rsidR="003818A1" w:rsidRPr="001A61B6">
          <w:rPr>
            <w:noProof/>
            <w:webHidden/>
            <w:sz w:val="16"/>
            <w:szCs w:val="16"/>
          </w:rPr>
          <w:fldChar w:fldCharType="begin"/>
        </w:r>
        <w:r w:rsidR="00FB20B9" w:rsidRPr="001A61B6">
          <w:rPr>
            <w:noProof/>
            <w:webHidden/>
            <w:sz w:val="16"/>
            <w:szCs w:val="16"/>
          </w:rPr>
          <w:instrText xml:space="preserve"> PAGEREF _Toc399013070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100</w:t>
        </w:r>
        <w:r w:rsidR="003818A1" w:rsidRPr="001A61B6">
          <w:rPr>
            <w:noProof/>
            <w:webHidden/>
            <w:sz w:val="16"/>
            <w:szCs w:val="16"/>
          </w:rPr>
          <w:fldChar w:fldCharType="end"/>
        </w:r>
      </w:hyperlink>
    </w:p>
    <w:p w:rsidR="00FB20B9"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013071" w:history="1">
        <w:r w:rsidR="00FB20B9" w:rsidRPr="001A61B6">
          <w:rPr>
            <w:rStyle w:val="Hypertextovodkaz"/>
            <w:noProof/>
            <w:sz w:val="16"/>
            <w:szCs w:val="16"/>
          </w:rPr>
          <w:t>Tabulka 7</w:t>
        </w:r>
        <w:r w:rsidR="00AD3E45" w:rsidRPr="001A61B6">
          <w:rPr>
            <w:noProof/>
            <w:sz w:val="16"/>
            <w:szCs w:val="16"/>
          </w:rPr>
          <w:t xml:space="preserve"> </w:t>
        </w:r>
        <w:r w:rsidR="00AD3E45" w:rsidRPr="001A61B6">
          <w:rPr>
            <w:rStyle w:val="Hypertextovodkaz"/>
            <w:noProof/>
            <w:sz w:val="16"/>
            <w:szCs w:val="16"/>
          </w:rPr>
          <w:t>Hodnoty reliability kategoriálního systému</w:t>
        </w:r>
        <w:r w:rsidR="00FB20B9" w:rsidRPr="001A61B6">
          <w:rPr>
            <w:noProof/>
            <w:webHidden/>
            <w:sz w:val="16"/>
            <w:szCs w:val="16"/>
          </w:rPr>
          <w:tab/>
        </w:r>
        <w:r w:rsidR="003818A1" w:rsidRPr="001A61B6">
          <w:rPr>
            <w:noProof/>
            <w:webHidden/>
            <w:sz w:val="16"/>
            <w:szCs w:val="16"/>
          </w:rPr>
          <w:fldChar w:fldCharType="begin"/>
        </w:r>
        <w:r w:rsidR="00FB20B9" w:rsidRPr="001A61B6">
          <w:rPr>
            <w:noProof/>
            <w:webHidden/>
            <w:sz w:val="16"/>
            <w:szCs w:val="16"/>
          </w:rPr>
          <w:instrText xml:space="preserve"> PAGEREF _Toc399013071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104</w:t>
        </w:r>
        <w:r w:rsidR="003818A1" w:rsidRPr="001A61B6">
          <w:rPr>
            <w:noProof/>
            <w:webHidden/>
            <w:sz w:val="16"/>
            <w:szCs w:val="16"/>
          </w:rPr>
          <w:fldChar w:fldCharType="end"/>
        </w:r>
      </w:hyperlink>
    </w:p>
    <w:p w:rsidR="00FB20B9"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013072" w:history="1">
        <w:r w:rsidR="00FB20B9" w:rsidRPr="001A61B6">
          <w:rPr>
            <w:rStyle w:val="Hypertextovodkaz"/>
            <w:noProof/>
            <w:sz w:val="16"/>
            <w:szCs w:val="16"/>
          </w:rPr>
          <w:t>Tabulka 8</w:t>
        </w:r>
        <w:r w:rsidR="00AD3E45" w:rsidRPr="001A61B6">
          <w:rPr>
            <w:i/>
            <w:noProof/>
            <w:sz w:val="16"/>
            <w:szCs w:val="16"/>
          </w:rPr>
          <w:t xml:space="preserve"> </w:t>
        </w:r>
        <w:r w:rsidR="00AD3E45" w:rsidRPr="001A61B6">
          <w:rPr>
            <w:noProof/>
            <w:sz w:val="16"/>
            <w:szCs w:val="16"/>
          </w:rPr>
          <w:t>Počet zkoumaných učebních úloh a jejich rozmístění v učebnicích</w:t>
        </w:r>
        <w:r w:rsidR="00FB20B9" w:rsidRPr="001A61B6">
          <w:rPr>
            <w:noProof/>
            <w:webHidden/>
            <w:sz w:val="16"/>
            <w:szCs w:val="16"/>
          </w:rPr>
          <w:tab/>
        </w:r>
        <w:r w:rsidR="003818A1" w:rsidRPr="001A61B6">
          <w:rPr>
            <w:noProof/>
            <w:webHidden/>
            <w:sz w:val="16"/>
            <w:szCs w:val="16"/>
          </w:rPr>
          <w:fldChar w:fldCharType="begin"/>
        </w:r>
        <w:r w:rsidR="00FB20B9" w:rsidRPr="001A61B6">
          <w:rPr>
            <w:noProof/>
            <w:webHidden/>
            <w:sz w:val="16"/>
            <w:szCs w:val="16"/>
          </w:rPr>
          <w:instrText xml:space="preserve"> PAGEREF _Toc399013072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111</w:t>
        </w:r>
        <w:r w:rsidR="003818A1" w:rsidRPr="001A61B6">
          <w:rPr>
            <w:noProof/>
            <w:webHidden/>
            <w:sz w:val="16"/>
            <w:szCs w:val="16"/>
          </w:rPr>
          <w:fldChar w:fldCharType="end"/>
        </w:r>
      </w:hyperlink>
    </w:p>
    <w:p w:rsidR="00FB20B9"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013073" w:history="1">
        <w:r w:rsidR="00FB20B9" w:rsidRPr="001A61B6">
          <w:rPr>
            <w:rStyle w:val="Hypertextovodkaz"/>
            <w:noProof/>
            <w:sz w:val="16"/>
            <w:szCs w:val="16"/>
          </w:rPr>
          <w:t>Tabulka 9</w:t>
        </w:r>
        <w:r w:rsidR="00AD3E45" w:rsidRPr="001A61B6">
          <w:rPr>
            <w:noProof/>
            <w:sz w:val="16"/>
            <w:szCs w:val="16"/>
          </w:rPr>
          <w:t xml:space="preserve"> </w:t>
        </w:r>
        <w:r w:rsidR="00AD3E45" w:rsidRPr="001A61B6">
          <w:rPr>
            <w:rStyle w:val="Hypertextovodkaz"/>
            <w:noProof/>
            <w:sz w:val="16"/>
            <w:szCs w:val="16"/>
          </w:rPr>
          <w:t>Zastoupení jednotlivých úrovní dimenze systémovosti ve zkoumaných učebnicích</w:t>
        </w:r>
        <w:r w:rsidR="00FB20B9" w:rsidRPr="001A61B6">
          <w:rPr>
            <w:noProof/>
            <w:webHidden/>
            <w:sz w:val="16"/>
            <w:szCs w:val="16"/>
          </w:rPr>
          <w:tab/>
        </w:r>
        <w:r w:rsidR="003818A1" w:rsidRPr="001A61B6">
          <w:rPr>
            <w:noProof/>
            <w:webHidden/>
            <w:sz w:val="16"/>
            <w:szCs w:val="16"/>
          </w:rPr>
          <w:fldChar w:fldCharType="begin"/>
        </w:r>
        <w:r w:rsidR="00FB20B9" w:rsidRPr="001A61B6">
          <w:rPr>
            <w:noProof/>
            <w:webHidden/>
            <w:sz w:val="16"/>
            <w:szCs w:val="16"/>
          </w:rPr>
          <w:instrText xml:space="preserve"> PAGEREF _Toc399013073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112</w:t>
        </w:r>
        <w:r w:rsidR="003818A1" w:rsidRPr="001A61B6">
          <w:rPr>
            <w:noProof/>
            <w:webHidden/>
            <w:sz w:val="16"/>
            <w:szCs w:val="16"/>
          </w:rPr>
          <w:fldChar w:fldCharType="end"/>
        </w:r>
      </w:hyperlink>
    </w:p>
    <w:p w:rsidR="00FB20B9"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013074" w:history="1">
        <w:r w:rsidR="00FB20B9" w:rsidRPr="001A61B6">
          <w:rPr>
            <w:rStyle w:val="Hypertextovodkaz"/>
            <w:noProof/>
            <w:sz w:val="16"/>
            <w:szCs w:val="16"/>
          </w:rPr>
          <w:t>Tabulka 10</w:t>
        </w:r>
        <w:r w:rsidR="00AD3E45" w:rsidRPr="001A61B6">
          <w:rPr>
            <w:noProof/>
            <w:sz w:val="16"/>
            <w:szCs w:val="16"/>
          </w:rPr>
          <w:t xml:space="preserve"> </w:t>
        </w:r>
        <w:r w:rsidR="00AD3E45" w:rsidRPr="001A61B6">
          <w:rPr>
            <w:rStyle w:val="Hypertextovodkaz"/>
            <w:noProof/>
            <w:sz w:val="16"/>
            <w:szCs w:val="16"/>
          </w:rPr>
          <w:t>Zastoupení jednotlivých úrovní dimenze komplexity ve zkoumaných učebnicích</w:t>
        </w:r>
        <w:r w:rsidR="00FB20B9" w:rsidRPr="001A61B6">
          <w:rPr>
            <w:noProof/>
            <w:webHidden/>
            <w:sz w:val="16"/>
            <w:szCs w:val="16"/>
          </w:rPr>
          <w:tab/>
        </w:r>
        <w:r w:rsidR="003818A1" w:rsidRPr="001A61B6">
          <w:rPr>
            <w:noProof/>
            <w:webHidden/>
            <w:sz w:val="16"/>
            <w:szCs w:val="16"/>
          </w:rPr>
          <w:fldChar w:fldCharType="begin"/>
        </w:r>
        <w:r w:rsidR="00FB20B9" w:rsidRPr="001A61B6">
          <w:rPr>
            <w:noProof/>
            <w:webHidden/>
            <w:sz w:val="16"/>
            <w:szCs w:val="16"/>
          </w:rPr>
          <w:instrText xml:space="preserve"> PAGEREF _Toc399013074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112</w:t>
        </w:r>
        <w:r w:rsidR="003818A1" w:rsidRPr="001A61B6">
          <w:rPr>
            <w:noProof/>
            <w:webHidden/>
            <w:sz w:val="16"/>
            <w:szCs w:val="16"/>
          </w:rPr>
          <w:fldChar w:fldCharType="end"/>
        </w:r>
      </w:hyperlink>
    </w:p>
    <w:p w:rsidR="00FB20B9"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013075" w:history="1">
        <w:r w:rsidR="00FB20B9" w:rsidRPr="001A61B6">
          <w:rPr>
            <w:rStyle w:val="Hypertextovodkaz"/>
            <w:noProof/>
            <w:sz w:val="16"/>
            <w:szCs w:val="16"/>
          </w:rPr>
          <w:t>Tabulka 11</w:t>
        </w:r>
        <w:r w:rsidR="00AD3E45" w:rsidRPr="001A61B6">
          <w:rPr>
            <w:noProof/>
            <w:sz w:val="16"/>
            <w:szCs w:val="16"/>
          </w:rPr>
          <w:t xml:space="preserve"> </w:t>
        </w:r>
        <w:r w:rsidR="00AD3E45" w:rsidRPr="001A61B6">
          <w:rPr>
            <w:rStyle w:val="Hypertextovodkaz"/>
            <w:noProof/>
            <w:sz w:val="16"/>
            <w:szCs w:val="16"/>
          </w:rPr>
          <w:t>Zastoupení jednotlivých úrovní dimenze náročnosti ve zkoumaných učebnicích</w:t>
        </w:r>
        <w:r w:rsidR="00FB20B9" w:rsidRPr="001A61B6">
          <w:rPr>
            <w:noProof/>
            <w:webHidden/>
            <w:sz w:val="16"/>
            <w:szCs w:val="16"/>
          </w:rPr>
          <w:tab/>
        </w:r>
        <w:r w:rsidR="003818A1" w:rsidRPr="001A61B6">
          <w:rPr>
            <w:noProof/>
            <w:webHidden/>
            <w:sz w:val="16"/>
            <w:szCs w:val="16"/>
          </w:rPr>
          <w:fldChar w:fldCharType="begin"/>
        </w:r>
        <w:r w:rsidR="00FB20B9" w:rsidRPr="001A61B6">
          <w:rPr>
            <w:noProof/>
            <w:webHidden/>
            <w:sz w:val="16"/>
            <w:szCs w:val="16"/>
          </w:rPr>
          <w:instrText xml:space="preserve"> PAGEREF _Toc399013075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112</w:t>
        </w:r>
        <w:r w:rsidR="003818A1" w:rsidRPr="001A61B6">
          <w:rPr>
            <w:noProof/>
            <w:webHidden/>
            <w:sz w:val="16"/>
            <w:szCs w:val="16"/>
          </w:rPr>
          <w:fldChar w:fldCharType="end"/>
        </w:r>
      </w:hyperlink>
    </w:p>
    <w:p w:rsidR="00FB20B9"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013076" w:history="1">
        <w:r w:rsidR="00FB20B9" w:rsidRPr="001A61B6">
          <w:rPr>
            <w:rStyle w:val="Hypertextovodkaz"/>
            <w:noProof/>
            <w:sz w:val="16"/>
            <w:szCs w:val="16"/>
          </w:rPr>
          <w:t>Tabulka 12</w:t>
        </w:r>
        <w:r w:rsidR="00AD3E45" w:rsidRPr="001A61B6">
          <w:rPr>
            <w:rStyle w:val="Hypertextovodkaz"/>
            <w:noProof/>
            <w:sz w:val="16"/>
            <w:szCs w:val="16"/>
          </w:rPr>
          <w:t xml:space="preserve"> Hodnoty průměru a mediánu jednotlivých dimenzí příležitostí k utváření a rozvíjení kompetence k řešení problémů ve zkoumaných učebnicích.</w:t>
        </w:r>
        <w:r w:rsidR="00FB20B9" w:rsidRPr="001A61B6">
          <w:rPr>
            <w:noProof/>
            <w:webHidden/>
            <w:sz w:val="16"/>
            <w:szCs w:val="16"/>
          </w:rPr>
          <w:tab/>
        </w:r>
        <w:r w:rsidR="003818A1" w:rsidRPr="001A61B6">
          <w:rPr>
            <w:noProof/>
            <w:webHidden/>
            <w:sz w:val="16"/>
            <w:szCs w:val="16"/>
          </w:rPr>
          <w:fldChar w:fldCharType="begin"/>
        </w:r>
        <w:r w:rsidR="00FB20B9" w:rsidRPr="001A61B6">
          <w:rPr>
            <w:noProof/>
            <w:webHidden/>
            <w:sz w:val="16"/>
            <w:szCs w:val="16"/>
          </w:rPr>
          <w:instrText xml:space="preserve"> PAGEREF _Toc399013076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114</w:t>
        </w:r>
        <w:r w:rsidR="003818A1" w:rsidRPr="001A61B6">
          <w:rPr>
            <w:noProof/>
            <w:webHidden/>
            <w:sz w:val="16"/>
            <w:szCs w:val="16"/>
          </w:rPr>
          <w:fldChar w:fldCharType="end"/>
        </w:r>
      </w:hyperlink>
    </w:p>
    <w:p w:rsidR="00FB20B9" w:rsidRPr="001A61B6" w:rsidRDefault="003B6F8D">
      <w:pPr>
        <w:pStyle w:val="Seznamobrzk"/>
        <w:tabs>
          <w:tab w:val="right" w:leader="dot" w:pos="9060"/>
        </w:tabs>
        <w:rPr>
          <w:rFonts w:asciiTheme="minorHAnsi" w:eastAsiaTheme="minorEastAsia" w:hAnsiTheme="minorHAnsi" w:cstheme="minorBidi"/>
          <w:noProof/>
          <w:sz w:val="16"/>
          <w:szCs w:val="16"/>
        </w:rPr>
      </w:pPr>
      <w:hyperlink w:anchor="_Toc399013077" w:history="1">
        <w:r w:rsidR="00FB20B9" w:rsidRPr="001A61B6">
          <w:rPr>
            <w:rStyle w:val="Hypertextovodkaz"/>
            <w:noProof/>
            <w:sz w:val="16"/>
            <w:szCs w:val="16"/>
          </w:rPr>
          <w:t>Tabulka 13</w:t>
        </w:r>
        <w:r w:rsidR="00AD3E45" w:rsidRPr="001A61B6">
          <w:rPr>
            <w:i/>
            <w:noProof/>
            <w:sz w:val="16"/>
            <w:szCs w:val="16"/>
          </w:rPr>
          <w:t xml:space="preserve"> </w:t>
        </w:r>
        <w:r w:rsidR="00AD3E45" w:rsidRPr="001A61B6">
          <w:rPr>
            <w:rStyle w:val="spelle"/>
            <w:noProof/>
            <w:sz w:val="16"/>
            <w:szCs w:val="16"/>
          </w:rPr>
          <w:t>Hodnoty Spearmannova koeficientu</w:t>
        </w:r>
        <w:r w:rsidR="00AD3E45" w:rsidRPr="001A61B6">
          <w:rPr>
            <w:noProof/>
            <w:sz w:val="16"/>
            <w:szCs w:val="16"/>
          </w:rPr>
          <w:t xml:space="preserve"> pořadové korelace</w:t>
        </w:r>
        <w:r w:rsidR="00FB20B9" w:rsidRPr="001A61B6">
          <w:rPr>
            <w:noProof/>
            <w:webHidden/>
            <w:sz w:val="16"/>
            <w:szCs w:val="16"/>
          </w:rPr>
          <w:tab/>
        </w:r>
        <w:r w:rsidR="003818A1" w:rsidRPr="001A61B6">
          <w:rPr>
            <w:noProof/>
            <w:webHidden/>
            <w:sz w:val="16"/>
            <w:szCs w:val="16"/>
          </w:rPr>
          <w:fldChar w:fldCharType="begin"/>
        </w:r>
        <w:r w:rsidR="00FB20B9" w:rsidRPr="001A61B6">
          <w:rPr>
            <w:noProof/>
            <w:webHidden/>
            <w:sz w:val="16"/>
            <w:szCs w:val="16"/>
          </w:rPr>
          <w:instrText xml:space="preserve"> PAGEREF _Toc399013077 \h </w:instrText>
        </w:r>
        <w:r w:rsidR="003818A1" w:rsidRPr="001A61B6">
          <w:rPr>
            <w:noProof/>
            <w:webHidden/>
            <w:sz w:val="16"/>
            <w:szCs w:val="16"/>
          </w:rPr>
        </w:r>
        <w:r w:rsidR="003818A1" w:rsidRPr="001A61B6">
          <w:rPr>
            <w:noProof/>
            <w:webHidden/>
            <w:sz w:val="16"/>
            <w:szCs w:val="16"/>
          </w:rPr>
          <w:fldChar w:fldCharType="separate"/>
        </w:r>
        <w:r w:rsidR="00A720FB">
          <w:rPr>
            <w:noProof/>
            <w:webHidden/>
            <w:sz w:val="16"/>
            <w:szCs w:val="16"/>
          </w:rPr>
          <w:t>117</w:t>
        </w:r>
        <w:r w:rsidR="003818A1" w:rsidRPr="001A61B6">
          <w:rPr>
            <w:noProof/>
            <w:webHidden/>
            <w:sz w:val="16"/>
            <w:szCs w:val="16"/>
          </w:rPr>
          <w:fldChar w:fldCharType="end"/>
        </w:r>
      </w:hyperlink>
    </w:p>
    <w:p w:rsidR="00FB20B9" w:rsidRPr="00FB20B9" w:rsidRDefault="003818A1" w:rsidP="00FB20B9">
      <w:r w:rsidRPr="001A61B6">
        <w:rPr>
          <w:sz w:val="16"/>
          <w:szCs w:val="16"/>
        </w:rPr>
        <w:fldChar w:fldCharType="end"/>
      </w:r>
    </w:p>
    <w:p w:rsidR="00D06A03" w:rsidRDefault="00D06A03" w:rsidP="001A4000">
      <w:pPr>
        <w:pStyle w:val="Seznamobrzk"/>
        <w:tabs>
          <w:tab w:val="right" w:leader="dot" w:pos="9061"/>
        </w:tabs>
        <w:spacing w:after="120" w:line="360" w:lineRule="auto"/>
        <w:ind w:left="0" w:firstLine="0"/>
      </w:pPr>
    </w:p>
    <w:p w:rsidR="00D06A03" w:rsidRDefault="00D06A03" w:rsidP="00A720FB">
      <w:pPr>
        <w:pStyle w:val="Nadpis1"/>
        <w:numPr>
          <w:ilvl w:val="0"/>
          <w:numId w:val="0"/>
        </w:numPr>
        <w:ind w:left="360" w:hanging="360"/>
      </w:pPr>
      <w:bookmarkStart w:id="138" w:name="_Toc399775458"/>
      <w:r>
        <w:t>Rejstřík věcný</w:t>
      </w:r>
      <w:bookmarkEnd w:id="138"/>
    </w:p>
    <w:p w:rsidR="00E01F90" w:rsidRPr="00E01F90" w:rsidRDefault="00E01F90" w:rsidP="00A720FB">
      <w:pPr>
        <w:pStyle w:val="Nadpis1"/>
        <w:numPr>
          <w:ilvl w:val="0"/>
          <w:numId w:val="0"/>
        </w:numPr>
        <w:ind w:left="360" w:hanging="360"/>
      </w:pPr>
      <w:r>
        <w:t>Shrnutí na obálku knihy</w:t>
      </w:r>
    </w:p>
    <w:sectPr w:rsidR="00E01F90" w:rsidRPr="00E01F90" w:rsidSect="00892732">
      <w:footerReference w:type="default" r:id="rId31"/>
      <w:footerReference w:type="first" r:id="rId32"/>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B6F8D" w:rsidRDefault="003B6F8D">
      <w:r>
        <w:separator/>
      </w:r>
    </w:p>
  </w:endnote>
  <w:endnote w:type="continuationSeparator" w:id="0">
    <w:p w:rsidR="003B6F8D" w:rsidRDefault="003B6F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61002A87" w:usb1="80000000" w:usb2="00000008" w:usb3="00000000" w:csb0="000101FF" w:csb1="00000000"/>
  </w:font>
  <w:font w:name="CenturySchL-Roma">
    <w:altName w:val="MS Mincho"/>
    <w:panose1 w:val="00000000000000000000"/>
    <w:charset w:val="80"/>
    <w:family w:val="auto"/>
    <w:notTrueType/>
    <w:pitch w:val="default"/>
    <w:sig w:usb0="00000001" w:usb1="08070000" w:usb2="00000010" w:usb3="00000000" w:csb0="00020000" w:csb1="00000000"/>
  </w:font>
  <w:font w:name="CharterBT-Italic">
    <w:altName w:val="Times New Roman"/>
    <w:panose1 w:val="00000000000000000000"/>
    <w:charset w:val="00"/>
    <w:family w:val="auto"/>
    <w:notTrueType/>
    <w:pitch w:val="default"/>
    <w:sig w:usb0="00000003" w:usb1="00000000" w:usb2="00000000" w:usb3="00000000" w:csb0="00000001" w:csb1="00000000"/>
  </w:font>
  <w:font w:name="CharterBT-Roman">
    <w:altName w:val="Times New Roman"/>
    <w:panose1 w:val="00000000000000000000"/>
    <w:charset w:val="00"/>
    <w:family w:val="auto"/>
    <w:notTrueType/>
    <w:pitch w:val="default"/>
    <w:sig w:usb0="00000003" w:usb1="00000000" w:usb2="00000000" w:usb3="00000000" w:csb0="00000001" w:csb1="00000000"/>
  </w:font>
  <w:font w:name="TimesNewRomanPSMT">
    <w:altName w:val="MS Mincho"/>
    <w:panose1 w:val="00000000000000000000"/>
    <w:charset w:val="80"/>
    <w:family w:val="auto"/>
    <w:notTrueType/>
    <w:pitch w:val="default"/>
    <w:sig w:usb0="00000007" w:usb1="08070000" w:usb2="00000010" w:usb3="00000000" w:csb0="00020003" w:csb1="00000000"/>
  </w:font>
  <w:font w:name="Cambria Math">
    <w:panose1 w:val="02040503050406030204"/>
    <w:charset w:val="EE"/>
    <w:family w:val="roman"/>
    <w:pitch w:val="variable"/>
    <w:sig w:usb0="E00002FF" w:usb1="420024FF" w:usb2="00000000" w:usb3="00000000" w:csb0="0000019F" w:csb1="00000000"/>
  </w:font>
  <w:font w:name="TimesNewRomanPS-ItalicMT">
    <w:altName w:val="MS Mincho"/>
    <w:panose1 w:val="00000000000000000000"/>
    <w:charset w:val="80"/>
    <w:family w:val="auto"/>
    <w:notTrueType/>
    <w:pitch w:val="default"/>
    <w:sig w:usb0="00000007" w:usb1="08070000" w:usb2="00000010" w:usb3="00000000" w:csb0="00020003"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4542" w:rsidRDefault="00A74542" w:rsidP="00471051">
    <w:pPr>
      <w:pStyle w:val="Zpat"/>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537740"/>
      <w:docPartObj>
        <w:docPartGallery w:val="Page Numbers (Bottom of Page)"/>
        <w:docPartUnique/>
      </w:docPartObj>
    </w:sdtPr>
    <w:sdtEndPr/>
    <w:sdtContent>
      <w:p w:rsidR="00A74542" w:rsidRDefault="003B6F8D">
        <w:pPr>
          <w:pStyle w:val="Zpat"/>
          <w:jc w:val="center"/>
        </w:pPr>
      </w:p>
    </w:sdtContent>
  </w:sdt>
  <w:p w:rsidR="00A74542" w:rsidRDefault="00A74542" w:rsidP="00471051">
    <w:pPr>
      <w:pStyle w:val="Zpat"/>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2683506"/>
      <w:docPartObj>
        <w:docPartGallery w:val="Page Numbers (Bottom of Page)"/>
        <w:docPartUnique/>
      </w:docPartObj>
    </w:sdtPr>
    <w:sdtEndPr/>
    <w:sdtContent>
      <w:p w:rsidR="00A74542" w:rsidRDefault="003B6F8D">
        <w:pPr>
          <w:pStyle w:val="Zpat"/>
          <w:jc w:val="center"/>
        </w:pPr>
        <w:r>
          <w:fldChar w:fldCharType="begin"/>
        </w:r>
        <w:r>
          <w:instrText xml:space="preserve"> PAGE   \* MERGEFORMAT </w:instrText>
        </w:r>
        <w:r>
          <w:fldChar w:fldCharType="separate"/>
        </w:r>
        <w:r w:rsidR="008D224D">
          <w:rPr>
            <w:noProof/>
          </w:rPr>
          <w:t>9</w:t>
        </w:r>
        <w:r>
          <w:rPr>
            <w:noProof/>
          </w:rPr>
          <w:fldChar w:fldCharType="end"/>
        </w:r>
      </w:p>
    </w:sdtContent>
  </w:sdt>
  <w:p w:rsidR="00A74542" w:rsidRDefault="00A74542" w:rsidP="00471051">
    <w:pPr>
      <w:pStyle w:val="Zpat"/>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537743"/>
      <w:docPartObj>
        <w:docPartGallery w:val="Page Numbers (Bottom of Page)"/>
        <w:docPartUnique/>
      </w:docPartObj>
    </w:sdtPr>
    <w:sdtEndPr/>
    <w:sdtContent>
      <w:p w:rsidR="00A74542" w:rsidRDefault="003B6F8D">
        <w:pPr>
          <w:pStyle w:val="Zpat"/>
          <w:jc w:val="center"/>
        </w:pPr>
        <w:r>
          <w:fldChar w:fldCharType="begin"/>
        </w:r>
        <w:r>
          <w:instrText xml:space="preserve"> PAGE   \* MERGEFORMAT </w:instrText>
        </w:r>
        <w:r>
          <w:fldChar w:fldCharType="separate"/>
        </w:r>
        <w:r w:rsidR="008D224D">
          <w:rPr>
            <w:noProof/>
          </w:rPr>
          <w:t>5</w:t>
        </w:r>
        <w:r>
          <w:rPr>
            <w:noProof/>
          </w:rPr>
          <w:fldChar w:fldCharType="end"/>
        </w:r>
      </w:p>
    </w:sdtContent>
  </w:sdt>
  <w:p w:rsidR="00A74542" w:rsidRDefault="00A74542" w:rsidP="00471051">
    <w:pPr>
      <w:pStyle w:val="Zpat"/>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B6F8D" w:rsidRDefault="003B6F8D">
      <w:r>
        <w:separator/>
      </w:r>
    </w:p>
  </w:footnote>
  <w:footnote w:type="continuationSeparator" w:id="0">
    <w:p w:rsidR="003B6F8D" w:rsidRDefault="003B6F8D">
      <w:r>
        <w:continuationSeparator/>
      </w:r>
    </w:p>
  </w:footnote>
  <w:footnote w:id="1">
    <w:p w:rsidR="00A74542" w:rsidRPr="00EC6EC8" w:rsidRDefault="00A74542" w:rsidP="00802EB8">
      <w:pPr>
        <w:autoSpaceDE w:val="0"/>
        <w:autoSpaceDN w:val="0"/>
        <w:adjustRightInd w:val="0"/>
        <w:jc w:val="both"/>
        <w:rPr>
          <w:sz w:val="20"/>
          <w:szCs w:val="20"/>
        </w:rPr>
      </w:pPr>
      <w:r w:rsidRPr="00EC6EC8">
        <w:rPr>
          <w:rStyle w:val="Znakapoznpodarou"/>
          <w:sz w:val="20"/>
          <w:szCs w:val="20"/>
        </w:rPr>
        <w:footnoteRef/>
      </w:r>
      <w:r w:rsidRPr="00EC6EC8">
        <w:rPr>
          <w:sz w:val="20"/>
          <w:szCs w:val="20"/>
        </w:rPr>
        <w:t xml:space="preserve"> J</w:t>
      </w:r>
      <w:r w:rsidRPr="00EC6EC8">
        <w:rPr>
          <w:rFonts w:eastAsia="Calibri"/>
          <w:sz w:val="20"/>
          <w:szCs w:val="20"/>
          <w:lang w:eastAsia="en-US"/>
        </w:rPr>
        <w:t>edná se především o nadbytečnost termínu kompetence, obtížnou uchopitelnost kompetencí a jejich kontaminaci veskrze negativně vnímaným neoliberálním pedagogickým diskursem.</w:t>
      </w:r>
    </w:p>
  </w:footnote>
  <w:footnote w:id="2">
    <w:p w:rsidR="00A74542" w:rsidRPr="00EC6EC8" w:rsidRDefault="00A74542" w:rsidP="00802EB8">
      <w:pPr>
        <w:pStyle w:val="Textpoznpodarou"/>
        <w:jc w:val="both"/>
      </w:pPr>
      <w:r w:rsidRPr="00EC6EC8">
        <w:rPr>
          <w:rStyle w:val="Znakapoznpodarou"/>
        </w:rPr>
        <w:footnoteRef/>
      </w:r>
      <w:r w:rsidRPr="00EC6EC8">
        <w:t xml:space="preserve"> Ke stejnému závěru </w:t>
      </w:r>
      <w:r w:rsidRPr="008F321F">
        <w:t>dospěli Golay, Rempfler a Vettigerová (2012), kteří</w:t>
      </w:r>
      <w:r w:rsidRPr="00EC6EC8">
        <w:t xml:space="preserve"> na základě syntézy výzkumů publikovaných v uznávaném výzkumně orientovaném německém časopisu </w:t>
      </w:r>
      <w:r w:rsidRPr="001A55DE">
        <w:rPr>
          <w:i/>
        </w:rPr>
        <w:t>Geographie und ihre Didaktik</w:t>
      </w:r>
      <w:r w:rsidRPr="00EC6EC8">
        <w:t xml:space="preserve"> v letech 2003–2010 (celkem 80 studií) označili pouze 8 studií, které mohou být v jejich pojetí považovány za výzkumy kvality výuky. </w:t>
      </w:r>
    </w:p>
  </w:footnote>
  <w:footnote w:id="3">
    <w:p w:rsidR="00A74542" w:rsidRPr="00EC6EC8" w:rsidRDefault="00A74542" w:rsidP="00802EB8">
      <w:pPr>
        <w:pStyle w:val="Textpoznpodarou"/>
        <w:jc w:val="both"/>
      </w:pPr>
      <w:r w:rsidRPr="00EC6EC8">
        <w:rPr>
          <w:rStyle w:val="Znakapoznpodarou"/>
        </w:rPr>
        <w:footnoteRef/>
      </w:r>
      <w:r w:rsidRPr="00EC6EC8">
        <w:t xml:space="preserve"> Citovaní autoři používají pojem „</w:t>
      </w:r>
      <w:r w:rsidRPr="00EC6EC8">
        <w:rPr>
          <w:i/>
        </w:rPr>
        <w:t>Lernkultur</w:t>
      </w:r>
      <w:r w:rsidRPr="00EC6EC8">
        <w:t xml:space="preserve">“, který by měl být přeložen jako </w:t>
      </w:r>
      <w:r w:rsidRPr="00EC6EC8">
        <w:rPr>
          <w:i/>
        </w:rPr>
        <w:t>kultura učení</w:t>
      </w:r>
      <w:r w:rsidRPr="00EC6EC8">
        <w:t xml:space="preserve">. Ve snaze o zachycení významové šíře, v níž je pojem </w:t>
      </w:r>
      <w:r w:rsidRPr="00EC6EC8">
        <w:rPr>
          <w:i/>
        </w:rPr>
        <w:t>„Lernkultur“</w:t>
      </w:r>
      <w:r w:rsidRPr="00EC6EC8">
        <w:t xml:space="preserve"> používán, se v tomto textu přikláníme k používání pojmu </w:t>
      </w:r>
      <w:r w:rsidRPr="00EC6EC8">
        <w:rPr>
          <w:i/>
        </w:rPr>
        <w:t>kultura vyučování a učení</w:t>
      </w:r>
      <w:r w:rsidRPr="00EC6EC8">
        <w:t>.</w:t>
      </w:r>
    </w:p>
  </w:footnote>
  <w:footnote w:id="4">
    <w:p w:rsidR="00A74542" w:rsidRPr="00EC6EC8" w:rsidRDefault="00A74542" w:rsidP="00802EB8">
      <w:pPr>
        <w:pStyle w:val="Textpoznpodarou"/>
        <w:jc w:val="both"/>
      </w:pPr>
      <w:r w:rsidRPr="00EC6EC8">
        <w:rPr>
          <w:rStyle w:val="Znakapoznpodarou"/>
        </w:rPr>
        <w:footnoteRef/>
      </w:r>
      <w:r w:rsidRPr="00EC6EC8">
        <w:t xml:space="preserve"> Kořeny konstruktivismem ovlivněné nové kultury vyučování a učení je možné pozorovat již dříve, například v pracích J. Deweyho ukotvených ve filozofickém pragmatismu. O myšlenkách J. Deweyho přemosťujících pragmatismus a konstruktivismus blíže pojednává Reich (2004). Autor ve stejné práci podrobněji charakterizuje různá pojetí konstruktivismu. S odvoláním na jeho členění spatřujeme analogii kompetenčně orientovaných přístupů ve vzdělávání především se situovaným kognitivním konstruktivismem (srov. Reich, 2004, s. 38), který chápe proces subjektivní konstrukce skutečnosti jako situované učení, resp. situovanou kognici, ve smyslu propojení učebního prostředí a reálného světa. </w:t>
      </w:r>
    </w:p>
  </w:footnote>
  <w:footnote w:id="5">
    <w:p w:rsidR="00A74542" w:rsidRPr="00EC6EC8" w:rsidRDefault="00A74542" w:rsidP="00802EB8">
      <w:pPr>
        <w:pStyle w:val="Textpoznpodarou"/>
        <w:jc w:val="both"/>
      </w:pPr>
      <w:r w:rsidRPr="00EC6EC8">
        <w:rPr>
          <w:rStyle w:val="Znakapoznpodarou"/>
        </w:rPr>
        <w:footnoteRef/>
      </w:r>
      <w:r w:rsidRPr="00EC6EC8">
        <w:t xml:space="preserve"> Jedná se o znalosti, kterými žák disponuje, ale není schopen je apl</w:t>
      </w:r>
      <w:r>
        <w:t xml:space="preserve">ikovat v problémových situacích (podrobněji viz </w:t>
      </w:r>
      <w:r w:rsidRPr="008F321F">
        <w:t>kapitola 1.8.5).</w:t>
      </w:r>
    </w:p>
  </w:footnote>
  <w:footnote w:id="6">
    <w:p w:rsidR="00A74542" w:rsidRPr="00EC6EC8" w:rsidRDefault="00A74542" w:rsidP="00802EB8">
      <w:pPr>
        <w:jc w:val="both"/>
        <w:rPr>
          <w:sz w:val="20"/>
          <w:szCs w:val="20"/>
        </w:rPr>
      </w:pPr>
      <w:r w:rsidRPr="00EC6EC8">
        <w:rPr>
          <w:rStyle w:val="Znakapoznpodarou"/>
          <w:sz w:val="20"/>
          <w:szCs w:val="20"/>
        </w:rPr>
        <w:footnoteRef/>
      </w:r>
      <w:r w:rsidRPr="00EC6EC8">
        <w:rPr>
          <w:sz w:val="20"/>
          <w:szCs w:val="20"/>
        </w:rPr>
        <w:t xml:space="preserve"> </w:t>
      </w:r>
      <w:r>
        <w:rPr>
          <w:sz w:val="20"/>
          <w:szCs w:val="20"/>
        </w:rPr>
        <w:t>P</w:t>
      </w:r>
      <w:r w:rsidRPr="00EC6EC8">
        <w:rPr>
          <w:sz w:val="20"/>
          <w:szCs w:val="20"/>
        </w:rPr>
        <w:t>roblematiku</w:t>
      </w:r>
      <w:r>
        <w:rPr>
          <w:sz w:val="20"/>
          <w:szCs w:val="20"/>
        </w:rPr>
        <w:t xml:space="preserve"> (výzkumu)</w:t>
      </w:r>
      <w:r w:rsidRPr="00EC6EC8">
        <w:rPr>
          <w:sz w:val="20"/>
          <w:szCs w:val="20"/>
        </w:rPr>
        <w:t xml:space="preserve"> expertnosti </w:t>
      </w:r>
      <w:r>
        <w:rPr>
          <w:sz w:val="20"/>
          <w:szCs w:val="20"/>
        </w:rPr>
        <w:t>v učitelském vzdělávání podrobně rozpracovali</w:t>
      </w:r>
      <w:r w:rsidRPr="00EC6EC8">
        <w:rPr>
          <w:sz w:val="20"/>
          <w:szCs w:val="20"/>
        </w:rPr>
        <w:t xml:space="preserve"> Píšová a kol</w:t>
      </w:r>
      <w:r>
        <w:rPr>
          <w:sz w:val="20"/>
          <w:szCs w:val="20"/>
        </w:rPr>
        <w:t>. (2011). Teorii kognitivního učňovství vysvětluje na jiném místě Minaříková (2011, s. 48).</w:t>
      </w:r>
    </w:p>
  </w:footnote>
  <w:footnote w:id="7">
    <w:p w:rsidR="00A74542" w:rsidRDefault="00A74542" w:rsidP="00802EB8">
      <w:pPr>
        <w:pStyle w:val="Textpoznpodarou"/>
        <w:jc w:val="both"/>
      </w:pPr>
      <w:r>
        <w:rPr>
          <w:rStyle w:val="Znakapoznpodarou"/>
        </w:rPr>
        <w:footnoteRef/>
      </w:r>
      <w:r>
        <w:t xml:space="preserve"> Pro hlubší vysvětlení naší interpretace je přiléhavý také citát Dvořáka (2012, s. 104): „Pro [malé] národní státy je obtížné novým [internacionalizačním a globalizačním] trendům vzdorovat, snaží se jim přizpůsobit, ne vždy však mají dostatečnou kapacitu nejen převzít vnější znaky nového [nadnárodního] modelu, ale dokázat ho naplnit vhodným obsahem.“</w:t>
      </w:r>
    </w:p>
  </w:footnote>
  <w:footnote w:id="8">
    <w:p w:rsidR="00A74542" w:rsidRPr="00EC6EC8" w:rsidRDefault="00A74542" w:rsidP="00802EB8">
      <w:pPr>
        <w:pStyle w:val="Textpoznpodarou"/>
        <w:jc w:val="both"/>
      </w:pPr>
      <w:r w:rsidRPr="00EC6EC8">
        <w:rPr>
          <w:rStyle w:val="Znakapoznpodarou"/>
        </w:rPr>
        <w:footnoteRef/>
      </w:r>
      <w:r w:rsidRPr="00EC6EC8">
        <w:t xml:space="preserve"> K sociální konstrukci termínů a jejím dopadům viz Berger &amp; Luckmann</w:t>
      </w:r>
      <w:r>
        <w:t xml:space="preserve"> (1999). Kromě uvedeného </w:t>
      </w:r>
      <w:r w:rsidRPr="00EC6EC8">
        <w:t xml:space="preserve">nabývá </w:t>
      </w:r>
      <w:r>
        <w:t xml:space="preserve">pojem </w:t>
      </w:r>
      <w:r w:rsidRPr="00EC6EC8">
        <w:t>kompetence v běžném jazyce mnoha různých významů (např. pravomoc, schopnost aj.).</w:t>
      </w:r>
    </w:p>
  </w:footnote>
  <w:footnote w:id="9">
    <w:p w:rsidR="00A74542" w:rsidRPr="00EC6EC8" w:rsidRDefault="00A74542" w:rsidP="00802EB8">
      <w:pPr>
        <w:pStyle w:val="Textpoznpodarou"/>
        <w:jc w:val="both"/>
      </w:pPr>
      <w:r w:rsidRPr="00EC6EC8">
        <w:rPr>
          <w:rStyle w:val="Znakapoznpodarou"/>
        </w:rPr>
        <w:footnoteRef/>
      </w:r>
      <w:r w:rsidRPr="00EC6EC8">
        <w:t xml:space="preserve"> Další definice kompetencí viz také Wester</w:t>
      </w:r>
      <w:r>
        <w:t>a (</w:t>
      </w:r>
      <w:r w:rsidRPr="00EC6EC8">
        <w:t>2001</w:t>
      </w:r>
      <w:r>
        <w:t>); česky např. Průcha (</w:t>
      </w:r>
      <w:r w:rsidRPr="00EC6EC8">
        <w:t>2005</w:t>
      </w:r>
      <w:r>
        <w:t>) aj</w:t>
      </w:r>
      <w:r w:rsidRPr="00EC6EC8">
        <w:t>.</w:t>
      </w:r>
    </w:p>
  </w:footnote>
  <w:footnote w:id="10">
    <w:p w:rsidR="00A74542" w:rsidRPr="00EC6EC8" w:rsidRDefault="00A74542" w:rsidP="00802EB8">
      <w:pPr>
        <w:pStyle w:val="Textpoznpodarou"/>
        <w:jc w:val="both"/>
      </w:pPr>
      <w:r w:rsidRPr="00EC6EC8">
        <w:rPr>
          <w:rStyle w:val="Znakapoznpodarou"/>
        </w:rPr>
        <w:footnoteRef/>
      </w:r>
      <w:r w:rsidRPr="00EC6EC8">
        <w:t xml:space="preserve"> Tento požadavek není nový, ve filozofické rovině se s ním setkat například již u Deweyho nebo Wittgensteina (podrobněji viz Meyer, 2005, s. 12</w:t>
      </w:r>
      <w:r>
        <w:t>–</w:t>
      </w:r>
      <w:r w:rsidRPr="00EC6EC8">
        <w:t xml:space="preserve">13). </w:t>
      </w:r>
    </w:p>
  </w:footnote>
  <w:footnote w:id="11">
    <w:p w:rsidR="00A74542" w:rsidRPr="00EC6EC8" w:rsidRDefault="00A74542" w:rsidP="00802EB8">
      <w:pPr>
        <w:pStyle w:val="Textpoznpodarou"/>
        <w:jc w:val="both"/>
      </w:pPr>
      <w:r w:rsidRPr="00EC6EC8">
        <w:rPr>
          <w:rStyle w:val="Znakapoznpodarou"/>
        </w:rPr>
        <w:footnoteRef/>
      </w:r>
      <w:r w:rsidRPr="00EC6EC8">
        <w:t xml:space="preserve"> Vybrané pasáže této podkapitoly byly dříve publikovány ve studii Knecht</w:t>
      </w:r>
      <w:r>
        <w:t xml:space="preserve"> et al.</w:t>
      </w:r>
      <w:r w:rsidRPr="00EC6EC8">
        <w:t xml:space="preserve"> (2010). Uvedená studie byla rozpracována do návrhu výzkumného projektu, jehož výstupy prezentujeme v této knize.</w:t>
      </w:r>
    </w:p>
  </w:footnote>
  <w:footnote w:id="12">
    <w:p w:rsidR="00A74542" w:rsidRPr="00EC6EC8" w:rsidRDefault="00A74542" w:rsidP="00802EB8">
      <w:pPr>
        <w:pStyle w:val="Textpoznpodarou"/>
        <w:jc w:val="both"/>
      </w:pPr>
      <w:r w:rsidRPr="00EC6EC8">
        <w:rPr>
          <w:rStyle w:val="Znakapoznpodarou"/>
        </w:rPr>
        <w:footnoteRef/>
      </w:r>
      <w:r w:rsidRPr="00EC6EC8">
        <w:t xml:space="preserve"> V daném kontextu se někdy používá </w:t>
      </w:r>
      <w:r>
        <w:t xml:space="preserve">anglických </w:t>
      </w:r>
      <w:r w:rsidRPr="00EC6EC8">
        <w:t xml:space="preserve">označení </w:t>
      </w:r>
      <w:r w:rsidRPr="00C34521">
        <w:rPr>
          <w:i/>
        </w:rPr>
        <w:t>cross-curricular competencies</w:t>
      </w:r>
      <w:r w:rsidRPr="00EC6EC8">
        <w:t xml:space="preserve"> (Salganik, 2001, s. 18</w:t>
      </w:r>
      <w:r>
        <w:t>–</w:t>
      </w:r>
      <w:r w:rsidRPr="00EC6EC8">
        <w:t xml:space="preserve">19), </w:t>
      </w:r>
      <w:r w:rsidRPr="00C34521">
        <w:rPr>
          <w:i/>
        </w:rPr>
        <w:t>core competencies</w:t>
      </w:r>
      <w:r w:rsidRPr="00EC6EC8">
        <w:t xml:space="preserve">, </w:t>
      </w:r>
      <w:r w:rsidRPr="00C34521">
        <w:rPr>
          <w:i/>
        </w:rPr>
        <w:t>key qualifications</w:t>
      </w:r>
      <w:r w:rsidRPr="00EC6EC8">
        <w:t xml:space="preserve"> (Weinert, 2001, s.</w:t>
      </w:r>
      <w:r>
        <w:t xml:space="preserve"> 51), příp.</w:t>
      </w:r>
      <w:r w:rsidRPr="00C34521">
        <w:rPr>
          <w:i/>
        </w:rPr>
        <w:t xml:space="preserve"> core skills</w:t>
      </w:r>
      <w:r>
        <w:t xml:space="preserve"> (Rychen &amp;</w:t>
      </w:r>
      <w:r w:rsidRPr="00EC6EC8">
        <w:t xml:space="preserve"> Salganik, 2003, s. 53) aj. Obecně se jedná o termíny, které označují „multifunkční a transdisciplinární způsobilosti, jež jsou využitelné při dosahování mnoha důležitých cílů, zvládání různých úloh a jednání v neznámých situacích“ (Weinert, 2001, s. 52).</w:t>
      </w:r>
    </w:p>
  </w:footnote>
  <w:footnote w:id="13">
    <w:p w:rsidR="00A74542" w:rsidRPr="00EC6EC8" w:rsidRDefault="00A74542" w:rsidP="00802EB8">
      <w:pPr>
        <w:pStyle w:val="Textpoznpodarou"/>
        <w:jc w:val="both"/>
      </w:pPr>
      <w:r w:rsidRPr="00EC6EC8">
        <w:rPr>
          <w:rStyle w:val="Znakapoznpodarou"/>
        </w:rPr>
        <w:footnoteRef/>
      </w:r>
      <w:r w:rsidRPr="00EC6EC8">
        <w:t xml:space="preserve"> Výzkumný projekt OECD </w:t>
      </w:r>
      <w:r w:rsidRPr="00C3752D">
        <w:rPr>
          <w:bCs/>
          <w:i/>
        </w:rPr>
        <w:t>The Definition and Selection of Key Competencies. Theoretical and Conceptual Foundations</w:t>
      </w:r>
      <w:r w:rsidRPr="00C3752D">
        <w:rPr>
          <w:i/>
        </w:rPr>
        <w:t xml:space="preserve"> </w:t>
      </w:r>
      <w:r w:rsidRPr="00EC6EC8">
        <w:t xml:space="preserve">(DeSeCo) si klade od roku 1997 za cíl analyzovat teoretická východiska, definovat proces výběru klíčových kompetencí, zdůvodňovat jejich vztah k sociálnímu a ekonomickému prostředí a navrhovat možné empirické přístupy k jejich hodnocení (podrobněji viz </w:t>
      </w:r>
      <w:r w:rsidRPr="002A27FD">
        <w:t>www.deseco.admin.ch</w:t>
      </w:r>
      <w:r w:rsidRPr="00EC6EC8">
        <w:t>).</w:t>
      </w:r>
    </w:p>
  </w:footnote>
  <w:footnote w:id="14">
    <w:p w:rsidR="00A74542" w:rsidRPr="00EC6EC8" w:rsidRDefault="00A74542" w:rsidP="00802EB8">
      <w:pPr>
        <w:pStyle w:val="Textpoznpodarou"/>
        <w:jc w:val="both"/>
      </w:pPr>
      <w:r w:rsidRPr="00EC6EC8">
        <w:rPr>
          <w:rStyle w:val="Znakapoznpodarou"/>
        </w:rPr>
        <w:footnoteRef/>
      </w:r>
      <w:r w:rsidRPr="00EC6EC8">
        <w:t xml:space="preserve"> Za klíčové jsou v RVP ZV považovány kompetence: k učení, k řešení problémů, komunikativní, sociální a personální, občanské a kompetence pracovní.</w:t>
      </w:r>
    </w:p>
  </w:footnote>
  <w:footnote w:id="15">
    <w:p w:rsidR="00A74542" w:rsidRPr="00EC6EC8" w:rsidRDefault="00A74542" w:rsidP="00802EB8">
      <w:pPr>
        <w:pStyle w:val="Textpoznpodarou"/>
        <w:jc w:val="both"/>
      </w:pPr>
      <w:r w:rsidRPr="00EC6EC8">
        <w:rPr>
          <w:rStyle w:val="Znakapoznpodarou"/>
        </w:rPr>
        <w:footnoteRef/>
      </w:r>
      <w:r w:rsidRPr="00EC6EC8">
        <w:t xml:space="preserve"> Vědecké vymezení kompetencí je ve srovnání s</w:t>
      </w:r>
      <w:r>
        <w:t> </w:t>
      </w:r>
      <w:r w:rsidRPr="00EC6EC8">
        <w:t>diskursem</w:t>
      </w:r>
      <w:r>
        <w:t xml:space="preserve"> kurikulárních dokumentů </w:t>
      </w:r>
      <w:r w:rsidRPr="00EC6EC8">
        <w:t>přesnější, strukturovanější a výzkumně lépe uchopitelné. V rámcových vzdělávacích programech je kompetence k řešení problém</w:t>
      </w:r>
      <w:r>
        <w:t>ů</w:t>
      </w:r>
      <w:r w:rsidRPr="00EC6EC8">
        <w:t xml:space="preserve"> považována za klíčovou (nadoborovou), ve vědeckém diskursu je tato kompetence rozpracovávána spíše v doméně mezioborové, a také oborové (srov. např. matematiku). Schubert (2010, s. 44) v této souvislosti připomíná, že akademická sféra v současnosti nemá téměř žádné možnosti výrazněji ovlivňovat </w:t>
      </w:r>
      <w:r>
        <w:t>[</w:t>
      </w:r>
      <w:r w:rsidRPr="00EC6EC8">
        <w:t>konceptuální</w:t>
      </w:r>
      <w:r>
        <w:t xml:space="preserve">] podobu </w:t>
      </w:r>
      <w:r w:rsidRPr="00EC6EC8">
        <w:t xml:space="preserve">státního kurikula, neboť státní kurikulum je tvořeno většinou na zakázku politiků, ekonomů a businessmanů. Důraz na rozvíjení (klíčových) kompetencí může být </w:t>
      </w:r>
      <w:r>
        <w:t xml:space="preserve">mimo jiné </w:t>
      </w:r>
      <w:r w:rsidRPr="00EC6EC8">
        <w:t>důkazem jejich snah ovlivňovat vzdělávací politiku.</w:t>
      </w:r>
    </w:p>
  </w:footnote>
  <w:footnote w:id="16">
    <w:p w:rsidR="00A74542" w:rsidRDefault="00A74542" w:rsidP="00802EB8">
      <w:pPr>
        <w:pStyle w:val="Textpoznpodarou"/>
        <w:jc w:val="both"/>
      </w:pPr>
      <w:r>
        <w:rPr>
          <w:rStyle w:val="Znakapoznpodarou"/>
        </w:rPr>
        <w:footnoteRef/>
      </w:r>
      <w:r>
        <w:t xml:space="preserve"> </w:t>
      </w:r>
      <w:r w:rsidRPr="00B264AA">
        <w:t>Inspirací pro modelování dílčích oborových kompetencí může být také německý projekt „Biologie im Kontext“, v jehož rámci bylo vyvinuto několik kompetenčních modelů, které vycházejí ze struktury dílčích bilogických kompetencí (Bayhuber et al., 2007). Za užitečný a v mnoha ohledech inspirativní pro geografické vzdělávání považujeme kompetenční model týkající se experimentování v biologii (</w:t>
      </w:r>
      <w:r>
        <w:t xml:space="preserve">viz </w:t>
      </w:r>
      <w:r w:rsidRPr="00B264AA">
        <w:t>Mayer, 2007, s. 181), který byl také empiricky ověřen (</w:t>
      </w:r>
      <w:r>
        <w:t xml:space="preserve">např. </w:t>
      </w:r>
      <w:r w:rsidRPr="00B264AA">
        <w:t xml:space="preserve">Schreiber, 2012). </w:t>
      </w:r>
    </w:p>
  </w:footnote>
  <w:footnote w:id="17">
    <w:p w:rsidR="00A74542" w:rsidRPr="00EC6EC8" w:rsidRDefault="00A74542" w:rsidP="00802EB8">
      <w:pPr>
        <w:jc w:val="both"/>
        <w:rPr>
          <w:sz w:val="20"/>
          <w:szCs w:val="20"/>
        </w:rPr>
      </w:pPr>
      <w:r w:rsidRPr="00EC6EC8">
        <w:rPr>
          <w:rStyle w:val="Znakapoznpodarou"/>
          <w:sz w:val="20"/>
          <w:szCs w:val="20"/>
        </w:rPr>
        <w:footnoteRef/>
      </w:r>
      <w:r w:rsidRPr="00EC6EC8">
        <w:rPr>
          <w:sz w:val="20"/>
          <w:szCs w:val="20"/>
        </w:rPr>
        <w:t xml:space="preserve"> Čtenáře se zájmem o problematiku kurikula geografického vzdělávání v zahraničí odkazujeme na sedmidílnou sérii článků publikovaných na portálu </w:t>
      </w:r>
      <w:r>
        <w:rPr>
          <w:sz w:val="20"/>
          <w:szCs w:val="20"/>
        </w:rPr>
        <w:t>rvp.cz</w:t>
      </w:r>
      <w:r w:rsidRPr="00EC6EC8">
        <w:rPr>
          <w:sz w:val="20"/>
          <w:szCs w:val="20"/>
        </w:rPr>
        <w:t xml:space="preserve">, jejímž cílem bylo porovnat pojetí oboru geografie v národních kurikulech Finska, Kanady, Maďarska, Skotska a Slovinska (souhrnně Herink, 2009; srov. také Curić, Vuk, &amp; Jakovčić, 2007). O kurikulech aktuálně zaváděných v USA, Velké Británii a v Německu synteticky pojednal na stejné platformě Vávra (2012 aj.). </w:t>
      </w:r>
    </w:p>
  </w:footnote>
  <w:footnote w:id="18">
    <w:p w:rsidR="00A74542" w:rsidRDefault="00A74542" w:rsidP="00802EB8">
      <w:pPr>
        <w:pStyle w:val="Textpoznpodarou"/>
        <w:jc w:val="both"/>
      </w:pPr>
      <w:r>
        <w:rPr>
          <w:rStyle w:val="Znakapoznpodarou"/>
        </w:rPr>
        <w:footnoteRef/>
      </w:r>
      <w:r>
        <w:t xml:space="preserve"> Také prostorové myšlení je jako cílová kategorie geografického vzdělávání některými autory kritizována, neboť [dosud, pozn. aut.] není spolehlivě operačně vymezeno a zároveň [dosud, pozn. aut.] nepokrývá všechny oblasti geografického vzdělávání (srov. např. Manning, 2014, s. 110). </w:t>
      </w:r>
    </w:p>
  </w:footnote>
  <w:footnote w:id="19">
    <w:p w:rsidR="00A74542" w:rsidRPr="00EC6EC8" w:rsidRDefault="00A74542" w:rsidP="00802EB8">
      <w:pPr>
        <w:pStyle w:val="Textpoznpodarou"/>
        <w:jc w:val="both"/>
      </w:pPr>
      <w:r w:rsidRPr="00EC6EC8">
        <w:rPr>
          <w:rStyle w:val="Znakapoznpodarou"/>
        </w:rPr>
        <w:footnoteRef/>
      </w:r>
      <w:r w:rsidRPr="00EC6EC8">
        <w:t xml:space="preserve"> Důvody stojící v pozadí rezistence českých učitelů vůči změně podrobněji zkoumala např. Lazarová (2005). Upozornila, že nemalou roli v rezistenci hrají osobnostní charakteristiky učitelů spolu s jejich nízkou motivací a odbornou připraveností zavádět inovace do praxe. </w:t>
      </w:r>
    </w:p>
  </w:footnote>
  <w:footnote w:id="20">
    <w:p w:rsidR="00A74542" w:rsidRPr="00EC6EC8" w:rsidRDefault="00A74542" w:rsidP="00802EB8">
      <w:pPr>
        <w:pStyle w:val="Textpoznpodarou"/>
        <w:jc w:val="both"/>
      </w:pPr>
      <w:r w:rsidRPr="00EC6EC8">
        <w:rPr>
          <w:rStyle w:val="Znakapoznpodarou"/>
        </w:rPr>
        <w:footnoteRef/>
      </w:r>
      <w:r w:rsidRPr="00EC6EC8">
        <w:t xml:space="preserve"> Termín způsobilost bývá v některých případech pokládán za významově synonymní s termínem kompetence.</w:t>
      </w:r>
    </w:p>
  </w:footnote>
  <w:footnote w:id="21">
    <w:p w:rsidR="00A74542" w:rsidRPr="00EC6EC8" w:rsidRDefault="00A74542" w:rsidP="00802EB8">
      <w:pPr>
        <w:pStyle w:val="Textpoznpodarou"/>
        <w:jc w:val="both"/>
      </w:pPr>
      <w:r w:rsidRPr="00EC6EC8">
        <w:rPr>
          <w:rStyle w:val="Znakapoznpodarou"/>
        </w:rPr>
        <w:footnoteRef/>
      </w:r>
      <w:r>
        <w:t xml:space="preserve"> </w:t>
      </w:r>
      <w:r w:rsidRPr="00EC6EC8">
        <w:t xml:space="preserve">Viz např. mezinárodní projekt zaměřený na vzdělávání učitelů geografie </w:t>
      </w:r>
      <w:r w:rsidRPr="00AB1260">
        <w:rPr>
          <w:i/>
        </w:rPr>
        <w:t>Geocapabilities</w:t>
      </w:r>
      <w:r>
        <w:t xml:space="preserve"> </w:t>
      </w:r>
      <w:r w:rsidRPr="00EC6EC8">
        <w:t>(http://www.geocapabilities.org/).</w:t>
      </w:r>
    </w:p>
  </w:footnote>
  <w:footnote w:id="22">
    <w:p w:rsidR="00A74542" w:rsidRPr="00EC6EC8" w:rsidRDefault="00A74542" w:rsidP="00802EB8">
      <w:pPr>
        <w:pStyle w:val="Textpoznpodarou"/>
        <w:jc w:val="both"/>
      </w:pPr>
      <w:r w:rsidRPr="00EC6EC8">
        <w:rPr>
          <w:rStyle w:val="Znakapoznpodarou"/>
        </w:rPr>
        <w:footnoteRef/>
      </w:r>
      <w:r w:rsidRPr="00EC6EC8">
        <w:t xml:space="preserve"> Podrobný postup tvorby geografických standardů v Německu popisují Rempfler a Uphues (2012).</w:t>
      </w:r>
    </w:p>
  </w:footnote>
  <w:footnote w:id="23">
    <w:p w:rsidR="00A74542" w:rsidRPr="00EC6EC8" w:rsidRDefault="00A74542" w:rsidP="00802EB8">
      <w:pPr>
        <w:pStyle w:val="Textpoznpodarou"/>
        <w:jc w:val="both"/>
      </w:pPr>
      <w:r w:rsidRPr="00EC6EC8">
        <w:rPr>
          <w:rStyle w:val="Znakapoznpodarou"/>
        </w:rPr>
        <w:footnoteRef/>
      </w:r>
      <w:r w:rsidRPr="00EC6EC8">
        <w:t xml:space="preserve"> Proto bývá zeměpis často považován za předmět přemosťující přírodní a společenské vědy. Z této pozice na jednu stranu vyplývá poměrně značný integrující didaktický potenciál, na druhou stranu se zeměpis zároveň potýká s efektem ztráty vlastní identity a pozice v kurikulu všeobecně vzdělávacích předmětů (podrobněji problém popisuje van der Schee, 2014).</w:t>
      </w:r>
    </w:p>
  </w:footnote>
  <w:footnote w:id="24">
    <w:p w:rsidR="00A74542" w:rsidRPr="00EC6EC8" w:rsidRDefault="00A74542" w:rsidP="00802EB8">
      <w:pPr>
        <w:pStyle w:val="Textpoznpodarou"/>
        <w:jc w:val="both"/>
      </w:pPr>
      <w:r w:rsidRPr="00EC6EC8">
        <w:rPr>
          <w:rStyle w:val="Znakapoznpodarou"/>
        </w:rPr>
        <w:footnoteRef/>
      </w:r>
      <w:r w:rsidRPr="00EC6EC8">
        <w:t xml:space="preserve"> Zde podotýkáme, že se jedná o naši subjektivní interpretaci, neboť pojem „geografická systémová kompetence“ není ve Standardu (DGfG, 2012) nikde explicitně uveden. Na základě analogie s obsahovým vymezením geografické systémové kompetence (Rempfler &amp; Uphues, 2011), je dle našeho názoru možné geografickou systémovou kompetenci považovat za zastřešující cílový koncept znalostní dimenze geografického vzdělávání rozpracovaný Standardem. To ostatně </w:t>
      </w:r>
      <w:r>
        <w:t xml:space="preserve">navrhují </w:t>
      </w:r>
      <w:r w:rsidRPr="00EC6EC8">
        <w:t>také zmiňovaní autoři (s. 37).</w:t>
      </w:r>
    </w:p>
  </w:footnote>
  <w:footnote w:id="25">
    <w:p w:rsidR="00A74542" w:rsidRPr="00EC6EC8" w:rsidRDefault="00A74542" w:rsidP="00802EB8">
      <w:pPr>
        <w:pStyle w:val="Textpoznpodarou"/>
        <w:jc w:val="both"/>
      </w:pPr>
      <w:r w:rsidRPr="00EC6EC8">
        <w:rPr>
          <w:rStyle w:val="Znakapoznpodarou"/>
        </w:rPr>
        <w:footnoteRef/>
      </w:r>
      <w:r w:rsidRPr="00EC6EC8">
        <w:t xml:space="preserve"> Podrobnější klasifikaci jednotlivých fyzickogeografických systémových komponent uvádějí např. Chorley a Kennedyová (1971, s. 2–10), Strahler &amp; Strahler (1996, s. 7–8) aj.</w:t>
      </w:r>
    </w:p>
  </w:footnote>
  <w:footnote w:id="26">
    <w:p w:rsidR="00A74542" w:rsidRPr="00EC6EC8" w:rsidRDefault="00A74542" w:rsidP="00802EB8">
      <w:pPr>
        <w:pStyle w:val="Textpoznpodarou"/>
        <w:jc w:val="both"/>
      </w:pPr>
      <w:r w:rsidRPr="00EC6EC8">
        <w:rPr>
          <w:rStyle w:val="Znakapoznpodarou"/>
        </w:rPr>
        <w:footnoteRef/>
      </w:r>
      <w:r w:rsidRPr="00EC6EC8">
        <w:t xml:space="preserve"> </w:t>
      </w:r>
      <w:r>
        <w:t>S odkazem na problematiku problémového učení a vyučování, kterou se zabýváme v této práci, p</w:t>
      </w:r>
      <w:r w:rsidRPr="00EC6EC8">
        <w:t xml:space="preserve">řipomínáme, že v souvislosti s reformou zastřešenou dokumentem </w:t>
      </w:r>
      <w:r w:rsidRPr="00EC6EC8">
        <w:rPr>
          <w:i/>
        </w:rPr>
        <w:t xml:space="preserve">Další rozvoj československé výchovně vzdělávací soustavy </w:t>
      </w:r>
      <w:r w:rsidRPr="00EC6EC8">
        <w:t>(1976) byla mimo jiné masivně propagována idea problémového vyučování. Turek (1982) např. poukázal na možnosti utváření problémových situací ve vybraných vyučovacích předmětech a na základě výzkumu realizovaném na strojírenských středních školách doložil vyšší efektivitu problémového vyučování ve srovnání s tradičně pojatou výukou. Je zajímavé, že přes uvedené zjištění Turek nedoporučil masové zavádění problémové výuky do pedagogické praxe a upozornil na překážky, se kterými bylo nutné se nejprve vypořádat: předimenzovanost obsahu vzdělávání, nepřipravenost učitelů, nevhodné učebnice, chybějící metodické příručky a nedořešené teoretické otázky (</w:t>
      </w:r>
      <w:r>
        <w:t xml:space="preserve">srov. </w:t>
      </w:r>
      <w:r w:rsidRPr="00EC6EC8">
        <w:t>tamtéž, s. 304).</w:t>
      </w:r>
    </w:p>
  </w:footnote>
  <w:footnote w:id="27">
    <w:p w:rsidR="00A74542" w:rsidRPr="00EC6EC8" w:rsidRDefault="00A74542" w:rsidP="00802EB8">
      <w:pPr>
        <w:pStyle w:val="Textpoznpodarou"/>
        <w:jc w:val="both"/>
      </w:pPr>
      <w:r w:rsidRPr="00EC6EC8">
        <w:rPr>
          <w:rStyle w:val="Znakapoznpodarou"/>
        </w:rPr>
        <w:footnoteRef/>
      </w:r>
      <w:r w:rsidRPr="00EC6EC8">
        <w:t xml:space="preserve"> V překladu jsme usilovali o maximální zachování významu jednotlivých pojmů uvedených v originálním dokumentu, včetně v</w:t>
      </w:r>
      <w:r>
        <w:t> </w:t>
      </w:r>
      <w:r w:rsidRPr="00EC6EC8">
        <w:t>če</w:t>
      </w:r>
      <w:r>
        <w:t>ské didaktice geografie</w:t>
      </w:r>
      <w:r w:rsidRPr="00EC6EC8">
        <w:t xml:space="preserve"> neobvyklého použití termínu prostor v množném čísle (v orig. </w:t>
      </w:r>
      <w:r w:rsidRPr="001A4A35">
        <w:rPr>
          <w:i/>
        </w:rPr>
        <w:t>Räume</w:t>
      </w:r>
      <w:r w:rsidRPr="00EC6EC8">
        <w:t>). Pro srovnání odkazujeme čtenáře také na mírně odlišný překlad Vávry (2012).</w:t>
      </w:r>
    </w:p>
  </w:footnote>
  <w:footnote w:id="28">
    <w:p w:rsidR="00A74542" w:rsidRPr="00EC6EC8" w:rsidRDefault="00A74542" w:rsidP="00802EB8">
      <w:pPr>
        <w:pStyle w:val="Textpoznpodarou"/>
        <w:jc w:val="both"/>
      </w:pPr>
      <w:r w:rsidRPr="00EC6EC8">
        <w:rPr>
          <w:rStyle w:val="Znakapoznpodarou"/>
        </w:rPr>
        <w:footnoteRef/>
      </w:r>
      <w:r w:rsidRPr="00EC6EC8">
        <w:t xml:space="preserve"> Historii problémového vyučování a učení podrobně zmapoval nap</w:t>
      </w:r>
      <w:r>
        <w:t>ř</w:t>
      </w:r>
      <w:r w:rsidRPr="00EC6EC8">
        <w:t>. Turek (1982, s. 68–71).</w:t>
      </w:r>
    </w:p>
  </w:footnote>
  <w:footnote w:id="29">
    <w:p w:rsidR="00A74542" w:rsidRPr="00EC6EC8" w:rsidRDefault="00A74542" w:rsidP="00802EB8">
      <w:pPr>
        <w:pStyle w:val="Textpoznpodarou"/>
        <w:jc w:val="both"/>
      </w:pPr>
      <w:r w:rsidRPr="00EC6EC8">
        <w:rPr>
          <w:rStyle w:val="Znakapoznpodarou"/>
        </w:rPr>
        <w:footnoteRef/>
      </w:r>
      <w:r w:rsidRPr="00EC6EC8">
        <w:t xml:space="preserve"> Funkcionálními aspekty řešení problémů (k čemu slouží řešení problémů?) a souvisejícími koncepty teorie je</w:t>
      </w:r>
      <w:r>
        <w:t>d</w:t>
      </w:r>
      <w:r w:rsidRPr="00EC6EC8">
        <w:t>nání se podrobněji zabývá Funke (2003, s. 21).</w:t>
      </w:r>
    </w:p>
  </w:footnote>
  <w:footnote w:id="30">
    <w:p w:rsidR="00A74542" w:rsidRPr="00EC6EC8" w:rsidRDefault="00A74542" w:rsidP="00802EB8">
      <w:pPr>
        <w:pStyle w:val="Textpoznpodarou"/>
        <w:jc w:val="both"/>
      </w:pPr>
      <w:r w:rsidRPr="00EC6EC8">
        <w:rPr>
          <w:rStyle w:val="Znakapoznpodarou"/>
        </w:rPr>
        <w:footnoteRef/>
      </w:r>
      <w:r w:rsidRPr="00EC6EC8">
        <w:t xml:space="preserve"> V této souvislosti odkazujeme na </w:t>
      </w:r>
      <w:r w:rsidRPr="00845F73">
        <w:t>kapitolu 1.4.7 věnovanou</w:t>
      </w:r>
      <w:r w:rsidRPr="00EC6EC8">
        <w:t xml:space="preserve"> geografické systémové kompetenci jako jedné z možných cílových kategorií geografickéo vzdělávání, neboť zde spatřujeme významné analogie mezi vymezením problémových situací a cílovým směřováním geografického vzdělávání.</w:t>
      </w:r>
    </w:p>
  </w:footnote>
  <w:footnote w:id="31">
    <w:p w:rsidR="00A74542" w:rsidRPr="00EC6EC8" w:rsidRDefault="00A74542" w:rsidP="00802EB8">
      <w:pPr>
        <w:pStyle w:val="Textpoznpodarou"/>
        <w:jc w:val="both"/>
      </w:pPr>
      <w:r w:rsidRPr="00EC6EC8">
        <w:rPr>
          <w:rStyle w:val="Znakapoznpodarou"/>
        </w:rPr>
        <w:footnoteRef/>
      </w:r>
      <w:r w:rsidRPr="00EC6EC8">
        <w:t xml:space="preserve"> Jednotlivé heuristické strategie v didaktickém kontextu popisuje Polya (1981). Jedná se o vytváření analogií, srovnávání, tvoření náčrtů, používání nápomocných učebních úloh apod.</w:t>
      </w:r>
    </w:p>
  </w:footnote>
  <w:footnote w:id="32">
    <w:p w:rsidR="00A74542" w:rsidRPr="00EC6EC8" w:rsidRDefault="00A74542" w:rsidP="00802EB8">
      <w:pPr>
        <w:pStyle w:val="Textpoznpodarou"/>
        <w:jc w:val="both"/>
      </w:pPr>
      <w:r w:rsidRPr="00EC6EC8">
        <w:rPr>
          <w:rStyle w:val="Znakapoznpodarou"/>
        </w:rPr>
        <w:footnoteRef/>
      </w:r>
      <w:r w:rsidRPr="00EC6EC8">
        <w:t xml:space="preserve"> Podrobněji k rozdělení dobře a neúplně strukturovaných problémů viz Simon (1973), Mayer a Wittrock (1996); v češtině Linhart (1976, s. 402) nebo Češková (2013, s. 161–162). V této práci se držíme</w:t>
      </w:r>
      <w:r>
        <w:t xml:space="preserve"> </w:t>
      </w:r>
      <w:r w:rsidRPr="00EC6EC8">
        <w:t>překladu Linharta (1976, s. 402), ačkoliv jsme si vědomi, že termín „ill-defined problem“ bývá některými autory překládán jako „špatně definovaný problém“ (srov. Píšová et al, 2011, s. 66; Češková, 2013, s. 133 aj.). S přihlédnutím k sémantickému významu adjektiva „špatný“ v běžném i odborném jazyce se domníváme, že žádný problém nelze z principu definovat „špatně“. Slavík (1997, s. 122) ve stejné souvislosti hovoří o „nedobře“ definovaných problémech.</w:t>
      </w:r>
    </w:p>
  </w:footnote>
  <w:footnote w:id="33">
    <w:p w:rsidR="00A74542" w:rsidRPr="00EC6EC8" w:rsidRDefault="00A74542" w:rsidP="00802EB8">
      <w:pPr>
        <w:pStyle w:val="Textpoznpodarou"/>
        <w:jc w:val="both"/>
      </w:pPr>
      <w:r w:rsidRPr="00EC6EC8">
        <w:rPr>
          <w:rStyle w:val="Znakapoznpodarou"/>
        </w:rPr>
        <w:footnoteRef/>
      </w:r>
      <w:r w:rsidRPr="00EC6EC8">
        <w:t xml:space="preserve"> Psychologické poznatky o procesu řešení </w:t>
      </w:r>
      <w:r>
        <w:t>neúplně</w:t>
      </w:r>
      <w:r w:rsidRPr="00EC6EC8">
        <w:t xml:space="preserve"> strukturovaných problémů shrnují např. Voss (1990) a Abele et al. (2012).</w:t>
      </w:r>
    </w:p>
  </w:footnote>
  <w:footnote w:id="34">
    <w:p w:rsidR="00A74542" w:rsidRPr="00966C92" w:rsidRDefault="00A74542" w:rsidP="00802EB8">
      <w:pPr>
        <w:pStyle w:val="Textpoznpodarou"/>
        <w:jc w:val="both"/>
      </w:pPr>
      <w:r w:rsidRPr="00EC6EC8">
        <w:rPr>
          <w:rStyle w:val="Znakapoznpodarou"/>
        </w:rPr>
        <w:footnoteRef/>
      </w:r>
      <w:r w:rsidRPr="00EC6EC8">
        <w:t xml:space="preserve"> Shodně postupovali při tvorbě obdobných klasifikací Barrows (1986), Burchartz (2003, s. 34–35), Ullrich (2005, s. 94–109) aj.</w:t>
      </w:r>
    </w:p>
  </w:footnote>
  <w:footnote w:id="35">
    <w:p w:rsidR="00A74542" w:rsidRDefault="00A74542" w:rsidP="00802EB8">
      <w:pPr>
        <w:pStyle w:val="Textpoznpodarou"/>
        <w:jc w:val="both"/>
      </w:pPr>
      <w:r w:rsidRPr="00966C92">
        <w:rPr>
          <w:rStyle w:val="Znakapoznpodarou"/>
        </w:rPr>
        <w:footnoteRef/>
      </w:r>
      <w:r w:rsidRPr="00966C92">
        <w:t xml:space="preserve"> Transferu se podrobněji věnujeme v kap. 1.5.6 (faktory ovlivňující</w:t>
      </w:r>
      <w:r>
        <w:t xml:space="preserve"> řešení problémů).</w:t>
      </w:r>
    </w:p>
  </w:footnote>
  <w:footnote w:id="36">
    <w:p w:rsidR="00A74542" w:rsidRPr="00EC6EC8" w:rsidRDefault="00A74542" w:rsidP="00802EB8">
      <w:pPr>
        <w:pStyle w:val="Textpoznpodarou"/>
        <w:jc w:val="both"/>
      </w:pPr>
      <w:r w:rsidRPr="00EC6EC8">
        <w:rPr>
          <w:rStyle w:val="Znakapoznpodarou"/>
        </w:rPr>
        <w:footnoteRef/>
      </w:r>
      <w:r w:rsidRPr="00EC6EC8">
        <w:t xml:space="preserve"> Proces řešení jednoduchých (statických) problémů podrobněji rozpracovali např. Chi, Feltowich a Glaser (1981), kteří poukázali na rozdíly ve způsobu řešení problému u noviců a expertů. </w:t>
      </w:r>
    </w:p>
  </w:footnote>
  <w:footnote w:id="37">
    <w:p w:rsidR="00A74542" w:rsidRPr="00EC6EC8" w:rsidRDefault="00A74542" w:rsidP="00802EB8">
      <w:pPr>
        <w:pStyle w:val="Textpoznpodarou"/>
        <w:jc w:val="both"/>
      </w:pPr>
      <w:r w:rsidRPr="00EC6EC8">
        <w:rPr>
          <w:rStyle w:val="Znakapoznpodarou"/>
        </w:rPr>
        <w:footnoteRef/>
      </w:r>
      <w:r w:rsidRPr="00EC6EC8">
        <w:t xml:space="preserve"> Na základě námi provedené rešerše literatury hodnotíme jako mimořádně přínosné především následující práce: Sternberg a Frensch (1991), Frensch a Funke (1995); Funke (2003); Jonassen (2011</w:t>
      </w:r>
      <w:r>
        <w:t>b</w:t>
      </w:r>
      <w:r w:rsidRPr="00EC6EC8">
        <w:t>) a Greiff (2012).</w:t>
      </w:r>
    </w:p>
  </w:footnote>
  <w:footnote w:id="38">
    <w:p w:rsidR="00A74542" w:rsidRPr="00EC6EC8" w:rsidRDefault="00A74542" w:rsidP="00802EB8">
      <w:pPr>
        <w:pStyle w:val="Textpoznpodarou"/>
        <w:jc w:val="both"/>
      </w:pPr>
      <w:r w:rsidRPr="00EC6EC8">
        <w:rPr>
          <w:rStyle w:val="Znakapoznpodarou"/>
        </w:rPr>
        <w:footnoteRef/>
      </w:r>
      <w:r w:rsidRPr="00EC6EC8">
        <w:t xml:space="preserve"> Otázka užitečnosti transferu jako schopnosti přenášet známé poznatky a dovednosti do zcela nové situace se doposud nebyla v pedagogice a psychologii definitivně vyřešena (přehled viz Simons, 1999; Bassok, 2003). Přínosnost tra</w:t>
      </w:r>
      <w:r>
        <w:t>nsferu pro vzdělávání je do z</w:t>
      </w:r>
      <w:r w:rsidRPr="00EC6EC8">
        <w:t>n</w:t>
      </w:r>
      <w:r>
        <w:t>a</w:t>
      </w:r>
      <w:r w:rsidRPr="00EC6EC8">
        <w:t xml:space="preserve">čné míry limitována schopností rozpoznat analogii dříve naučeného </w:t>
      </w:r>
      <w:r>
        <w:t xml:space="preserve">způsobu </w:t>
      </w:r>
      <w:r w:rsidRPr="00EC6EC8">
        <w:t xml:space="preserve">řešení problému s novou problémovou situací. Žáci i dospělí mívají především potíže s identifikací </w:t>
      </w:r>
      <w:r>
        <w:t xml:space="preserve">těch </w:t>
      </w:r>
      <w:r w:rsidRPr="00EC6EC8">
        <w:t>aspektů problému, které jsou relevantní pro řešení nových problémových situací. Tyto aspekty mohou souviset buď se změnou povrchové struktury problému (např. obměna vybraných prvků zadání – objekty, příběh, frázování, kontext) nebo s nerozpoznáním podobnosti hloubkové struktury problému (algoritmus řešení). Některé výzkumy upozorňují, že žáci bývají relativně úspěšní při řešení učebních úloh uváděných v učebnicích a vyžadujících aplikaci dříve naučených postupů řešení ve školním kontextu (</w:t>
      </w:r>
      <w:r>
        <w:t xml:space="preserve">viz </w:t>
      </w:r>
      <w:r w:rsidRPr="00EC6EC8">
        <w:t xml:space="preserve">LeFevre &amp; Dixon, 1986). Jakmile jsou žáci konfrontováni s učebními úlohami situovanými do odlišného kontextu (např. každodenních životních situací), mívají s transferem naučeného výrazné problémy. Skutečnost, že znalosti mají tendenci být nejlépe uplatněny v kontextu, ve kterém byly osvojeny, dokládají Nunesová, Schliemannová a Caragher (2003) na základě analýzy rozdílů strategií řešení tzv. </w:t>
      </w:r>
      <w:r w:rsidRPr="00F257AE">
        <w:rPr>
          <w:i/>
        </w:rPr>
        <w:t>street mathematics</w:t>
      </w:r>
      <w:r w:rsidRPr="00EC6EC8">
        <w:t xml:space="preserve"> a </w:t>
      </w:r>
      <w:r w:rsidRPr="00F257AE">
        <w:rPr>
          <w:i/>
        </w:rPr>
        <w:t>school mathematics</w:t>
      </w:r>
      <w:r w:rsidRPr="00EC6EC8">
        <w:t xml:space="preserve">. </w:t>
      </w:r>
      <w:r>
        <w:t>Odlišné</w:t>
      </w:r>
      <w:r w:rsidRPr="00EC6EC8">
        <w:t xml:space="preserve"> postoje k problematice transferu je možné pozorovat také u nás. Zatímco někteří autoři požadavek transferu zavrhují pro jeho neopodstatněnost (srov. např. Štech, 2013), případně upozorňují na jeho bariéry (Janík, Maňák, &amp; Knecht, 2009, s. 147), jiní autoři pokládají transfer za účinného pomocníka ve vzdělávání a „kámen mudrců“ školní pedagogiky (srov. Kuřina, 2014</w:t>
      </w:r>
      <w:r>
        <w:t>b</w:t>
      </w:r>
      <w:r w:rsidRPr="00EC6EC8">
        <w:t xml:space="preserve">, s. 435). </w:t>
      </w:r>
    </w:p>
  </w:footnote>
  <w:footnote w:id="39">
    <w:p w:rsidR="00A74542" w:rsidRPr="00EC6EC8" w:rsidRDefault="00A74542" w:rsidP="00802EB8">
      <w:pPr>
        <w:pStyle w:val="Textpoznpodarou"/>
        <w:jc w:val="both"/>
      </w:pPr>
      <w:r w:rsidRPr="00EC6EC8">
        <w:rPr>
          <w:rStyle w:val="Znakapoznpodarou"/>
        </w:rPr>
        <w:footnoteRef/>
      </w:r>
      <w:r w:rsidRPr="00EC6EC8">
        <w:t xml:space="preserve"> Výzkumy emočních a motivačních aspektů v procesu učení shrnují Gläser-Zikuda, Stuchlíková a Janík (2013).</w:t>
      </w:r>
    </w:p>
  </w:footnote>
  <w:footnote w:id="40">
    <w:p w:rsidR="00A74542" w:rsidRDefault="00A74542" w:rsidP="00802EB8">
      <w:pPr>
        <w:pStyle w:val="Textpoznpodarou"/>
        <w:jc w:val="both"/>
      </w:pPr>
      <w:r>
        <w:rPr>
          <w:rStyle w:val="Znakapoznpodarou"/>
        </w:rPr>
        <w:footnoteRef/>
      </w:r>
      <w:r>
        <w:t xml:space="preserve"> </w:t>
      </w:r>
      <w:r w:rsidRPr="00EC6EC8">
        <w:t>Psychologické zákonitosti myšlení a na ně navázané pedagogicko-psychologické výzkumy byly předmětem masivních výzkumů realizovaných v bývalém sovětském svazu. Na jejich základě bylo vytvořeno množství klasifikací problémového vyučování a učení (souhrn viz Maťuškin, 1973, s. 40</w:t>
      </w:r>
      <w:r>
        <w:t>–</w:t>
      </w:r>
      <w:r w:rsidRPr="00EC6EC8">
        <w:t>41).</w:t>
      </w:r>
    </w:p>
  </w:footnote>
  <w:footnote w:id="41">
    <w:p w:rsidR="00A74542" w:rsidRPr="00EC6EC8" w:rsidRDefault="00A74542" w:rsidP="00802EB8">
      <w:pPr>
        <w:pStyle w:val="Textpoznpodarou"/>
        <w:jc w:val="both"/>
      </w:pPr>
      <w:r w:rsidRPr="00EC6EC8">
        <w:rPr>
          <w:rStyle w:val="Znakapoznpodarou"/>
        </w:rPr>
        <w:footnoteRef/>
      </w:r>
      <w:r w:rsidRPr="00EC6EC8">
        <w:t xml:space="preserve"> Čtenáře s hlubším zájmem o problematiku problémové výuky, související teorie vyučování a učení a souhrn domácích i zahraničních poznatků odkazujeme na původní monografické práce, které na základě námi provedené rešerše literatury hodnotíme jako mimořádně přínosné: Kulič (1964), Oko</w:t>
      </w:r>
      <w:r w:rsidRPr="00EC6EC8">
        <w:rPr>
          <w:bCs/>
        </w:rPr>
        <w:t>ń</w:t>
      </w:r>
      <w:r w:rsidRPr="00EC6EC8">
        <w:t xml:space="preserve"> (1966), Maťuškin (1973), Linhart (1976, s. 382–417), Turek (1982), Lipták (1987) a Kličková (1989).</w:t>
      </w:r>
    </w:p>
  </w:footnote>
  <w:footnote w:id="42">
    <w:p w:rsidR="00A74542" w:rsidRPr="00EC6EC8" w:rsidRDefault="00A74542" w:rsidP="00802EB8">
      <w:pPr>
        <w:pStyle w:val="Textpoznpodarou"/>
        <w:jc w:val="both"/>
      </w:pPr>
      <w:r w:rsidRPr="00EC6EC8">
        <w:rPr>
          <w:rStyle w:val="Znakapoznpodarou"/>
        </w:rPr>
        <w:footnoteRef/>
      </w:r>
      <w:r w:rsidRPr="00EC6EC8">
        <w:t xml:space="preserve"> S odkazem na Stuchlíkovou (2010) překládáme přívlastek „based“ jako „orientovaný“, ačkoliv připouštíme také užití významově bližšího termínu „založený“.</w:t>
      </w:r>
    </w:p>
  </w:footnote>
  <w:footnote w:id="43">
    <w:p w:rsidR="00A74542" w:rsidRPr="00EC6EC8" w:rsidRDefault="00A74542" w:rsidP="00802EB8">
      <w:pPr>
        <w:pStyle w:val="Textpoznpodarou"/>
        <w:jc w:val="both"/>
      </w:pPr>
      <w:r w:rsidRPr="00EC6EC8">
        <w:rPr>
          <w:rStyle w:val="Znakapoznpodarou"/>
        </w:rPr>
        <w:footnoteRef/>
      </w:r>
      <w:r>
        <w:t xml:space="preserve"> V současnosti je problémově orientované </w:t>
      </w:r>
      <w:r w:rsidRPr="00EC6EC8">
        <w:t>učení využíváno v kurikulu mnoha jiných disciplín (přehled viz Gijbels et al</w:t>
      </w:r>
      <w:r>
        <w:t>.</w:t>
      </w:r>
      <w:r w:rsidRPr="00EC6EC8">
        <w:t>, 2005, s. 28–2</w:t>
      </w:r>
      <w:r>
        <w:t>9). Využití problémově orientovaného</w:t>
      </w:r>
      <w:r w:rsidRPr="00EC6EC8">
        <w:t xml:space="preserve"> učení v geografickém vzdělávání podrobně diskutují Pawson et al. (2006). Kwan a So (2008) a Yeung (2010) popisují konkrétní výukové postupy ve výuce zeměpisu vč. autentického znění problémových učebních úloh.</w:t>
      </w:r>
    </w:p>
  </w:footnote>
  <w:footnote w:id="44">
    <w:p w:rsidR="00A74542" w:rsidRPr="00EC6EC8" w:rsidRDefault="00A74542" w:rsidP="00802EB8">
      <w:pPr>
        <w:pStyle w:val="Textpoznpodarou"/>
        <w:jc w:val="both"/>
      </w:pPr>
      <w:r w:rsidRPr="00EC6EC8">
        <w:rPr>
          <w:rStyle w:val="Znakapoznpodarou"/>
        </w:rPr>
        <w:footnoteRef/>
      </w:r>
      <w:r w:rsidRPr="00EC6EC8">
        <w:t xml:space="preserve"> Termín je někdy zkracován na pouhé „inquiry“ (srov. např. Roberts, 2003</w:t>
      </w:r>
      <w:r>
        <w:t>, 2013 aj.</w:t>
      </w:r>
      <w:r w:rsidRPr="00EC6EC8">
        <w:t>).</w:t>
      </w:r>
    </w:p>
  </w:footnote>
  <w:footnote w:id="45">
    <w:p w:rsidR="00A74542" w:rsidRPr="00EC6EC8" w:rsidRDefault="00A74542" w:rsidP="00802EB8">
      <w:pPr>
        <w:pStyle w:val="Textpoznpodarou"/>
        <w:jc w:val="both"/>
      </w:pPr>
      <w:r w:rsidRPr="00EC6EC8">
        <w:rPr>
          <w:rStyle w:val="Znakapoznpodarou"/>
        </w:rPr>
        <w:footnoteRef/>
      </w:r>
      <w:r w:rsidRPr="00EC6EC8">
        <w:t xml:space="preserve"> Přehledové kapitoly této publikace jsme zpracovali na základě rešerše literatury uskutečněné v listopadu 2012. Do rešerše jsme zahrnuli </w:t>
      </w:r>
      <w:r>
        <w:t xml:space="preserve">relevantní </w:t>
      </w:r>
      <w:r w:rsidRPr="00EC6EC8">
        <w:t xml:space="preserve">studie, které byly dostupné v běžně užívaných vědeckých databázích Web of Science, SCOPUS, ProQuest a vyhledávači Google Scholar po zadání </w:t>
      </w:r>
      <w:r>
        <w:t xml:space="preserve">různých kombinací </w:t>
      </w:r>
      <w:r w:rsidRPr="00EC6EC8">
        <w:t xml:space="preserve">klíčových slov problem-solving, problem-based learning, research a review (a v druhém sledu doplnili klíčovým slovem geography). Pro rešerši německých pramenů jsme analogicky </w:t>
      </w:r>
      <w:r>
        <w:t xml:space="preserve">(po překladu klíčových slov do němčiny) </w:t>
      </w:r>
      <w:r w:rsidRPr="00EC6EC8">
        <w:t xml:space="preserve">použili databázi Fachportal Pädagogik. Zvláštní pozornost jsme věnovali také studiím v časopisu </w:t>
      </w:r>
      <w:r w:rsidRPr="00EC6EC8">
        <w:rPr>
          <w:i/>
        </w:rPr>
        <w:t>The Interdisciplinary Journal of Problem-based Learning</w:t>
      </w:r>
      <w:r w:rsidRPr="00EC6EC8">
        <w:t xml:space="preserve"> (IJPBL), který není ve výše zmiňovaných databázích zařazen. Rešerši česky psaných zdrojů jsme realizovali pomocí katalogů Národní knihovny ČR a Národního pedagogického muzea J. A. Komenského. Relevance pramenů byla</w:t>
      </w:r>
      <w:r>
        <w:t xml:space="preserve"> neprve</w:t>
      </w:r>
      <w:r w:rsidRPr="00EC6EC8">
        <w:t xml:space="preserve"> hodnocena na základě dostupných abstraktů. Následně jsme s využitím metody sněhové koule na základě studia seznamů použité literatury ve zmiňovaných studiích vytipovali a případně doplnili další relevantní prameny, které již nutně nemusely mít přehledový charakter. Toto kritérium se týká zejména česky psané literatury. Neusilovali jsme o vytvoření systematické přehledové studie, naším cílem byl sběr podkladů pro vytvoření narativního přehledu, který by českému čtenáři přiblížil dosavadní vývoj a aktuální stav poznání v oblasti problémového vyučování a učení s případným přesahem do výzkumu výuky, výzkumu učebnic a didaktiky geografie.</w:t>
      </w:r>
    </w:p>
  </w:footnote>
  <w:footnote w:id="46">
    <w:p w:rsidR="00A74542" w:rsidRPr="00EC6EC8" w:rsidRDefault="00A74542" w:rsidP="00802EB8">
      <w:pPr>
        <w:pStyle w:val="Textpoznpodarou"/>
        <w:jc w:val="both"/>
      </w:pPr>
      <w:r w:rsidRPr="00EC6EC8">
        <w:rPr>
          <w:rStyle w:val="Znakapoznpodarou"/>
        </w:rPr>
        <w:footnoteRef/>
      </w:r>
      <w:r w:rsidRPr="00EC6EC8">
        <w:t xml:space="preserve"> Síla efektu se zpravidla pohybuje pod úrovní 0,20 (srov. např. metanalýzu Vernon &amp; Blake, 1993 aj.).</w:t>
      </w:r>
    </w:p>
  </w:footnote>
  <w:footnote w:id="47">
    <w:p w:rsidR="00A74542" w:rsidRPr="00EC6EC8" w:rsidRDefault="00A74542" w:rsidP="00802EB8">
      <w:pPr>
        <w:pStyle w:val="Textpoznpodarou"/>
        <w:jc w:val="both"/>
      </w:pPr>
      <w:r w:rsidRPr="00EC6EC8">
        <w:rPr>
          <w:rStyle w:val="Znakapoznpodarou"/>
        </w:rPr>
        <w:footnoteRef/>
      </w:r>
      <w:r w:rsidRPr="00EC6EC8">
        <w:t xml:space="preserve"> Jednotlivé znalostní komponenty řešení problémů autoři převzali z teoretického modelu hodnocení schopnosti řešit problémy vytvořeného Sugrueovou (1995). Model vychází z předpokladu, že problémové učení facilitují výukové situace, v nichž dochází k propojení dříve osvojených konceptů a principů s podmínkami a postupy jejich praktické aplikace (s případným přesahem do neznámých situací).</w:t>
      </w:r>
    </w:p>
  </w:footnote>
  <w:footnote w:id="48">
    <w:p w:rsidR="00A74542" w:rsidRPr="00EC6EC8" w:rsidRDefault="00A74542" w:rsidP="00802EB8">
      <w:pPr>
        <w:pStyle w:val="Textpoznpodarou"/>
        <w:jc w:val="both"/>
      </w:pPr>
      <w:r w:rsidRPr="00EC6EC8">
        <w:rPr>
          <w:rStyle w:val="Znakapoznpodarou"/>
        </w:rPr>
        <w:footnoteRef/>
      </w:r>
      <w:r w:rsidRPr="00EC6EC8">
        <w:t xml:space="preserve"> Obecné teorii učebních úloh se také věnovali představitelé teorie programovaného učení (srov. Tollingerová, Knězů, </w:t>
      </w:r>
      <w:r>
        <w:t>&amp; Kulič, 1966; Tollingerová, 1976</w:t>
      </w:r>
      <w:r w:rsidRPr="00EC6EC8">
        <w:t xml:space="preserve"> aj.). Ačkoliv se jedná z dnešního pohledu o starší práce, je nutné poukázat na jejich nadčasovost. Taxonomie učebních úloh Tollingerové je například dodnes užívaným nástrojem pro hodnocení kvality učebních úloh</w:t>
      </w:r>
      <w:r>
        <w:t>.</w:t>
      </w:r>
    </w:p>
  </w:footnote>
  <w:footnote w:id="49">
    <w:p w:rsidR="00A74542" w:rsidRPr="00EC6EC8" w:rsidRDefault="00A74542" w:rsidP="00802EB8">
      <w:pPr>
        <w:pStyle w:val="Textpoznpodarou"/>
        <w:jc w:val="both"/>
      </w:pPr>
      <w:r w:rsidRPr="00EC6EC8">
        <w:rPr>
          <w:rStyle w:val="Znakapoznpodarou"/>
        </w:rPr>
        <w:footnoteRef/>
      </w:r>
      <w:r w:rsidRPr="00EC6EC8">
        <w:t xml:space="preserve"> Jsme si vědomi, že analýzy učebních úloh jsou častým tématem diplomových prací. Z důvodu chybějících všeobecně sdílených kritérií metodologické kvality diplomových prací jsme se rozhodli diplomové práce do přehledu nezařazovat. </w:t>
      </w:r>
    </w:p>
  </w:footnote>
  <w:footnote w:id="50">
    <w:p w:rsidR="00A74542" w:rsidRDefault="00A74542">
      <w:pPr>
        <w:pStyle w:val="Textpoznpodarou"/>
      </w:pPr>
      <w:r>
        <w:rPr>
          <w:rStyle w:val="Znakapoznpodarou"/>
        </w:rPr>
        <w:footnoteRef/>
      </w:r>
      <w:r>
        <w:t xml:space="preserve"> Se stejným datovým souborem jsme pracovali také ve výzkumu, jejž představujeme ve druhé části této knihy.</w:t>
      </w:r>
    </w:p>
  </w:footnote>
  <w:footnote w:id="51">
    <w:p w:rsidR="00A74542" w:rsidRPr="00F13CD0" w:rsidRDefault="00A74542" w:rsidP="00802EB8">
      <w:pPr>
        <w:pStyle w:val="Textpoznpodarou"/>
        <w:jc w:val="both"/>
      </w:pPr>
      <w:r>
        <w:rPr>
          <w:rStyle w:val="Znakapoznpodarou"/>
        </w:rPr>
        <w:footnoteRef/>
      </w:r>
      <w:r>
        <w:t xml:space="preserve"> </w:t>
      </w:r>
      <w:r w:rsidRPr="00F13CD0">
        <w:t xml:space="preserve">Z pohledu dalšího možného výzkumného směřování didaktiky geografie považujeme za metodologicky inspirativní zejména analýzy učebních úloh tematicky spadající do oblasti didaktiky matematiky (zejm. Stein, Grover, &amp; Henningsen, 1996; Neubrand, 2002; Knoll, 2003; Büchter &amp; Leuders, 2005; Mullis et al., 2009). Metodologický náskok a výzkumný potenciál didaktiky matematiky v oblasti analýzy učebních úloh je možné pozorovat také v Česku (Hejný &amp; Kuřina, 2009; Rendl &amp; Vondrová, 2014 aj.). </w:t>
      </w:r>
    </w:p>
  </w:footnote>
  <w:footnote w:id="52">
    <w:p w:rsidR="00A74542" w:rsidRPr="00EC6EC8" w:rsidRDefault="00A74542" w:rsidP="00802EB8">
      <w:pPr>
        <w:pStyle w:val="Textpoznpodarou"/>
        <w:jc w:val="both"/>
      </w:pPr>
      <w:r w:rsidRPr="00EC6EC8">
        <w:rPr>
          <w:rStyle w:val="Znakapoznpodarou"/>
        </w:rPr>
        <w:footnoteRef/>
      </w:r>
      <w:r w:rsidRPr="00EC6EC8">
        <w:t xml:space="preserve"> V Česku vycházíme zejména z následujících prací: Pstružinová (1992), Gavora (1994), Mareš a K</w:t>
      </w:r>
      <w:r w:rsidRPr="00EC6EC8">
        <w:rPr>
          <w:rFonts w:eastAsia="TimesNewRomanPSMT"/>
        </w:rPr>
        <w:t>ř</w:t>
      </w:r>
      <w:r w:rsidRPr="00EC6EC8">
        <w:t>ivohlavý, (1995, s. 80–81), Vaculová, Trna, a Janík (2008), Čtrnáctová (2009) a Šva</w:t>
      </w:r>
      <w:r w:rsidRPr="00EC6EC8">
        <w:rPr>
          <w:rFonts w:eastAsia="TimesNewRomanPSMT"/>
        </w:rPr>
        <w:t>ř</w:t>
      </w:r>
      <w:r w:rsidRPr="00EC6EC8">
        <w:t>í</w:t>
      </w:r>
      <w:r w:rsidRPr="00EC6EC8">
        <w:rPr>
          <w:rFonts w:eastAsia="TimesNewRomanPSMT"/>
        </w:rPr>
        <w:t>č</w:t>
      </w:r>
      <w:r w:rsidRPr="00EC6EC8">
        <w:t xml:space="preserve">ek (2011). </w:t>
      </w:r>
      <w:r>
        <w:t xml:space="preserve">Poslední z uvedených publikací obsahuje mimo samotného výzkumu také zdařilou </w:t>
      </w:r>
      <w:r w:rsidRPr="00EC6EC8">
        <w:t>syntézu relevantních zahraničních</w:t>
      </w:r>
      <w:r>
        <w:t xml:space="preserve"> poznatků (tamtéž</w:t>
      </w:r>
      <w:r w:rsidRPr="00EC6EC8">
        <w:t>, s. 11</w:t>
      </w:r>
      <w:r>
        <w:t>–</w:t>
      </w:r>
      <w:r w:rsidRPr="00EC6EC8">
        <w:t>12</w:t>
      </w:r>
      <w:r>
        <w:t>, viz také níže</w:t>
      </w:r>
      <w:r w:rsidRPr="00EC6EC8">
        <w:t>).</w:t>
      </w:r>
    </w:p>
  </w:footnote>
  <w:footnote w:id="53">
    <w:p w:rsidR="00A74542" w:rsidRPr="00EC6EC8" w:rsidRDefault="00A74542" w:rsidP="00802EB8">
      <w:pPr>
        <w:pStyle w:val="Textpoznpodarou"/>
        <w:jc w:val="both"/>
      </w:pPr>
      <w:r w:rsidRPr="00EC6EC8">
        <w:rPr>
          <w:rStyle w:val="Znakapoznpodarou"/>
        </w:rPr>
        <w:footnoteRef/>
      </w:r>
      <w:r w:rsidRPr="00EC6EC8">
        <w:t xml:space="preserve"> Srov. např. Moosbruggerová (1985), Zujev (1986, s. 166), Tollingerová (1987),</w:t>
      </w:r>
      <w:r>
        <w:t xml:space="preserve"> </w:t>
      </w:r>
      <w:r w:rsidRPr="00EC6EC8">
        <w:t>Armbrusterová a Ostertag (1993, s. 75–76), Valverde a kol. (2002, s. 127), Xin (2007) a mnohé další.</w:t>
      </w:r>
      <w:r>
        <w:t xml:space="preserve"> </w:t>
      </w:r>
    </w:p>
  </w:footnote>
  <w:footnote w:id="54">
    <w:p w:rsidR="00A74542" w:rsidRPr="00EC6EC8" w:rsidRDefault="00A74542" w:rsidP="00802EB8">
      <w:pPr>
        <w:spacing w:line="276" w:lineRule="auto"/>
        <w:jc w:val="both"/>
      </w:pPr>
      <w:r w:rsidRPr="00EC6EC8">
        <w:rPr>
          <w:rStyle w:val="Znakapoznpodarou"/>
          <w:sz w:val="20"/>
          <w:szCs w:val="20"/>
        </w:rPr>
        <w:footnoteRef/>
      </w:r>
      <w:r w:rsidRPr="00EC6EC8">
        <w:rPr>
          <w:sz w:val="20"/>
          <w:szCs w:val="20"/>
        </w:rPr>
        <w:t xml:space="preserve"> K typologii </w:t>
      </w:r>
      <w:r w:rsidRPr="00B96333">
        <w:rPr>
          <w:sz w:val="20"/>
          <w:szCs w:val="20"/>
        </w:rPr>
        <w:t xml:space="preserve">problémových úloh viz </w:t>
      </w:r>
      <w:r w:rsidRPr="00B96333">
        <w:rPr>
          <w:bCs/>
          <w:sz w:val="20"/>
          <w:szCs w:val="20"/>
        </w:rPr>
        <w:t>Okoń</w:t>
      </w:r>
      <w:r w:rsidRPr="00B96333">
        <w:rPr>
          <w:sz w:val="20"/>
          <w:szCs w:val="20"/>
        </w:rPr>
        <w:t xml:space="preserve"> (1964, s. 42). Významným</w:t>
      </w:r>
      <w:r w:rsidRPr="00EC6EC8">
        <w:rPr>
          <w:sz w:val="20"/>
          <w:szCs w:val="20"/>
        </w:rPr>
        <w:t xml:space="preserve"> příspěvkem k teorii učebních úloh ve vztahu k problémové výuce jsou také práce Tollingerové (1973), Skalkové (2007, s. 156</w:t>
      </w:r>
      <w:r>
        <w:rPr>
          <w:sz w:val="20"/>
          <w:szCs w:val="20"/>
        </w:rPr>
        <w:t>–</w:t>
      </w:r>
      <w:r w:rsidRPr="00EC6EC8">
        <w:rPr>
          <w:sz w:val="20"/>
          <w:szCs w:val="20"/>
        </w:rPr>
        <w:t>161) a další.</w:t>
      </w:r>
    </w:p>
  </w:footnote>
  <w:footnote w:id="55">
    <w:p w:rsidR="00A74542" w:rsidRPr="00EC6EC8" w:rsidRDefault="00A74542" w:rsidP="00802EB8">
      <w:pPr>
        <w:pStyle w:val="Textpoznpodarou"/>
        <w:jc w:val="both"/>
      </w:pPr>
      <w:r w:rsidRPr="00EC6EC8">
        <w:rPr>
          <w:rStyle w:val="Znakapoznpodarou"/>
        </w:rPr>
        <w:footnoteRef/>
      </w:r>
      <w:r w:rsidRPr="00EC6EC8">
        <w:t xml:space="preserve"> Někteří autoři klasifikaci Neubrandové kritizují, a s odkazem na její nízkou kompaktnost doporučují její redukci (srov. např. Maier et al., 2013, s. 35), neboť se</w:t>
      </w:r>
      <w:r>
        <w:t xml:space="preserve"> </w:t>
      </w:r>
      <w:r w:rsidRPr="00EC6EC8">
        <w:t>například ukázalo, že na základě zmiňované klasifikace nebylo možné žádnou z učebních úloh analyzovaných v rámci videostudie TIMSS 1995 klasifikovat jako ryze problémovou (tzn. takovou, kde není znám výchozí, cílový stav ani není jasně definován postup řešení).</w:t>
      </w:r>
    </w:p>
    <w:p w:rsidR="00A74542" w:rsidRPr="00EC6EC8" w:rsidRDefault="00A74542" w:rsidP="00802EB8">
      <w:pPr>
        <w:pStyle w:val="Textpoznpodarou"/>
        <w:jc w:val="both"/>
      </w:pPr>
    </w:p>
    <w:p w:rsidR="00A74542" w:rsidRPr="00EC6EC8" w:rsidRDefault="00A74542" w:rsidP="00802EB8">
      <w:pPr>
        <w:pStyle w:val="Textpoznpodarou"/>
        <w:jc w:val="both"/>
      </w:pPr>
    </w:p>
  </w:footnote>
  <w:footnote w:id="56">
    <w:p w:rsidR="00A74542" w:rsidRPr="00EC6EC8" w:rsidRDefault="00A74542" w:rsidP="00802EB8">
      <w:pPr>
        <w:pStyle w:val="Textpoznpodarou"/>
        <w:jc w:val="both"/>
      </w:pPr>
      <w:r w:rsidRPr="00EC6EC8">
        <w:rPr>
          <w:rStyle w:val="Znakapoznpodarou"/>
        </w:rPr>
        <w:footnoteRef/>
      </w:r>
      <w:r w:rsidRPr="00EC6EC8">
        <w:t xml:space="preserve"> Někteří autoři rozlišují také strukturní znalosti – znalosti vztahů mezi jednotlivými koncepty v rámci určitého oboru (Jonassen, Beisner, &amp; Yacci, 1993).</w:t>
      </w:r>
    </w:p>
  </w:footnote>
  <w:footnote w:id="57">
    <w:p w:rsidR="00A74542" w:rsidRDefault="00A74542" w:rsidP="00802EB8">
      <w:pPr>
        <w:pStyle w:val="Textpoznpodarou"/>
        <w:jc w:val="both"/>
      </w:pPr>
      <w:r>
        <w:rPr>
          <w:rStyle w:val="Znakapoznpodarou"/>
        </w:rPr>
        <w:footnoteRef/>
      </w:r>
      <w:r>
        <w:t xml:space="preserve"> </w:t>
      </w:r>
      <w:r w:rsidRPr="0020366F">
        <w:t xml:space="preserve">Přetištěno z časopisu </w:t>
      </w:r>
      <w:r w:rsidRPr="0020366F">
        <w:rPr>
          <w:iCs/>
        </w:rPr>
        <w:t>Expert Systems with Applications</w:t>
      </w:r>
      <w:r w:rsidRPr="0020366F">
        <w:t xml:space="preserve">, </w:t>
      </w:r>
      <w:r w:rsidRPr="0020366F">
        <w:rPr>
          <w:iCs/>
        </w:rPr>
        <w:t>27</w:t>
      </w:r>
      <w:r w:rsidRPr="0020366F">
        <w:t>(1), Yim, N. H., Kim, S. H., Kim, H. W., &amp; Kwahk, K. Y. (2004). Knowledge based decision making on higher level strategic concerns: System dynamics approach, s. 144. Copyright (2004), se svolením vydavatelství Elsevier.</w:t>
      </w:r>
    </w:p>
  </w:footnote>
  <w:footnote w:id="58">
    <w:p w:rsidR="00A74542" w:rsidRPr="00EC6EC8" w:rsidRDefault="00A74542" w:rsidP="00802EB8">
      <w:pPr>
        <w:pStyle w:val="Textpoznpodarou"/>
        <w:jc w:val="both"/>
      </w:pPr>
      <w:r w:rsidRPr="00EC6EC8">
        <w:rPr>
          <w:rStyle w:val="Znakapoznpodarou"/>
        </w:rPr>
        <w:footnoteRef/>
      </w:r>
      <w:r w:rsidRPr="00EC6EC8">
        <w:t xml:space="preserve"> Anzai a Simon (1979) popsali, jaké efekty má procvičování při procesu proceduralizace deklarativních znalostí.</w:t>
      </w:r>
    </w:p>
  </w:footnote>
  <w:footnote w:id="59">
    <w:p w:rsidR="00A74542" w:rsidRPr="00EC6EC8" w:rsidRDefault="00A74542" w:rsidP="00802EB8">
      <w:pPr>
        <w:pStyle w:val="Textpoznpodarou"/>
        <w:jc w:val="both"/>
      </w:pPr>
      <w:r w:rsidRPr="00EC6EC8">
        <w:rPr>
          <w:rStyle w:val="Znakapoznpodarou"/>
        </w:rPr>
        <w:footnoteRef/>
      </w:r>
      <w:r w:rsidRPr="00EC6EC8">
        <w:t xml:space="preserve"> Procesy vedoucí k tvorbě schémat jednání bývají označovány jako heurismy (Dörner, 1987, s. 38</w:t>
      </w:r>
      <w:r>
        <w:t>–</w:t>
      </w:r>
      <w:r w:rsidRPr="00EC6EC8">
        <w:t xml:space="preserve">48). Každý heurismus představuje předem stanovený způsob propojení mentálních operací (např. abstrahování, klasifikování, porovnávání aj.). Nejjednodušší heurismus je patrně postup známý jako </w:t>
      </w:r>
      <w:r w:rsidRPr="00EC6EC8">
        <w:rPr>
          <w:i/>
        </w:rPr>
        <w:t>pokus a omyl</w:t>
      </w:r>
      <w:r w:rsidRPr="00EC6EC8">
        <w:t xml:space="preserve">; další </w:t>
      </w:r>
      <w:r>
        <w:t xml:space="preserve">složitější </w:t>
      </w:r>
      <w:r w:rsidRPr="00EC6EC8">
        <w:t xml:space="preserve">heuristické </w:t>
      </w:r>
      <w:r w:rsidRPr="00DC365A">
        <w:t>postupy viz Linhart</w:t>
      </w:r>
      <w:r>
        <w:t xml:space="preserve"> (1976, s. 399–407).</w:t>
      </w:r>
    </w:p>
  </w:footnote>
  <w:footnote w:id="60">
    <w:p w:rsidR="00A74542" w:rsidRPr="001B6D7E" w:rsidRDefault="00A74542" w:rsidP="00802EB8">
      <w:pPr>
        <w:pStyle w:val="Textpoznpodarou"/>
        <w:jc w:val="both"/>
      </w:pPr>
      <w:r w:rsidRPr="00EC6EC8">
        <w:rPr>
          <w:rStyle w:val="Znakapoznpodarou"/>
        </w:rPr>
        <w:footnoteRef/>
      </w:r>
      <w:r w:rsidRPr="00EC6EC8">
        <w:t xml:space="preserve"> Bloomovu taxonomii je možné považovat za jeden z doposud největších a nejvlivnějších poznatků pedagogiky, jak ve své obsáhlé práci mapující příběh Bloomovy taxonomie uvádí Göldiová (2011). Autorka podrobně popisuje podmínky vzniku Bloomovy taxonomie, analyzuje a interpretuje její následné pozitivní i kritické ohlasy vedoucí k její revizi, a věnuje se znovuoživení zájmu o tuto taxonomii, který je možné zaznamenat v současné době spolu s orientací vzdělávacích systémů na kompetence, vzdělávací standardy a testování. Z Bloomovy taxonomie vycházeli také další autoři dalších taxonomií kognitivních cílů (souhrn viz Göldi, 2011, s. 66</w:t>
      </w:r>
      <w:r>
        <w:t>–83).</w:t>
      </w:r>
    </w:p>
  </w:footnote>
  <w:footnote w:id="61">
    <w:p w:rsidR="00A74542" w:rsidRPr="00687EAA" w:rsidRDefault="00A74542" w:rsidP="00802EB8">
      <w:pPr>
        <w:pStyle w:val="Textpoznpodarou"/>
        <w:jc w:val="both"/>
      </w:pPr>
      <w:r w:rsidRPr="001B6D7E">
        <w:rPr>
          <w:rStyle w:val="Znakapoznpodarou"/>
        </w:rPr>
        <w:footnoteRef/>
      </w:r>
      <w:r w:rsidRPr="001B6D7E">
        <w:t xml:space="preserve"> O transferu podrobněji pojednáváme na jiném místě (viz kap. 1.5.6).</w:t>
      </w:r>
    </w:p>
  </w:footnote>
  <w:footnote w:id="62">
    <w:p w:rsidR="00A74542" w:rsidRPr="00EC6EC8" w:rsidRDefault="00A74542" w:rsidP="00802EB8">
      <w:pPr>
        <w:pStyle w:val="Textpoznpodarou"/>
        <w:jc w:val="both"/>
      </w:pPr>
      <w:r w:rsidRPr="00EC6EC8">
        <w:rPr>
          <w:rStyle w:val="Znakapoznpodarou"/>
        </w:rPr>
        <w:footnoteRef/>
      </w:r>
      <w:r w:rsidRPr="00EC6EC8">
        <w:t xml:space="preserve"> V této souvislosti je třeba připomenout, že „reálným“ budoucím zaměstnáním žáka může být také práce vědce, učitele, matematika apod. V tomto ohledu škola představuje nejlepší možné místo, kde se dají patřičné kontextově a situačně vázané kompetence získávat. Školní výuka také může vytvářet modelové prostředí pro nácvik řešení vybraných situací a problémů rodinného života. </w:t>
      </w:r>
    </w:p>
  </w:footnote>
  <w:footnote w:id="63">
    <w:p w:rsidR="00A74542" w:rsidRPr="00EC6EC8" w:rsidRDefault="00A74542" w:rsidP="00802EB8">
      <w:pPr>
        <w:pStyle w:val="Textpoznpodarou"/>
        <w:jc w:val="both"/>
      </w:pPr>
      <w:r w:rsidRPr="00EC6EC8">
        <w:rPr>
          <w:rStyle w:val="Znakapoznpodarou"/>
        </w:rPr>
        <w:footnoteRef/>
      </w:r>
      <w:r w:rsidRPr="00EC6EC8">
        <w:t xml:space="preserve"> Vědecké stanovení cílů geografického vzdělávání by si vyžádalo samostatnou studii. Odkazujeme v této souvislosti na naše dřívější pokusy o </w:t>
      </w:r>
      <w:r>
        <w:t xml:space="preserve">výzkumnou </w:t>
      </w:r>
      <w:r w:rsidRPr="00EC6EC8">
        <w:t xml:space="preserve">operacionalizaci cílů </w:t>
      </w:r>
      <w:r>
        <w:t xml:space="preserve">geografického </w:t>
      </w:r>
      <w:r w:rsidRPr="00EC6EC8">
        <w:t>vzdělávání (</w:t>
      </w:r>
      <w:r>
        <w:t xml:space="preserve">srov. </w:t>
      </w:r>
      <w:r w:rsidRPr="00EC6EC8">
        <w:t>Knecht, 2010), případně doporučení jiných autorů a autorit (srov. např. Geographical Association, 2009).</w:t>
      </w:r>
    </w:p>
  </w:footnote>
  <w:footnote w:id="64">
    <w:p w:rsidR="00A74542" w:rsidRPr="00EC6EC8" w:rsidRDefault="00A74542" w:rsidP="00802EB8">
      <w:pPr>
        <w:pStyle w:val="Textpoznpodarou"/>
        <w:jc w:val="both"/>
      </w:pPr>
      <w:r w:rsidRPr="00EC6EC8">
        <w:rPr>
          <w:rStyle w:val="Znakapoznpodarou"/>
        </w:rPr>
        <w:footnoteRef/>
      </w:r>
      <w:r w:rsidRPr="00EC6EC8">
        <w:t xml:space="preserve"> Srov. např. Leat (1998, 2000), Taylorová (2008), Lambert &amp; Morgan (2010 aj.).</w:t>
      </w:r>
    </w:p>
  </w:footnote>
  <w:footnote w:id="65">
    <w:p w:rsidR="00A74542" w:rsidRPr="00EC6EC8" w:rsidRDefault="00A74542" w:rsidP="00802EB8">
      <w:pPr>
        <w:pStyle w:val="Textpoznpodarou"/>
        <w:jc w:val="both"/>
      </w:pPr>
      <w:r w:rsidRPr="00EC6EC8">
        <w:rPr>
          <w:rStyle w:val="Znakapoznpodarou"/>
        </w:rPr>
        <w:footnoteRef/>
      </w:r>
      <w:r w:rsidRPr="00EC6EC8">
        <w:t xml:space="preserve"> </w:t>
      </w:r>
      <w:r>
        <w:t xml:space="preserve">Teorie ACT-R je založena na hromadění a vyladění malých jednotek znalostí, které se spojují, aby vytvářely komplexní poznávací procesy. Přitom je nutné rozlišovat a) deklarativní paměť (sémantická síť vzájemně propojených pojmů majících různou aktivační sílu), b) procedurální paměť (obsahuje produkční pravidla) a c) pracovní paměť (obsahuje právě aktivované informace). </w:t>
      </w:r>
      <w:r w:rsidRPr="00EC6EC8">
        <w:t>Podrobnější informace o teorii ACT-R, včetně seznamu relevantních odborných publikací, jsou dostupné na webovské adrese http://act-r.psy.cmu.edu/. Z pohledu didaktiky geografie není bez zajímavosti, že výzkumné nástroje vycházející z teorie ACT-R jsou aktuálně využívány také k psychologickému testování prostorové představivosti a prostorových kompetencí (srov. Gunzelmann &amp; Lyon, 2011).</w:t>
      </w:r>
    </w:p>
  </w:footnote>
  <w:footnote w:id="66">
    <w:p w:rsidR="00A74542" w:rsidRPr="00EC6EC8" w:rsidRDefault="00A74542" w:rsidP="00802EB8">
      <w:pPr>
        <w:pStyle w:val="Textpoznpodarou"/>
        <w:jc w:val="both"/>
      </w:pPr>
      <w:r w:rsidRPr="00EC6EC8">
        <w:rPr>
          <w:rStyle w:val="Znakapoznpodarou"/>
        </w:rPr>
        <w:footnoteRef/>
      </w:r>
      <w:r w:rsidRPr="00EC6EC8">
        <w:t xml:space="preserve"> Připouštíme nicméně, že je možné ve výuce zeměpisu žáky výjimečně konfrontovat také s autentickými geografickými problémy (viz např. </w:t>
      </w:r>
      <w:r>
        <w:rPr>
          <w:bCs/>
        </w:rPr>
        <w:t xml:space="preserve">Svozil, Trávníček, &amp; Trojan, </w:t>
      </w:r>
      <w:r w:rsidRPr="00EC6EC8">
        <w:rPr>
          <w:bCs/>
        </w:rPr>
        <w:t xml:space="preserve">2010). </w:t>
      </w:r>
      <w:r w:rsidRPr="00EC6EC8">
        <w:t>Je ale mnohem více pravděpodobné, že na základní škole se žák častě setká s</w:t>
      </w:r>
      <w:r>
        <w:t xml:space="preserve"> </w:t>
      </w:r>
      <w:r w:rsidRPr="00EC6EC8">
        <w:t>tzv. pre-autentickou výukou, spočívající v simulaci reálných problémů. To vyžaduje velmi zkušené učitele, kteří jsou schopni didakticky strukturovat autentické geografické problémy.</w:t>
      </w:r>
    </w:p>
  </w:footnote>
  <w:footnote w:id="67">
    <w:p w:rsidR="00A74542" w:rsidRDefault="00A74542" w:rsidP="00802EB8">
      <w:pPr>
        <w:pStyle w:val="Textpoznpodarou"/>
        <w:jc w:val="both"/>
      </w:pPr>
      <w:r>
        <w:rPr>
          <w:rStyle w:val="Znakapoznpodarou"/>
        </w:rPr>
        <w:footnoteRef/>
      </w:r>
      <w:r>
        <w:t xml:space="preserve"> Valverde et al. (2002) taktéž upozorňují na důležitost oborově specifických výzkumných přístupů. Na příkladu výsledků výzkumu TIMSS dokazují, že učební úlohy ve výuce matematiky a přírodních věd jsou natolik odlišné, že je obtížné je mezi sebou vzájemně porovnávat. </w:t>
      </w:r>
    </w:p>
  </w:footnote>
  <w:footnote w:id="68">
    <w:p w:rsidR="00A74542" w:rsidRPr="00EC6EC8" w:rsidRDefault="00A74542" w:rsidP="00802EB8">
      <w:pPr>
        <w:pStyle w:val="Textpoznpodarou"/>
        <w:jc w:val="both"/>
      </w:pPr>
      <w:r w:rsidRPr="00EC6EC8">
        <w:rPr>
          <w:rStyle w:val="Znakapoznpodarou"/>
        </w:rPr>
        <w:footnoteRef/>
      </w:r>
      <w:r w:rsidRPr="00EC6EC8">
        <w:t xml:space="preserve"> V modelu nejsou zahrnuty meta</w:t>
      </w:r>
      <w:r>
        <w:t>k</w:t>
      </w:r>
      <w:r w:rsidRPr="00EC6EC8">
        <w:t>ognitivní znalosti. Metakognitivní znalosti reprezentují typ znalostí, který v odborné literatuře není v souvisloti s procesem řešení problémů uváděn jako klíčový (meta</w:t>
      </w:r>
      <w:r>
        <w:t>k</w:t>
      </w:r>
      <w:r w:rsidRPr="00EC6EC8">
        <w:t xml:space="preserve">ognitivní znalosti mají blíže k obsahovému vymezení kompetence k učení). </w:t>
      </w:r>
    </w:p>
  </w:footnote>
  <w:footnote w:id="69">
    <w:p w:rsidR="00A74542" w:rsidRPr="00EC6EC8" w:rsidRDefault="00A74542" w:rsidP="00802EB8">
      <w:pPr>
        <w:pStyle w:val="Textpoznpodarou"/>
        <w:jc w:val="both"/>
        <w:rPr>
          <w:bCs/>
        </w:rPr>
      </w:pPr>
      <w:r w:rsidRPr="00EC6EC8">
        <w:rPr>
          <w:rStyle w:val="Znakapoznpodarou"/>
        </w:rPr>
        <w:footnoteRef/>
      </w:r>
      <w:r w:rsidRPr="00EC6EC8">
        <w:t xml:space="preserve"> </w:t>
      </w:r>
      <w:r w:rsidRPr="00EC6EC8">
        <w:rPr>
          <w:bCs/>
        </w:rPr>
        <w:t>Proces chápeme jako mechanismus spočívající v řadě propojených a souvisejících událostí nebo aktů, které utváří, reprodukují nebo mění systém, příp. jeho strukturu (srov. Gregory et al., 2009, s. 496). Pro porozumění procesu je nezbytné identifikovat vztahy a souvislosti mezi prvky systému a podmínkami, které ovlivňují jejich funkci.</w:t>
      </w:r>
    </w:p>
  </w:footnote>
  <w:footnote w:id="70">
    <w:p w:rsidR="00A74542" w:rsidRPr="00EC6EC8" w:rsidRDefault="00A74542" w:rsidP="00802EB8">
      <w:pPr>
        <w:pStyle w:val="Textpoznpodarou"/>
        <w:jc w:val="both"/>
        <w:rPr>
          <w:bCs/>
        </w:rPr>
      </w:pPr>
      <w:r w:rsidRPr="00EC6EC8">
        <w:rPr>
          <w:rStyle w:val="Znakapoznpodarou"/>
        </w:rPr>
        <w:footnoteRef/>
      </w:r>
      <w:r w:rsidRPr="00EC6EC8">
        <w:t xml:space="preserve"> </w:t>
      </w:r>
      <w:r w:rsidRPr="00EC6EC8">
        <w:rPr>
          <w:bCs/>
        </w:rPr>
        <w:t xml:space="preserve">Tento model se částečně překrývá s modelem kognitivní cílové dimenze geografického vzdělávání, který jsme bez znalosti modelu Viehrigové a kol. (2011) použili v našich předchozích pracích (srov. Knecht, 2011). </w:t>
      </w:r>
    </w:p>
  </w:footnote>
  <w:footnote w:id="71">
    <w:p w:rsidR="00A74542" w:rsidRPr="00EC6EC8" w:rsidRDefault="00A74542" w:rsidP="00802EB8">
      <w:pPr>
        <w:pStyle w:val="Textpoznpodarou"/>
        <w:jc w:val="both"/>
      </w:pPr>
      <w:r w:rsidRPr="00EC6EC8">
        <w:rPr>
          <w:rStyle w:val="Znakapoznpodarou"/>
        </w:rPr>
        <w:footnoteRef/>
      </w:r>
      <w:r w:rsidRPr="00EC6EC8">
        <w:t xml:space="preserve"> Jednotlivé úrovně slouží k hodnocení učebních úloh. Pokud by měly být použity jako podklad k hodnocení žáků, doporučujeme využít model </w:t>
      </w:r>
      <w:r>
        <w:t xml:space="preserve">geografické </w:t>
      </w:r>
      <w:r w:rsidRPr="00EC6EC8">
        <w:t>systémové kompetence v celé jeho komplexnosti (tzn. včetně dimenze zahrnující dovednosti, jednání a prostorové myšlení jedince; podrobněji viz Viehrig et al</w:t>
      </w:r>
      <w:r>
        <w:t>.</w:t>
      </w:r>
      <w:r w:rsidRPr="00EC6EC8">
        <w:t>, 2011</w:t>
      </w:r>
      <w:r>
        <w:t>; srov. kap. 1.4.7</w:t>
      </w:r>
      <w:r w:rsidRPr="00EC6EC8">
        <w:t>).</w:t>
      </w:r>
    </w:p>
  </w:footnote>
  <w:footnote w:id="72">
    <w:p w:rsidR="00A74542" w:rsidRDefault="00A74542" w:rsidP="00802EB8">
      <w:pPr>
        <w:pStyle w:val="Textpoznpodarou"/>
        <w:spacing w:line="276" w:lineRule="auto"/>
        <w:jc w:val="both"/>
      </w:pPr>
      <w:r>
        <w:rPr>
          <w:rStyle w:val="Znakapoznpodarou"/>
        </w:rPr>
        <w:footnoteRef/>
      </w:r>
      <w:r>
        <w:t xml:space="preserve"> Do této kategorie nemusí vždy spadat pouze uzavřené učební úlohy. </w:t>
      </w:r>
      <w:r w:rsidRPr="0011644D">
        <w:t xml:space="preserve">Švaříček (2011, s. 21–23) </w:t>
      </w:r>
      <w:r>
        <w:t>upozorňuje na existenci otevřených</w:t>
      </w:r>
      <w:r w:rsidRPr="0011644D">
        <w:t xml:space="preserve"> otáz</w:t>
      </w:r>
      <w:r>
        <w:t xml:space="preserve">ek </w:t>
      </w:r>
      <w:r w:rsidRPr="0011644D">
        <w:t>nižší kognitivní náročnosti</w:t>
      </w:r>
      <w:r>
        <w:t>, které</w:t>
      </w:r>
      <w:r w:rsidRPr="0011644D">
        <w:t xml:space="preserve"> mohou mít dvě varianty: (a) dotaz na osobní život žáků, jehož reálie je možné propojit s učivem nebo (b) jednoduché dotazování na početnou množinu předmětů, které žáci vyjmenovávají, aniž by to vyžadovalo náročnější kognitivní operaci. </w:t>
      </w:r>
    </w:p>
  </w:footnote>
  <w:footnote w:id="73">
    <w:p w:rsidR="00A74542" w:rsidRPr="00FF6C64" w:rsidRDefault="00A74542" w:rsidP="00802EB8">
      <w:pPr>
        <w:spacing w:after="120" w:line="276" w:lineRule="auto"/>
        <w:jc w:val="both"/>
        <w:rPr>
          <w:sz w:val="20"/>
          <w:szCs w:val="20"/>
          <w:lang w:eastAsia="en-US"/>
        </w:rPr>
      </w:pPr>
      <w:r w:rsidRPr="00883971">
        <w:rPr>
          <w:rStyle w:val="Znakapoznpodarou"/>
          <w:sz w:val="20"/>
          <w:szCs w:val="20"/>
        </w:rPr>
        <w:footnoteRef/>
      </w:r>
      <w:r w:rsidRPr="00883971">
        <w:rPr>
          <w:sz w:val="20"/>
          <w:szCs w:val="20"/>
        </w:rPr>
        <w:t xml:space="preserve"> </w:t>
      </w:r>
      <w:r w:rsidRPr="00E45A6F">
        <w:rPr>
          <w:sz w:val="20"/>
          <w:szCs w:val="20"/>
        </w:rPr>
        <w:t xml:space="preserve">Bloomova taxonomie je zřejmě nejužívanějším nástrojem pro hodnocení kognitivní náročnosti učebních úloh (detailní přehled viz Gall, 1970, 1984). Někteří autoři Bloomovu taxonomii kritizují, neboť některé z jí doporučovaných operátorů ve všech případech významově nekorespondují s příslušnými kategoriemi (např. operátor „porovnej“ ve </w:t>
      </w:r>
      <w:r>
        <w:rPr>
          <w:sz w:val="20"/>
          <w:szCs w:val="20"/>
        </w:rPr>
        <w:t xml:space="preserve">významu </w:t>
      </w:r>
      <w:r w:rsidRPr="00E45A6F">
        <w:rPr>
          <w:sz w:val="20"/>
          <w:szCs w:val="20"/>
        </w:rPr>
        <w:t xml:space="preserve">„zamysli se“ a ve </w:t>
      </w:r>
      <w:r>
        <w:rPr>
          <w:sz w:val="20"/>
          <w:szCs w:val="20"/>
        </w:rPr>
        <w:t>významu</w:t>
      </w:r>
      <w:r w:rsidRPr="00E45A6F">
        <w:rPr>
          <w:sz w:val="20"/>
          <w:szCs w:val="20"/>
        </w:rPr>
        <w:t xml:space="preserve"> „přečti si“ nebo „podívej se“. Více obdobných příkladů uvádí Kro</w:t>
      </w:r>
      <w:r w:rsidRPr="0096491F">
        <w:rPr>
          <w:sz w:val="20"/>
          <w:szCs w:val="20"/>
        </w:rPr>
        <w:t>ss</w:t>
      </w:r>
      <w:r w:rsidRPr="00E45A6F">
        <w:rPr>
          <w:sz w:val="20"/>
          <w:szCs w:val="20"/>
        </w:rPr>
        <w:t xml:space="preserve"> (1995, s. 180–181). Někteří autoři proto používají zjednodušenou třístupňovou verzi Bloomovy taxonomie (srov. např. Jo &amp; Bednarz, 2009, s. 5</w:t>
      </w:r>
      <w:r>
        <w:rPr>
          <w:sz w:val="20"/>
          <w:szCs w:val="20"/>
        </w:rPr>
        <w:t>–</w:t>
      </w:r>
      <w:r w:rsidRPr="00E45A6F">
        <w:rPr>
          <w:sz w:val="20"/>
          <w:szCs w:val="20"/>
        </w:rPr>
        <w:t xml:space="preserve">6; </w:t>
      </w:r>
      <w:r>
        <w:rPr>
          <w:sz w:val="20"/>
          <w:szCs w:val="20"/>
        </w:rPr>
        <w:t xml:space="preserve">Mullis et al., 2009, s. 81–87; </w:t>
      </w:r>
      <w:r w:rsidRPr="00E45A6F">
        <w:rPr>
          <w:sz w:val="20"/>
          <w:szCs w:val="20"/>
        </w:rPr>
        <w:t xml:space="preserve">Pasch </w:t>
      </w:r>
      <w:r w:rsidRPr="00FF6C64">
        <w:rPr>
          <w:sz w:val="20"/>
          <w:szCs w:val="20"/>
        </w:rPr>
        <w:t xml:space="preserve">et al., 1998, </w:t>
      </w:r>
      <w:r>
        <w:rPr>
          <w:sz w:val="20"/>
          <w:szCs w:val="20"/>
        </w:rPr>
        <w:t xml:space="preserve">s. </w:t>
      </w:r>
      <w:r w:rsidRPr="00FF6C64">
        <w:rPr>
          <w:sz w:val="20"/>
          <w:szCs w:val="20"/>
        </w:rPr>
        <w:t xml:space="preserve">80). </w:t>
      </w:r>
      <w:r w:rsidRPr="00FF6C64">
        <w:rPr>
          <w:sz w:val="20"/>
          <w:szCs w:val="20"/>
          <w:lang w:eastAsia="en-US"/>
        </w:rPr>
        <w:t>Švaříček</w:t>
      </w:r>
      <w:r w:rsidRPr="00E45A6F">
        <w:rPr>
          <w:sz w:val="20"/>
          <w:szCs w:val="20"/>
          <w:lang w:eastAsia="en-US"/>
        </w:rPr>
        <w:t xml:space="preserve"> (2011, s. 20) s využitím Bloomovy taxonomie kognitivních cílů rozlišuje </w:t>
      </w:r>
      <w:r>
        <w:rPr>
          <w:sz w:val="20"/>
          <w:szCs w:val="20"/>
          <w:lang w:eastAsia="en-US"/>
        </w:rPr>
        <w:t xml:space="preserve">pouze dva stupně náročnosti učebních úloh – </w:t>
      </w:r>
      <w:r w:rsidRPr="00E45A6F">
        <w:rPr>
          <w:sz w:val="20"/>
          <w:szCs w:val="20"/>
          <w:lang w:eastAsia="en-US"/>
        </w:rPr>
        <w:t xml:space="preserve">učební úlohy vyšší a nižší kognitivní náročnosti. Učební úlohy vyšší kognitivní náročnosti (angl. higher cognitive questions) jsou zaměřené na porozumění, aplikaci, analýzu, syntézu a hodnocení, přičemž řešení nesmí </w:t>
      </w:r>
      <w:r w:rsidRPr="00FF6C64">
        <w:rPr>
          <w:sz w:val="20"/>
          <w:szCs w:val="20"/>
          <w:lang w:eastAsia="en-US"/>
        </w:rPr>
        <w:t xml:space="preserve">být přímo dostupné z materiálů, které mají žáci k dispozici (např. učebnice). Otázky nižší kognitivní náročnosti (angl. </w:t>
      </w:r>
      <w:r w:rsidRPr="00802EB8">
        <w:rPr>
          <w:i/>
          <w:sz w:val="20"/>
          <w:szCs w:val="20"/>
          <w:lang w:eastAsia="en-US"/>
        </w:rPr>
        <w:t>lower cognitive questions</w:t>
      </w:r>
      <w:r w:rsidRPr="00FF6C64">
        <w:rPr>
          <w:sz w:val="20"/>
          <w:szCs w:val="20"/>
          <w:lang w:eastAsia="en-US"/>
        </w:rPr>
        <w:t>) vyžadují doslovné vybavení si faktu – znalosti, která byla již učitelem, resp. učebnicí prezentována. Švaříček (2011, s. 20) na rozdíl od Blooma a dalších autorů zařadil proces porozumění mezi procesy vyšší kognitivní náročnosti s odůvodněním, že k vysvětlení porozumění určitému jevu musí žák užít kognitivního procesu aplikace.</w:t>
      </w:r>
    </w:p>
    <w:p w:rsidR="00A74542" w:rsidRPr="00E45A6F" w:rsidRDefault="00A74542" w:rsidP="00802EB8">
      <w:pPr>
        <w:spacing w:after="120" w:line="276" w:lineRule="auto"/>
        <w:jc w:val="both"/>
        <w:rPr>
          <w:sz w:val="20"/>
          <w:szCs w:val="20"/>
          <w:lang w:eastAsia="en-US"/>
        </w:rPr>
      </w:pPr>
    </w:p>
    <w:p w:rsidR="00A74542" w:rsidRPr="00EC6EC8" w:rsidRDefault="00A74542" w:rsidP="00802EB8">
      <w:pPr>
        <w:spacing w:after="120"/>
        <w:jc w:val="both"/>
        <w:rPr>
          <w:sz w:val="20"/>
          <w:szCs w:val="20"/>
        </w:rPr>
      </w:pPr>
    </w:p>
  </w:footnote>
  <w:footnote w:id="74">
    <w:p w:rsidR="00A74542" w:rsidRDefault="00A74542" w:rsidP="00802EB8">
      <w:pPr>
        <w:pStyle w:val="Textpoznpodarou"/>
        <w:jc w:val="both"/>
      </w:pPr>
      <w:r>
        <w:rPr>
          <w:rStyle w:val="Znakapoznpodarou"/>
        </w:rPr>
        <w:footnoteRef/>
      </w:r>
      <w:r>
        <w:t xml:space="preserve"> Jednalo se o všechny učebnice fyzického zeměpisu, které měly schvalovací doložku MŠMT ČR pro školní rok 2012/2013.</w:t>
      </w:r>
    </w:p>
  </w:footnote>
  <w:footnote w:id="75">
    <w:p w:rsidR="00A74542" w:rsidRPr="00EC6EC8" w:rsidRDefault="00A74542" w:rsidP="00802EB8">
      <w:pPr>
        <w:pStyle w:val="Textpoznpodarou"/>
        <w:jc w:val="both"/>
      </w:pPr>
      <w:r w:rsidRPr="00EC6EC8">
        <w:rPr>
          <w:rStyle w:val="Znakapoznpodarou"/>
        </w:rPr>
        <w:footnoteRef/>
      </w:r>
      <w:r w:rsidRPr="00EC6EC8">
        <w:t xml:space="preserve"> Jeden z</w:t>
      </w:r>
      <w:r>
        <w:t xml:space="preserve"> anonymních </w:t>
      </w:r>
      <w:r w:rsidRPr="00EC6EC8">
        <w:t xml:space="preserve">recenzentů </w:t>
      </w:r>
      <w:r>
        <w:t>našich dříve publikovaných rukopisů</w:t>
      </w:r>
      <w:r w:rsidRPr="00EC6EC8">
        <w:t xml:space="preserve"> </w:t>
      </w:r>
      <w:r>
        <w:t xml:space="preserve">(srov. Knecht &amp; Lokajíčková, 2013) </w:t>
      </w:r>
      <w:r w:rsidRPr="00EC6EC8">
        <w:t xml:space="preserve">upozornil, že výkladový text někdy bývá natolik instruktivně založen, že může dílem suplovat úlohy a otázky na vyšší operační úrovni, a potencionálně tedy také u žáků rozvíjet myšlenkové operace vyšší úrovně. </w:t>
      </w:r>
      <w:r>
        <w:t>S uvedenou připomínkou se ztotožňujeme a směrem do budoucnosti zvažujeme možnost využití náročnějších výzkumných designů (např. zacílených na zkoumání multimodality učebnicového textu), jež významně přesahují metodologický rámec výzkumu prezentovaného v této publikaci.</w:t>
      </w:r>
    </w:p>
  </w:footnote>
  <w:footnote w:id="76">
    <w:p w:rsidR="00A74542" w:rsidRDefault="00A74542" w:rsidP="00802EB8">
      <w:pPr>
        <w:pStyle w:val="Textpoznpodarou"/>
        <w:jc w:val="both"/>
      </w:pPr>
      <w:r>
        <w:rPr>
          <w:rStyle w:val="Znakapoznpodarou"/>
        </w:rPr>
        <w:footnoteRef/>
      </w:r>
      <w:r>
        <w:t xml:space="preserve"> Výzkumy učebnic zeměpisu v zahraničí shrnují Graves a Murphy (2000).</w:t>
      </w:r>
    </w:p>
  </w:footnote>
  <w:footnote w:id="77">
    <w:p w:rsidR="00A74542" w:rsidRPr="005B2E07" w:rsidRDefault="00A74542" w:rsidP="00802EB8">
      <w:pPr>
        <w:pStyle w:val="Textpoznpodarou"/>
        <w:jc w:val="both"/>
      </w:pPr>
      <w:r>
        <w:rPr>
          <w:rStyle w:val="Znakapoznpodarou"/>
        </w:rPr>
        <w:footnoteRef/>
      </w:r>
      <w:r>
        <w:t xml:space="preserve"> S </w:t>
      </w:r>
      <w:r w:rsidRPr="005B2E07">
        <w:t>ohledem na potřeby prezentovaného výzkumu zjednodušeně definujeme fyzickou geografii jako obor zabývající se zkoumáním a vzájemnými interakcemi geologických, hydrologických a atmosférických fenoménů (srov. Gregory</w:t>
      </w:r>
      <w:r>
        <w:t xml:space="preserve"> et al.</w:t>
      </w:r>
      <w:r w:rsidRPr="005B2E07">
        <w:t>, 2009, s. 531</w:t>
      </w:r>
      <w:r>
        <w:t>–</w:t>
      </w:r>
      <w:r w:rsidRPr="005B2E07">
        <w:t>538; Tadaki et al., 2012 aj.).</w:t>
      </w:r>
    </w:p>
  </w:footnote>
  <w:footnote w:id="78">
    <w:p w:rsidR="00A74542" w:rsidRDefault="00A74542" w:rsidP="00802EB8">
      <w:pPr>
        <w:pStyle w:val="Textpoznpodarou"/>
        <w:jc w:val="both"/>
      </w:pPr>
      <w:r>
        <w:rPr>
          <w:rStyle w:val="Znakapoznpodarou"/>
        </w:rPr>
        <w:footnoteRef/>
      </w:r>
      <w:r>
        <w:t xml:space="preserve"> </w:t>
      </w:r>
      <w:r w:rsidRPr="00EC6EC8">
        <w:t>Slavík (1995, s. 50) používá pojem školní situace; Kulič (1992, s. 75), Chvál, Kasíková a Valenta (2012, s. 19) a Pelikán (1995, s. 53) aj. pracují s pojmem pedagogická situace; Krykorková (2007, s. 157) upředn</w:t>
      </w:r>
      <w:r>
        <w:t xml:space="preserve">ostňuje termín úkolová situace; Brousseau (2012) operuje s termínem didaktická situace. </w:t>
      </w:r>
      <w:r w:rsidRPr="00EC6EC8">
        <w:t>Jsme si vědomi určitých sémantických podobností i rozdílů determinujících užívání uvedených termínů – jejich pojednání by zasloužilo samostatnou studii.</w:t>
      </w:r>
    </w:p>
  </w:footnote>
  <w:footnote w:id="79">
    <w:p w:rsidR="00A74542" w:rsidRPr="00FD0C57" w:rsidRDefault="00A74542" w:rsidP="00802EB8">
      <w:pPr>
        <w:pStyle w:val="Textpoznpodarou"/>
        <w:jc w:val="both"/>
      </w:pPr>
      <w:r>
        <w:rPr>
          <w:rStyle w:val="Znakapoznpodarou"/>
        </w:rPr>
        <w:footnoteRef/>
      </w:r>
      <w:r>
        <w:t xml:space="preserve"> </w:t>
      </w:r>
      <w:r w:rsidRPr="00FD0C57">
        <w:t>Sběr dat proběhl na 5 školách (základní školy a nižší ročníky gymnázií) v Brně a blízkém okolí. Konkrétně se jednalo o data zachycující 6 tříd, 6 učitelů (z toho 5 žen a 1 muže) a 131 žák</w:t>
      </w:r>
      <w:r>
        <w:t>ů. Všichni učitelé byli kvalifi</w:t>
      </w:r>
      <w:r w:rsidRPr="00FD0C57">
        <w:t>kovaní pro výuku zeměpisu na 2. stupni ZŠ.</w:t>
      </w:r>
      <w:r>
        <w:t xml:space="preserve"> </w:t>
      </w:r>
      <w:r w:rsidRPr="00FD0C57">
        <w:t>Délka jejich praxe se pohybovala v rozmezí od 2 do 17 let. Odlišnosti v počtech škol, tříd a učitelů jsou způsobeny tím, že v jedné ze škol byli nahráváni dva učitelé. Výzkumná data zrcadlí skutečnost, že se zkoumaný tematický celek učiva probírá v rozdílných ročnících a má rozdílnou časovou dotaci.</w:t>
      </w:r>
      <w:r>
        <w:t xml:space="preserve"> </w:t>
      </w:r>
    </w:p>
    <w:p w:rsidR="00A74542" w:rsidRDefault="00A74542" w:rsidP="00802EB8">
      <w:pPr>
        <w:pStyle w:val="Textpoznpodarou"/>
        <w:jc w:val="both"/>
      </w:pPr>
    </w:p>
  </w:footnote>
  <w:footnote w:id="80">
    <w:p w:rsidR="00A74542" w:rsidRPr="00EC6EC8" w:rsidRDefault="00A74542" w:rsidP="00802EB8">
      <w:pPr>
        <w:pStyle w:val="Textpoznpodarou"/>
        <w:jc w:val="both"/>
      </w:pPr>
      <w:r w:rsidRPr="00EC6EC8">
        <w:rPr>
          <w:rStyle w:val="Znakapoznpodarou"/>
        </w:rPr>
        <w:footnoteRef/>
      </w:r>
      <w:r w:rsidRPr="00EC6EC8">
        <w:t xml:space="preserve"> Model krychle</w:t>
      </w:r>
      <w:r>
        <w:t>/kvádru</w:t>
      </w:r>
      <w:r w:rsidRPr="00EC6EC8">
        <w:t xml:space="preserve"> již dříve použili např. Maťuškin (1973), Aebli (1983/2003)</w:t>
      </w:r>
      <w:r>
        <w:t>, Joová a Bednarzová (2009), Švec (1998)</w:t>
      </w:r>
      <w:r w:rsidRPr="00EC6EC8">
        <w:t xml:space="preserve"> aj. </w:t>
      </w:r>
    </w:p>
  </w:footnote>
  <w:footnote w:id="81">
    <w:p w:rsidR="00A74542" w:rsidRDefault="00A74542" w:rsidP="00802EB8">
      <w:pPr>
        <w:pStyle w:val="Textpoznpodarou"/>
        <w:jc w:val="both"/>
      </w:pPr>
      <w:r>
        <w:rPr>
          <w:rStyle w:val="Znakapoznpodarou"/>
        </w:rPr>
        <w:footnoteRef/>
      </w:r>
      <w:r>
        <w:t xml:space="preserve"> </w:t>
      </w:r>
      <w:r w:rsidRPr="00F46A19">
        <w:t>Hlavní vlastností ordinálních proměnných je, že jej</w:t>
      </w:r>
      <w:r>
        <w:t>i</w:t>
      </w:r>
      <w:r w:rsidRPr="00F46A19">
        <w:t>ch hodnoty mohou být pouze seřazeny do pořadí (např. od nejlepšího k nejhoršímu), ale nelze je přímo porovnávat („o kolik“, „kolikrát“). Z tohoto důvodu by se ordinální data měla vyjadřovat především pomocí pořadové statistiky (medián, mezikvartilové rozpětí apod.; srov. Field, 2009, s. 9). Někteří autoři připouštějí, že pokud je v případě ordinálních dat zaručena stejná vzdálenost mezi jednotlivými hodnotami na škále, je možné s nimi zacházet jako s intervalovými proměnnými. To umožňuje analyzovat data pomocí korelačních koeficientů, analýz rozptylu apod. (srov. např. Salkind, 2008, s. 89).</w:t>
      </w:r>
    </w:p>
  </w:footnote>
  <w:footnote w:id="82">
    <w:p w:rsidR="00A74542" w:rsidRDefault="00A74542" w:rsidP="00802EB8">
      <w:pPr>
        <w:pStyle w:val="Textpoznpodarou"/>
        <w:jc w:val="both"/>
      </w:pPr>
      <w:r>
        <w:rPr>
          <w:rStyle w:val="Znakapoznpodarou"/>
        </w:rPr>
        <w:footnoteRef/>
      </w:r>
      <w:r>
        <w:t xml:space="preserve"> Janík a kol. (2011, s. 93) používají jako ekvivalent termínu </w:t>
      </w:r>
      <w:r w:rsidRPr="00E9783F">
        <w:rPr>
          <w:i/>
        </w:rPr>
        <w:t>komplexita</w:t>
      </w:r>
      <w:r>
        <w:t xml:space="preserve"> termín </w:t>
      </w:r>
      <w:r w:rsidRPr="00E9783F">
        <w:rPr>
          <w:i/>
        </w:rPr>
        <w:t>složitost</w:t>
      </w:r>
      <w:r>
        <w:t xml:space="preserve"> (např. učebních úloh). </w:t>
      </w:r>
    </w:p>
  </w:footnote>
  <w:footnote w:id="83">
    <w:p w:rsidR="00A74542" w:rsidRDefault="00A74542" w:rsidP="00802EB8">
      <w:pPr>
        <w:pStyle w:val="Textpoznpodarou"/>
        <w:jc w:val="both"/>
      </w:pPr>
      <w:r w:rsidRPr="00EC6EC8">
        <w:rPr>
          <w:rStyle w:val="Znakapoznpodarou"/>
        </w:rPr>
        <w:footnoteRef/>
      </w:r>
      <w:r w:rsidRPr="00EC6EC8">
        <w:t xml:space="preserve"> Historie termínu </w:t>
      </w:r>
      <w:r w:rsidRPr="00C3752D">
        <w:rPr>
          <w:i/>
        </w:rPr>
        <w:t>didaktický operátor</w:t>
      </w:r>
      <w:r w:rsidRPr="00EC6EC8">
        <w:t xml:space="preserve"> sahá do éry tzv. programovaného učení 60. let 20. století. V didaktice a psychologii je tento termín přijímán s vědomím jeho značně intuitivního použití, které se nekryje s významem pojmu „operátor“ v matematice nebo logice. V psychodidaktické smyslu didaktický operátor prostřednictvím určitého počtu navozených, řízených a ověřovaných učebních a poznávacích operací a činností převádí subjekt od vstupního stavu nevědění/neznání k výstupnímu stavu naučení (srov. Kulič, 1992, s. 104).</w:t>
      </w:r>
    </w:p>
  </w:footnote>
  <w:footnote w:id="84">
    <w:p w:rsidR="00A74542" w:rsidRDefault="00A74542" w:rsidP="00802EB8">
      <w:pPr>
        <w:pStyle w:val="Textpoznpodarou"/>
        <w:jc w:val="both"/>
      </w:pPr>
      <w:r>
        <w:rPr>
          <w:rStyle w:val="Znakapoznpodarou"/>
        </w:rPr>
        <w:footnoteRef/>
      </w:r>
      <w:r>
        <w:t xml:space="preserve"> </w:t>
      </w:r>
      <w:r w:rsidRPr="00832AB0">
        <w:t>Na základě vnitřní reprezentace problému žák pomocí implicitních operátorů řídí své jednání.</w:t>
      </w:r>
    </w:p>
  </w:footnote>
  <w:footnote w:id="85">
    <w:p w:rsidR="00A74542" w:rsidRDefault="00A74542" w:rsidP="00802EB8">
      <w:pPr>
        <w:pStyle w:val="Textpoznpodarou"/>
        <w:jc w:val="both"/>
      </w:pPr>
      <w:r>
        <w:rPr>
          <w:rStyle w:val="Znakapoznpodarou"/>
        </w:rPr>
        <w:footnoteRef/>
      </w:r>
      <w:r>
        <w:t xml:space="preserve"> Oslovení experti byli v rámci rozhovoru, který se uskutečnil v zápětí po představení modelu autorem, požádáni o stručné zhodnocení a) možností využití posuzovaného teoretického modelu k </w:t>
      </w:r>
      <w:r w:rsidRPr="00842DDC">
        <w:t>identifik</w:t>
      </w:r>
      <w:r>
        <w:t>aci, popisu a analýze</w:t>
      </w:r>
      <w:r w:rsidRPr="00842DDC">
        <w:t xml:space="preserve"> učební</w:t>
      </w:r>
      <w:r>
        <w:t>ch úloh</w:t>
      </w:r>
      <w:r w:rsidRPr="00842DDC">
        <w:t xml:space="preserve"> podporující</w:t>
      </w:r>
      <w:r>
        <w:t>ch</w:t>
      </w:r>
      <w:r w:rsidRPr="00842DDC">
        <w:t xml:space="preserve"> utváření a rozvíjení kompetence k řešení problémů</w:t>
      </w:r>
      <w:r>
        <w:t>, b) reprezentativnosti jednotlivých obsažených dimenzí a kategorií s ohledem na jejich zamýšlený účel, c) srozumitelnosti definic jednotlivých dimenzí a kategorií.</w:t>
      </w:r>
    </w:p>
  </w:footnote>
  <w:footnote w:id="86">
    <w:p w:rsidR="00A74542" w:rsidRPr="00E81730" w:rsidRDefault="00A74542" w:rsidP="00802EB8">
      <w:pPr>
        <w:pStyle w:val="Textpoznpodarou"/>
        <w:jc w:val="both"/>
      </w:pPr>
      <w:r w:rsidRPr="00E81730">
        <w:rPr>
          <w:rStyle w:val="Znakapoznpodarou"/>
        </w:rPr>
        <w:footnoteRef/>
      </w:r>
      <w:r w:rsidRPr="00E81730">
        <w:t xml:space="preserve"> Výjimečně bývá používáno měření tzv. intra-rater reliability – porovnání výsledku dvojího kódování totožného výzkumného materiálu stejným výzkumníkem, které bylo realizováno s určitým časovým odstupem.</w:t>
      </w:r>
    </w:p>
  </w:footnote>
  <w:footnote w:id="87">
    <w:p w:rsidR="00A74542" w:rsidRDefault="00A74542" w:rsidP="00802EB8">
      <w:pPr>
        <w:pStyle w:val="Textpoznpodarou"/>
        <w:jc w:val="both"/>
      </w:pPr>
      <w:r>
        <w:rPr>
          <w:rStyle w:val="Znakapoznpodarou"/>
        </w:rPr>
        <w:footnoteRef/>
      </w:r>
      <w:r>
        <w:t xml:space="preserve"> </w:t>
      </w:r>
      <w:r w:rsidRPr="00173959">
        <w:rPr>
          <w:bCs/>
          <w:iCs/>
        </w:rPr>
        <w:t xml:space="preserve">Postup výpočtu hodnot s využitím programu SPSS podrobně popisují </w:t>
      </w:r>
      <w:r>
        <w:t>Wirtz &amp; Caspar (</w:t>
      </w:r>
      <w:r w:rsidRPr="00173959">
        <w:t>2002, s. 67–75).</w:t>
      </w:r>
    </w:p>
  </w:footnote>
  <w:footnote w:id="88">
    <w:p w:rsidR="00A74542" w:rsidRPr="00E81730" w:rsidRDefault="00A74542" w:rsidP="00802EB8">
      <w:pPr>
        <w:pStyle w:val="Textpoznpodarou"/>
        <w:jc w:val="both"/>
      </w:pPr>
      <w:r w:rsidRPr="00E81730">
        <w:rPr>
          <w:rStyle w:val="Znakapoznpodarou"/>
        </w:rPr>
        <w:footnoteRef/>
      </w:r>
      <w:r w:rsidRPr="00E81730">
        <w:t xml:space="preserve"> Doporučované hodnoty </w:t>
      </w:r>
      <w:r w:rsidRPr="00E81730">
        <w:rPr>
          <w:bCs/>
          <w:i/>
          <w:iCs/>
        </w:rPr>
        <w:t>κ</w:t>
      </w:r>
      <w:r w:rsidRPr="00E81730">
        <w:t xml:space="preserve"> se v metodologické literatuře odlišují. Fleiss a Cohen (1973) považují hodnotu </w:t>
      </w:r>
      <w:r w:rsidRPr="00E81730">
        <w:rPr>
          <w:bCs/>
          <w:iCs/>
        </w:rPr>
        <w:t xml:space="preserve">κ &gt; 0,75 za indikátor </w:t>
      </w:r>
      <w:r w:rsidRPr="00E81730">
        <w:rPr>
          <w:bCs/>
          <w:i/>
          <w:iCs/>
        </w:rPr>
        <w:t xml:space="preserve">velmi dobré </w:t>
      </w:r>
      <w:r w:rsidRPr="00E81730">
        <w:rPr>
          <w:bCs/>
          <w:iCs/>
        </w:rPr>
        <w:t xml:space="preserve">shody, hodnotu κ mezi 0,75 a 0,6 za indikátor </w:t>
      </w:r>
      <w:r w:rsidRPr="00E81730">
        <w:rPr>
          <w:bCs/>
          <w:i/>
          <w:iCs/>
        </w:rPr>
        <w:t xml:space="preserve">dobré </w:t>
      </w:r>
      <w:r w:rsidRPr="00E81730">
        <w:rPr>
          <w:bCs/>
          <w:iCs/>
        </w:rPr>
        <w:t xml:space="preserve">shody a hodnotu κ mezi 0,6 a 0,4 za indikátor </w:t>
      </w:r>
      <w:r w:rsidRPr="00E81730">
        <w:rPr>
          <w:bCs/>
          <w:i/>
          <w:iCs/>
        </w:rPr>
        <w:t>přijatelné</w:t>
      </w:r>
      <w:r w:rsidRPr="00E81730">
        <w:rPr>
          <w:bCs/>
          <w:iCs/>
        </w:rPr>
        <w:t xml:space="preserve"> shody.</w:t>
      </w:r>
      <w:r w:rsidRPr="00E81730">
        <w:rPr>
          <w:bCs/>
          <w:i/>
          <w:iCs/>
        </w:rPr>
        <w:t xml:space="preserve"> </w:t>
      </w:r>
      <w:r w:rsidRPr="00E81730">
        <w:rPr>
          <w:bCs/>
          <w:iCs/>
        </w:rPr>
        <w:t>Gwet (2008) posuzuje hodnotu κ mezi 0,61–0</w:t>
      </w:r>
      <w:r>
        <w:rPr>
          <w:bCs/>
          <w:iCs/>
        </w:rPr>
        <w:t>,</w:t>
      </w:r>
      <w:r w:rsidRPr="00E81730">
        <w:rPr>
          <w:bCs/>
          <w:iCs/>
        </w:rPr>
        <w:t xml:space="preserve">8 jako </w:t>
      </w:r>
      <w:r w:rsidRPr="00E81730">
        <w:rPr>
          <w:bCs/>
          <w:i/>
          <w:iCs/>
        </w:rPr>
        <w:t xml:space="preserve">silnou </w:t>
      </w:r>
      <w:r w:rsidRPr="00E81730">
        <w:rPr>
          <w:bCs/>
          <w:iCs/>
        </w:rPr>
        <w:t xml:space="preserve">shodu a hodnoty vyšší než 0,8 jako </w:t>
      </w:r>
      <w:r w:rsidRPr="00E81730">
        <w:rPr>
          <w:bCs/>
          <w:i/>
          <w:iCs/>
        </w:rPr>
        <w:t xml:space="preserve">téměř absolutní </w:t>
      </w:r>
      <w:r w:rsidRPr="00E81730">
        <w:rPr>
          <w:bCs/>
          <w:iCs/>
        </w:rPr>
        <w:t>shodu mezi kódovateli.</w:t>
      </w:r>
      <w:r w:rsidRPr="00E81730">
        <w:rPr>
          <w:bCs/>
          <w:i/>
          <w:iCs/>
        </w:rPr>
        <w:t xml:space="preserve"> </w:t>
      </w:r>
    </w:p>
  </w:footnote>
  <w:footnote w:id="89">
    <w:p w:rsidR="00A74542" w:rsidRPr="00E81730" w:rsidRDefault="00A74542" w:rsidP="00802EB8">
      <w:pPr>
        <w:pStyle w:val="Textpoznpodarou"/>
        <w:jc w:val="both"/>
      </w:pPr>
      <w:r w:rsidRPr="00E81730">
        <w:rPr>
          <w:rStyle w:val="Znakapoznpodarou"/>
        </w:rPr>
        <w:footnoteRef/>
      </w:r>
      <w:r w:rsidRPr="00E81730">
        <w:t xml:space="preserve"> Früh (2011, s. 178) uvádí, že minimální počet případů pro měření inter-rater reliability by se měl pohybovat mezi 30 a 50 pro každou z proměnných. </w:t>
      </w:r>
    </w:p>
  </w:footnote>
  <w:footnote w:id="90">
    <w:p w:rsidR="00A74542" w:rsidRDefault="00A74542" w:rsidP="00802EB8">
      <w:pPr>
        <w:pStyle w:val="Textpoznpodarou"/>
        <w:jc w:val="both"/>
      </w:pPr>
      <w:r>
        <w:rPr>
          <w:rStyle w:val="Znakapoznpodarou"/>
        </w:rPr>
        <w:footnoteRef/>
      </w:r>
      <w:r>
        <w:t xml:space="preserve"> Vysoké hodnoty s velkou pravděpodobností souvisí s nerovnoměrným rozdělením učebních úloh v učebnicích. Vždy převládaly učební úlohy náležící do nejnižších úrovní systémovosti, komplexity a náročnosti.</w:t>
      </w:r>
    </w:p>
  </w:footnote>
  <w:footnote w:id="91">
    <w:p w:rsidR="00A74542" w:rsidRPr="005B3EE4" w:rsidRDefault="00A74542" w:rsidP="00802EB8">
      <w:pPr>
        <w:pStyle w:val="Textpoznpodarou"/>
        <w:jc w:val="both"/>
      </w:pPr>
      <w:r>
        <w:rPr>
          <w:rStyle w:val="Znakapoznpodarou"/>
        </w:rPr>
        <w:footnoteRef/>
      </w:r>
      <w:r>
        <w:t xml:space="preserve"> </w:t>
      </w:r>
      <w:r w:rsidRPr="005B3EE4">
        <w:t>Situační přístup k výzkumu výuky je v současnosti úspěšně aplikován v pedagogice (sr</w:t>
      </w:r>
      <w:r>
        <w:t>o</w:t>
      </w:r>
      <w:r w:rsidRPr="005B3EE4">
        <w:t>v. Chvál, Kasíková, &amp; Valenta, 2012) i </w:t>
      </w:r>
      <w:r>
        <w:t xml:space="preserve">v </w:t>
      </w:r>
      <w:r w:rsidRPr="005B3EE4">
        <w:t xml:space="preserve">oborových didaktikách. V didaktice matematiky se např. prosazuje tzv. </w:t>
      </w:r>
      <w:r w:rsidRPr="005B3EE4">
        <w:rPr>
          <w:i/>
        </w:rPr>
        <w:t xml:space="preserve">Teorie didaktických situací </w:t>
      </w:r>
      <w:r w:rsidRPr="005B3EE4">
        <w:t>(srov. Brousseau, 2012). Brousseau situací rozumí systém, do něhož vstupuje učitel, žák, prostředí, pravidla a omezení potřebná k objevení určitého poznatku. Rozlišuje situace nedidaktické, jejichž cílem není něco naučit, a situace didaktické, které jsou zacílené na učení žáků. Speciálním případem didaktické situace je tzv. situace a-didaktická, jejím cílem je umožnit žákovi získávat nebo objevovat poznatky samostatně, bez explicitních zásahů učitele. Pro vytvoření takové situace předává učitel část své zodpovědnosti (devoluce) a nechává žáka, aby sám řídil a organizoval svůj akt učení. Konkrétní příklady praktických aplikací teorie didaktických situací popisují Semerádová a Hošpesová (2013).</w:t>
      </w:r>
    </w:p>
    <w:p w:rsidR="00A74542" w:rsidRPr="00EC3BB7" w:rsidRDefault="00A74542" w:rsidP="00802EB8">
      <w:pPr>
        <w:pStyle w:val="Textpoznpodarou"/>
        <w:jc w:val="both"/>
      </w:pPr>
    </w:p>
    <w:p w:rsidR="00A74542" w:rsidRDefault="00A74542" w:rsidP="00802EB8">
      <w:pPr>
        <w:pStyle w:val="Textpoznpodarou"/>
        <w:jc w:val="both"/>
      </w:pPr>
    </w:p>
  </w:footnote>
  <w:footnote w:id="92">
    <w:p w:rsidR="00A74542" w:rsidRDefault="00A74542" w:rsidP="00802EB8">
      <w:pPr>
        <w:pStyle w:val="Textpoznpodarou"/>
        <w:jc w:val="both"/>
      </w:pPr>
      <w:r>
        <w:rPr>
          <w:rStyle w:val="Znakapoznpodarou"/>
        </w:rPr>
        <w:footnoteRef/>
      </w:r>
      <w:r>
        <w:t xml:space="preserve"> Ačkoliv alterace považujeme za užitečný nástroj analýzy výuky a přípravy učitelů, jejich začlenění do analytického rámce by výrazně přesáhlo cíle našeho výzkumu. </w:t>
      </w:r>
    </w:p>
  </w:footnote>
  <w:footnote w:id="93">
    <w:p w:rsidR="00A74542" w:rsidRDefault="00A74542" w:rsidP="00802EB8">
      <w:pPr>
        <w:pStyle w:val="Textpoznpodarou"/>
        <w:jc w:val="both"/>
      </w:pPr>
      <w:r>
        <w:rPr>
          <w:rStyle w:val="Znakapoznpodarou"/>
        </w:rPr>
        <w:footnoteRef/>
      </w:r>
      <w:r>
        <w:t xml:space="preserve"> To neznamená, že by se učební úlohy v ostatních učebnicích k obrázkům nevztahovaly (obrázky zde máme na mysli veškeré vizuální prostředky). Podíl učebních úloh vztažených k obrázkům je v jednotlivých učebnicích následující: 15,3 % (Fraus); 0 % (NČGS); 5,1 % (Nová škola); 4 % (Prodos); 16 % (SPN).</w:t>
      </w:r>
    </w:p>
  </w:footnote>
  <w:footnote w:id="94">
    <w:p w:rsidR="00A74542" w:rsidRPr="003F737F" w:rsidRDefault="00A74542" w:rsidP="00802EB8">
      <w:pPr>
        <w:pStyle w:val="Textpoznpodarou"/>
        <w:jc w:val="both"/>
      </w:pPr>
      <w:r w:rsidRPr="003F737F">
        <w:rPr>
          <w:rStyle w:val="Znakapoznpodarou"/>
        </w:rPr>
        <w:footnoteRef/>
      </w:r>
      <w:r w:rsidRPr="003F737F">
        <w:t xml:space="preserve"> Systémovost</w:t>
      </w:r>
      <w:r>
        <w:t>:</w:t>
      </w:r>
      <w:r w:rsidRPr="003F737F">
        <w:t xml:space="preserve"> </w:t>
      </w:r>
      <w:r w:rsidRPr="003F737F">
        <w:rPr>
          <w:i/>
        </w:rPr>
        <w:t>D</w:t>
      </w:r>
      <w:r w:rsidRPr="003F737F">
        <w:t xml:space="preserve">(1229) = 0,46, </w:t>
      </w:r>
      <w:r w:rsidRPr="003F737F">
        <w:rPr>
          <w:i/>
        </w:rPr>
        <w:t xml:space="preserve">p </w:t>
      </w:r>
      <m:oMath>
        <m:r>
          <w:rPr>
            <w:rFonts w:ascii="Cambria Math"/>
          </w:rPr>
          <m:t>&lt;</m:t>
        </m:r>
      </m:oMath>
      <w:r w:rsidRPr="003F737F">
        <w:t xml:space="preserve"> 0,001.</w:t>
      </w:r>
      <w:r>
        <w:t xml:space="preserve"> </w:t>
      </w:r>
      <w:r w:rsidRPr="003F737F">
        <w:t xml:space="preserve">Komplexita: </w:t>
      </w:r>
      <w:r w:rsidRPr="003F737F">
        <w:rPr>
          <w:i/>
        </w:rPr>
        <w:t>D</w:t>
      </w:r>
      <w:r w:rsidRPr="003F737F">
        <w:t xml:space="preserve">(1229) = 0,47, </w:t>
      </w:r>
      <w:r w:rsidRPr="003F737F">
        <w:rPr>
          <w:i/>
        </w:rPr>
        <w:t xml:space="preserve">p </w:t>
      </w:r>
      <m:oMath>
        <m:r>
          <w:rPr>
            <w:rFonts w:ascii="Cambria Math"/>
          </w:rPr>
          <m:t>&lt;</m:t>
        </m:r>
      </m:oMath>
      <w:r w:rsidRPr="003F737F">
        <w:t xml:space="preserve"> 0,001. Náročnost: </w:t>
      </w:r>
      <w:r w:rsidRPr="003F737F">
        <w:rPr>
          <w:i/>
        </w:rPr>
        <w:t>D</w:t>
      </w:r>
      <w:r w:rsidRPr="003F737F">
        <w:t xml:space="preserve">(1229) = 0,46, </w:t>
      </w:r>
      <w:r w:rsidRPr="003F737F">
        <w:rPr>
          <w:i/>
        </w:rPr>
        <w:t xml:space="preserve">p </w:t>
      </w:r>
      <m:oMath>
        <m:r>
          <w:rPr>
            <w:rFonts w:ascii="Cambria Math"/>
          </w:rPr>
          <m:t>&lt;</m:t>
        </m:r>
      </m:oMath>
      <w:r w:rsidRPr="003F737F">
        <w:t xml:space="preserve"> 0,001. </w:t>
      </w:r>
    </w:p>
  </w:footnote>
  <w:footnote w:id="95">
    <w:p w:rsidR="00A74542" w:rsidRPr="003F737F" w:rsidRDefault="00A74542" w:rsidP="00802EB8">
      <w:pPr>
        <w:pStyle w:val="Textpoznpodarou"/>
        <w:jc w:val="both"/>
      </w:pPr>
      <w:r w:rsidRPr="003F737F">
        <w:rPr>
          <w:rStyle w:val="Znakapoznpodarou"/>
        </w:rPr>
        <w:footnoteRef/>
      </w:r>
      <w:r w:rsidRPr="003F737F">
        <w:t xml:space="preserve"> Šikmost: 1,76 (systémovost)</w:t>
      </w:r>
      <w:r>
        <w:t xml:space="preserve">; </w:t>
      </w:r>
      <w:r w:rsidRPr="003F737F">
        <w:t>1,80 (komplexita); 1,70 (náročnost)</w:t>
      </w:r>
      <w:r>
        <w:t>.</w:t>
      </w:r>
      <w:r w:rsidRPr="003F737F">
        <w:t xml:space="preserve"> Špičatost: 2,17 (systémovost)</w:t>
      </w:r>
      <w:r>
        <w:t xml:space="preserve">; </w:t>
      </w:r>
      <w:r w:rsidRPr="003F737F">
        <w:t>2,39 (komplexita); 2,00 (náročnost)</w:t>
      </w:r>
      <w:r>
        <w:t>.</w:t>
      </w:r>
      <w:r w:rsidRPr="003F737F">
        <w:t xml:space="preserve"> </w:t>
      </w:r>
    </w:p>
  </w:footnote>
  <w:footnote w:id="96">
    <w:p w:rsidR="00A74542" w:rsidRDefault="00A74542" w:rsidP="00802EB8">
      <w:pPr>
        <w:pStyle w:val="Textpoznpodarou"/>
        <w:jc w:val="both"/>
      </w:pPr>
      <w:r w:rsidRPr="003F737F">
        <w:rPr>
          <w:rStyle w:val="Znakapoznpodarou"/>
        </w:rPr>
        <w:footnoteRef/>
      </w:r>
      <w:r w:rsidRPr="003F737F">
        <w:t xml:space="preserve"> Konkrétně se jednalo o systémovost vs náročnost (</w:t>
      </w:r>
      <w:r w:rsidRPr="003F737F">
        <w:rPr>
          <w:i/>
        </w:rPr>
        <w:t>Z</w:t>
      </w:r>
      <w:r w:rsidRPr="003F737F">
        <w:t xml:space="preserve"> = -0,84,</w:t>
      </w:r>
      <w:r>
        <w:t xml:space="preserve"> </w:t>
      </w:r>
      <w:r w:rsidRPr="003F737F">
        <w:rPr>
          <w:i/>
        </w:rPr>
        <w:t xml:space="preserve">p </w:t>
      </w:r>
      <m:oMath>
        <m:r>
          <w:rPr>
            <w:rFonts w:ascii="Cambria Math"/>
          </w:rPr>
          <m:t>=</m:t>
        </m:r>
      </m:oMath>
      <w:r w:rsidRPr="003F737F">
        <w:t xml:space="preserve"> 0,21), resp. náročnost vs. komplexita (</w:t>
      </w:r>
      <w:r w:rsidRPr="003F737F">
        <w:rPr>
          <w:i/>
        </w:rPr>
        <w:t>Z</w:t>
      </w:r>
      <w:r w:rsidRPr="003F737F">
        <w:t xml:space="preserve"> = -2,59,</w:t>
      </w:r>
      <w:r>
        <w:t xml:space="preserve"> </w:t>
      </w:r>
      <w:r w:rsidRPr="003F737F">
        <w:rPr>
          <w:i/>
        </w:rPr>
        <w:t xml:space="preserve">p </w:t>
      </w:r>
      <m:oMath>
        <m:r>
          <w:rPr>
            <w:rFonts w:ascii="Cambria Math"/>
          </w:rPr>
          <m:t>=</m:t>
        </m:r>
      </m:oMath>
      <w:r w:rsidRPr="003F737F">
        <w:t xml:space="preserve"> 0,05).</w:t>
      </w:r>
    </w:p>
  </w:footnote>
  <w:footnote w:id="97">
    <w:p w:rsidR="00A74542" w:rsidRDefault="00A74542" w:rsidP="00802EB8">
      <w:pPr>
        <w:pStyle w:val="Textpoznpodarou"/>
        <w:jc w:val="both"/>
      </w:pPr>
      <w:r>
        <w:rPr>
          <w:rStyle w:val="Znakapoznpodarou"/>
        </w:rPr>
        <w:footnoteRef/>
      </w:r>
      <w:r>
        <w:t xml:space="preserve"> Čistě hypoteticky je možné, že by navrhovaný teoretický model mohl být pouze dvojdimenzionální.</w:t>
      </w:r>
    </w:p>
  </w:footnote>
  <w:footnote w:id="98">
    <w:p w:rsidR="00A74542" w:rsidRDefault="00A74542" w:rsidP="00802EB8">
      <w:pPr>
        <w:pStyle w:val="Textpoznpodarou"/>
        <w:jc w:val="both"/>
      </w:pPr>
      <w:r>
        <w:rPr>
          <w:rStyle w:val="Znakapoznpodarou"/>
        </w:rPr>
        <w:footnoteRef/>
      </w:r>
      <w:r>
        <w:t xml:space="preserve"> S odvoláním na Šeďovou, Švaříčka a Šalamounovou (2012, s. 261) připomínáme, že potřeba zachování kázně v hodině (a regulování chování žáků) bude vždy dominovat nad didaktickými aspekty vyučování. </w:t>
      </w:r>
    </w:p>
  </w:footnote>
  <w:footnote w:id="99">
    <w:p w:rsidR="00A74542" w:rsidRPr="00BF5144" w:rsidRDefault="00A74542" w:rsidP="00802EB8">
      <w:pPr>
        <w:pStyle w:val="Textpoznpodarou"/>
        <w:jc w:val="both"/>
      </w:pPr>
      <w:r>
        <w:rPr>
          <w:rStyle w:val="Znakapoznpodarou"/>
        </w:rPr>
        <w:footnoteRef/>
      </w:r>
      <w:r>
        <w:t xml:space="preserve"> Tato vyučovací hodina již bohužel nebyla součástí výzkumného souboru.</w:t>
      </w:r>
    </w:p>
  </w:footnote>
  <w:footnote w:id="100">
    <w:p w:rsidR="00A74542" w:rsidRDefault="00A74542" w:rsidP="00802EB8">
      <w:pPr>
        <w:pStyle w:val="Textpoznpodarou"/>
        <w:jc w:val="both"/>
      </w:pPr>
      <w:r>
        <w:rPr>
          <w:rStyle w:val="Znakapoznpodarou"/>
        </w:rPr>
        <w:footnoteRef/>
      </w:r>
      <w:r>
        <w:t xml:space="preserve"> Obecnější problémy geografického </w:t>
      </w:r>
      <w:r w:rsidRPr="00A353D6">
        <w:t>vzdělávání podrobně popisují Lambert (2009) a Marsden (1997).</w:t>
      </w:r>
    </w:p>
  </w:footnote>
  <w:footnote w:id="101">
    <w:p w:rsidR="00A74542" w:rsidRPr="00701D19" w:rsidRDefault="00A74542" w:rsidP="00802EB8">
      <w:pPr>
        <w:jc w:val="both"/>
        <w:rPr>
          <w:sz w:val="20"/>
        </w:rPr>
      </w:pPr>
      <w:r w:rsidRPr="00CC7D9D">
        <w:rPr>
          <w:rStyle w:val="Znakapoznpodarou"/>
          <w:sz w:val="20"/>
        </w:rPr>
        <w:footnoteRef/>
      </w:r>
      <w:r w:rsidRPr="00CC7D9D">
        <w:rPr>
          <w:sz w:val="20"/>
        </w:rPr>
        <w:t xml:space="preserve"> Nejedná se o ryze české specifikum. Ferrettiová (2013, s. 108) </w:t>
      </w:r>
      <w:r>
        <w:rPr>
          <w:sz w:val="20"/>
        </w:rPr>
        <w:t xml:space="preserve">například </w:t>
      </w:r>
      <w:r w:rsidRPr="00CC7D9D">
        <w:rPr>
          <w:sz w:val="20"/>
        </w:rPr>
        <w:t xml:space="preserve">uvádí, </w:t>
      </w:r>
      <w:r>
        <w:rPr>
          <w:sz w:val="20"/>
        </w:rPr>
        <w:t>také</w:t>
      </w:r>
      <w:r w:rsidRPr="00CC7D9D">
        <w:rPr>
          <w:sz w:val="20"/>
        </w:rPr>
        <w:t xml:space="preserve"> v Anglii je možné badatelské přístupy ve školní výuce geografie pozorovat </w:t>
      </w:r>
      <w:r>
        <w:rPr>
          <w:sz w:val="20"/>
        </w:rPr>
        <w:t xml:space="preserve">spíše zřídka. </w:t>
      </w:r>
    </w:p>
  </w:footnote>
  <w:footnote w:id="102">
    <w:p w:rsidR="00A74542" w:rsidRPr="002E7515" w:rsidRDefault="00A74542" w:rsidP="00802EB8">
      <w:pPr>
        <w:pStyle w:val="Textpoznpodarou"/>
        <w:jc w:val="both"/>
      </w:pPr>
      <w:r w:rsidRPr="002E7515">
        <w:rPr>
          <w:rStyle w:val="Znakapoznpodarou"/>
        </w:rPr>
        <w:footnoteRef/>
      </w:r>
      <w:r w:rsidRPr="002E7515">
        <w:t xml:space="preserve"> </w:t>
      </w:r>
      <w:r w:rsidRPr="000772F5">
        <w:t xml:space="preserve">Bonnet (2008, s. 6) např. </w:t>
      </w:r>
      <w:r>
        <w:t>definuje</w:t>
      </w:r>
      <w:r w:rsidRPr="000772F5">
        <w:t xml:space="preserve"> geografii jako vědu „usilující o hledání a vnucování řádu zjevně chaotickému světu“.</w:t>
      </w:r>
    </w:p>
  </w:footnote>
  <w:footnote w:id="103">
    <w:p w:rsidR="00A74542" w:rsidRDefault="00A74542" w:rsidP="00802EB8">
      <w:pPr>
        <w:pStyle w:val="Textpoznpodarou"/>
        <w:jc w:val="both"/>
      </w:pPr>
      <w:r>
        <w:rPr>
          <w:rStyle w:val="Znakapoznpodarou"/>
        </w:rPr>
        <w:footnoteRef/>
      </w:r>
      <w:r>
        <w:t xml:space="preserve"> Stanovování potřebných znalostí je patrně ústředním problémem každé oborové didaktiky (srov. např. Brousseau, </w:t>
      </w:r>
      <w:r w:rsidRPr="00F078D0">
        <w:t>2012, s. 67)</w:t>
      </w:r>
      <w:r>
        <w:t>.</w:t>
      </w:r>
      <w:r w:rsidRPr="00F078D0">
        <w:t xml:space="preserve"> </w:t>
      </w:r>
    </w:p>
  </w:footnote>
  <w:footnote w:id="104">
    <w:p w:rsidR="00A74542" w:rsidRPr="00EC6EC8" w:rsidRDefault="00A74542" w:rsidP="00802EB8">
      <w:pPr>
        <w:jc w:val="both"/>
        <w:rPr>
          <w:sz w:val="20"/>
          <w:szCs w:val="20"/>
        </w:rPr>
      </w:pPr>
      <w:r w:rsidRPr="00EC6EC8">
        <w:rPr>
          <w:sz w:val="20"/>
          <w:szCs w:val="20"/>
          <w:vertAlign w:val="superscript"/>
        </w:rPr>
        <w:footnoteRef/>
      </w:r>
      <w:r w:rsidRPr="00EC6EC8">
        <w:rPr>
          <w:sz w:val="20"/>
          <w:szCs w:val="20"/>
        </w:rPr>
        <w:t>Nutno podotknout, že v české geografii zatím není plně etablováno pojetí založené studiu klíčových geografických konceptů a témat (Matoušek, Vogt, &amp; Ženka, 2011, s. 9). A to i přesto, že systematické členění geografického vědění do dílčích geografických disciplín se ukazuje jako čím dál méně udržitelné (podrobněji viz Hynek, 2011</w:t>
      </w:r>
      <w:r>
        <w:rPr>
          <w:sz w:val="20"/>
          <w:szCs w:val="20"/>
        </w:rPr>
        <w:t>b</w:t>
      </w:r>
      <w:r w:rsidRPr="00EC6EC8">
        <w:rPr>
          <w:sz w:val="20"/>
          <w:szCs w:val="20"/>
        </w:rPr>
        <w:t xml:space="preserve">). Leat (2000, s. 139) v této souvislosti připomíná, že definování vědních oborů i vyučovacích předmětů na základě sepisování podrobných seznamů jejich obsahu naráží na přirozené (obsahové) proměny, kterými jednotlivé obory prochází, spolu s tím, jak se objevují nové paradigmatické přístupy. Dle </w:t>
      </w:r>
      <w:r>
        <w:rPr>
          <w:sz w:val="20"/>
          <w:szCs w:val="20"/>
        </w:rPr>
        <w:t xml:space="preserve">Leata </w:t>
      </w:r>
      <w:r w:rsidRPr="00EC6EC8">
        <w:rPr>
          <w:sz w:val="20"/>
          <w:szCs w:val="20"/>
        </w:rPr>
        <w:t>by měl být v geografii kladen důraz na tzv. velké koncepty (angl. „big“ concepts; srov. tamtéž, s. 147–148).</w:t>
      </w:r>
    </w:p>
  </w:footnote>
  <w:footnote w:id="105">
    <w:p w:rsidR="00A74542" w:rsidRDefault="00A74542" w:rsidP="00802EB8">
      <w:pPr>
        <w:jc w:val="both"/>
      </w:pPr>
      <w:r w:rsidRPr="00EC6EC8">
        <w:rPr>
          <w:rStyle w:val="Znakapoznpodarou"/>
          <w:sz w:val="20"/>
          <w:szCs w:val="20"/>
        </w:rPr>
        <w:footnoteRef/>
      </w:r>
      <w:r w:rsidRPr="00EC6EC8">
        <w:rPr>
          <w:sz w:val="20"/>
          <w:szCs w:val="20"/>
        </w:rPr>
        <w:t xml:space="preserve"> Straková (2011) je v této souvislosti ještě kritičtější, neboť tvrdí, že „český vzdělávací systém</w:t>
      </w:r>
      <w:r>
        <w:rPr>
          <w:sz w:val="20"/>
          <w:szCs w:val="20"/>
        </w:rPr>
        <w:t xml:space="preserve"> [</w:t>
      </w:r>
      <w:r w:rsidRPr="00EC6EC8">
        <w:rPr>
          <w:sz w:val="20"/>
          <w:szCs w:val="20"/>
        </w:rPr>
        <w:t>…</w:t>
      </w:r>
      <w:r>
        <w:rPr>
          <w:sz w:val="20"/>
          <w:szCs w:val="20"/>
        </w:rPr>
        <w:t>]</w:t>
      </w:r>
      <w:r w:rsidRPr="00EC6EC8">
        <w:rPr>
          <w:sz w:val="20"/>
          <w:szCs w:val="20"/>
        </w:rPr>
        <w:t xml:space="preserve"> ohrožuje nevzdělanost tvůrců vzdělávacích politik a spolupracujících odborníků“ (</w:t>
      </w:r>
      <w:r w:rsidRPr="00EC6EC8">
        <w:rPr>
          <w:noProof/>
          <w:sz w:val="20"/>
          <w:szCs w:val="20"/>
        </w:rPr>
        <w:t>s. 126)</w:t>
      </w:r>
      <w:r w:rsidRPr="00EC6EC8">
        <w:rPr>
          <w:sz w:val="20"/>
          <w:szCs w:val="20"/>
        </w:rPr>
        <w:t>. V návaznosti na Strakovou dodáváme, že (dle našeho názoru) veškeré konstruktivní snahy akademiků</w:t>
      </w:r>
      <w:r w:rsidRPr="00EC6EC8">
        <w:rPr>
          <w:color w:val="000000"/>
          <w:sz w:val="20"/>
          <w:szCs w:val="20"/>
        </w:rPr>
        <w:t xml:space="preserve"> o změnu kuriku</w:t>
      </w:r>
      <w:r w:rsidRPr="00EC6EC8">
        <w:rPr>
          <w:color w:val="000000"/>
          <w:sz w:val="20"/>
          <w:szCs w:val="20"/>
        </w:rPr>
        <w:softHyphen/>
        <w:t>lárních obsahů budou marné, dokud vzdělávací politiku budou ovlivňovat lidé, kteří nemají potřebu nejprve zmapovat současný stav vzdělávací praxe na ško</w:t>
      </w:r>
      <w:r w:rsidRPr="00EC6EC8">
        <w:rPr>
          <w:color w:val="000000"/>
          <w:sz w:val="20"/>
          <w:szCs w:val="20"/>
        </w:rPr>
        <w:softHyphen/>
        <w:t>lách, poté systematicky analyzovat práce empiricko-výzkumného charakteru tý</w:t>
      </w:r>
      <w:r w:rsidRPr="00EC6EC8">
        <w:rPr>
          <w:color w:val="000000"/>
          <w:sz w:val="20"/>
          <w:szCs w:val="20"/>
        </w:rPr>
        <w:softHyphen/>
        <w:t xml:space="preserve">kající se řešeného problému a následně k širší diskusi navrhnout a poté zdůvodnit výsledná opatření. </w:t>
      </w:r>
    </w:p>
  </w:footnote>
  <w:footnote w:id="106">
    <w:p w:rsidR="00A74542" w:rsidRPr="00EC6EC8" w:rsidRDefault="00A74542" w:rsidP="00802EB8">
      <w:pPr>
        <w:pStyle w:val="Textpoznpodarou"/>
        <w:jc w:val="both"/>
      </w:pPr>
      <w:r w:rsidRPr="00EC6EC8">
        <w:rPr>
          <w:rStyle w:val="Znakapoznpodarou"/>
        </w:rPr>
        <w:footnoteRef/>
      </w:r>
      <w:r w:rsidRPr="00EC6EC8">
        <w:t xml:space="preserve"> Komunity jednotlivých oborových didaktik v Česku čítají kolem 20 odborníků. Sice se rozvíjí doktorské studijní programy (</w:t>
      </w:r>
      <w:r>
        <w:t xml:space="preserve">srov. </w:t>
      </w:r>
      <w:r w:rsidRPr="00EC6EC8">
        <w:t>Janík</w:t>
      </w:r>
      <w:r>
        <w:t xml:space="preserve"> &amp;</w:t>
      </w:r>
      <w:r w:rsidRPr="00EC6EC8">
        <w:t xml:space="preserve"> Stuchlíková</w:t>
      </w:r>
      <w:r>
        <w:t>,</w:t>
      </w:r>
      <w:r w:rsidRPr="00EC6EC8">
        <w:t xml:space="preserve"> 2010), ale potenciál oborových didaktik produkovat výzkumně ověřené poznatky, zpracovávat koncepční materiály, sdružovat se v profesních komorách, realizovat vzdělávání, rozvíjet vlastní terminologii a metodologii apod. je v našich podmínkách poměrně omezený.</w:t>
      </w:r>
    </w:p>
  </w:footnote>
  <w:footnote w:id="107">
    <w:p w:rsidR="00A74542" w:rsidRDefault="00A74542" w:rsidP="00780CBA">
      <w:pPr>
        <w:pStyle w:val="Textpoznpodarou"/>
        <w:jc w:val="both"/>
      </w:pPr>
      <w:r>
        <w:rPr>
          <w:rStyle w:val="Znakapoznpodarou"/>
        </w:rPr>
        <w:footnoteRef/>
      </w:r>
      <w:r>
        <w:t xml:space="preserve"> Zajímavé podněty v tomto ohledu přináší Mareš (2010, s. 20), když upozorňuje, že v jistých učebních situacích </w:t>
      </w:r>
      <w:r w:rsidRPr="00D533E6">
        <w:t>čas přestane člověk na určitou d</w:t>
      </w:r>
      <w:r>
        <w:t xml:space="preserve">obu vnímat, neboť prožije tzv. </w:t>
      </w:r>
      <w:r w:rsidRPr="00FE75B9">
        <w:rPr>
          <w:i/>
        </w:rPr>
        <w:t>flow-fenomén</w:t>
      </w:r>
      <w:r>
        <w:t>. Jedná se o situace</w:t>
      </w:r>
      <w:r w:rsidRPr="00D533E6">
        <w:t xml:space="preserve">, </w:t>
      </w:r>
      <w:r>
        <w:t>„</w:t>
      </w:r>
      <w:r w:rsidRPr="00D533E6">
        <w:t xml:space="preserve">kdy je mladý člověk něčím naplno </w:t>
      </w:r>
      <w:r w:rsidRPr="00D211B8">
        <w:t xml:space="preserve">zaujat, je </w:t>
      </w:r>
      <w:r w:rsidRPr="00D211B8">
        <w:rPr>
          <w:bCs/>
        </w:rPr>
        <w:t>‚</w:t>
      </w:r>
      <w:r w:rsidRPr="00D211B8">
        <w:t>ponořen</w:t>
      </w:r>
      <w:r w:rsidRPr="00D211B8">
        <w:rPr>
          <w:bCs/>
        </w:rPr>
        <w:t>‘</w:t>
      </w:r>
      <w:r w:rsidRPr="00D211B8">
        <w:t xml:space="preserve"> do zajímavé činnosti, soustředěn na činnost, která ho baví, která ho pohlcuje; pracuje bez ob</w:t>
      </w:r>
      <w:r w:rsidRPr="00D211B8">
        <w:softHyphen/>
        <w:t>tíží, lehce, má příjemný</w:t>
      </w:r>
      <w:r w:rsidRPr="00D533E6">
        <w:t xml:space="preserve"> pocit z toho, že se mu práce daří a že dělá to, co sám chce</w:t>
      </w:r>
      <w:r>
        <w:t xml:space="preserve">, a ne to, co musí. Je šťastný.“ </w:t>
      </w:r>
    </w:p>
  </w:footnote>
  <w:footnote w:id="108">
    <w:p w:rsidR="00A74542" w:rsidRPr="00EC6EC8" w:rsidRDefault="00A74542" w:rsidP="00802EB8">
      <w:pPr>
        <w:pStyle w:val="Textpoznpodarou"/>
        <w:jc w:val="both"/>
      </w:pPr>
      <w:r w:rsidRPr="00EC6EC8">
        <w:rPr>
          <w:rStyle w:val="Znakapoznpodarou"/>
        </w:rPr>
        <w:footnoteRef/>
      </w:r>
      <w:r w:rsidRPr="00EC6EC8">
        <w:t xml:space="preserve"> Fenomén znovuobnovení důrazu na oborové znalosti je demonstrován slogany jako „bringing knowledge back in“ (srov. Young, 2007), „knowledge turn“ (srov. Lambert, 2011), nebo „powerful knowledge“ (Young, 2007; Beck, 2013). Za zmínku stojí, že Štech (2013, s. 621) překládá poslední z uvedených termínů jako „potencující poznatky“. Jelikož je tento termín v zahraniční literatuře často diskutován, a je pouze otázkou času, kdy se ustálí v českém vzdělávacím (zejména oborově didaktickém a ku</w:t>
      </w:r>
      <w:r>
        <w:t>r</w:t>
      </w:r>
      <w:r w:rsidRPr="00EC6EC8">
        <w:t xml:space="preserve">ikulárním) diskursu, </w:t>
      </w:r>
      <w:r>
        <w:t xml:space="preserve">budeme se </w:t>
      </w:r>
      <w:r w:rsidRPr="00EC6EC8">
        <w:t>z důvodu zachování jednotnosti odborné terminologie tohoto překladu držet.</w:t>
      </w:r>
    </w:p>
  </w:footnote>
  <w:footnote w:id="109">
    <w:p w:rsidR="00A74542" w:rsidRPr="00EC6EC8" w:rsidRDefault="00A74542" w:rsidP="00802EB8">
      <w:pPr>
        <w:pStyle w:val="Textpoznpodarou"/>
        <w:jc w:val="both"/>
      </w:pPr>
      <w:r w:rsidRPr="00EC6EC8">
        <w:rPr>
          <w:rStyle w:val="Znakapoznpodarou"/>
        </w:rPr>
        <w:footnoteRef/>
      </w:r>
      <w:r w:rsidRPr="00EC6EC8">
        <w:t xml:space="preserve"> Young (2013) na jiném místě připomíná, že </w:t>
      </w:r>
      <w:r>
        <w:t>obnovený konzervatismus ve vztahu k vědění/znalostem</w:t>
      </w:r>
      <w:r w:rsidRPr="00EC6EC8">
        <w:t xml:space="preserve"> </w:t>
      </w:r>
      <w:r>
        <w:t>spočívající v záj</w:t>
      </w:r>
      <w:r w:rsidRPr="00EC6EC8">
        <w:t>m</w:t>
      </w:r>
      <w:r>
        <w:t>u</w:t>
      </w:r>
      <w:r w:rsidRPr="00EC6EC8">
        <w:t xml:space="preserve"> o oborové poznatky a znalosti je jedinou možnou cestou z krize (teorie) kurikula, jíž jsme svědky v uplynulých několika desetiletích. Dle našeho názoru ovšem samotný zájem o oborové poznatky a znalosti neznamená zažehnání krize. Implicitním předpokladem totiž je, že se odborníci budou s to bez problémů dohodnout, jaké obsahy by si měli žáci osvojit ve škole, a k dosažení jakých cílů by mělo např. geografické vzdělávání směřovat. Je třeba mít na paměti, že vedle sebe může existovat více možných pojetí školní geografie, resp. školních geografií, stejně jak geografie s velkým „G“ byla nahrazena mnoha „postmoderními geografiemi“ (srov. Soja, 1989). </w:t>
      </w:r>
    </w:p>
  </w:footnote>
  <w:footnote w:id="110">
    <w:p w:rsidR="00A74542" w:rsidRDefault="00A74542" w:rsidP="00802EB8">
      <w:pPr>
        <w:pStyle w:val="Textpoznpodarou"/>
        <w:jc w:val="both"/>
      </w:pPr>
      <w:r>
        <w:rPr>
          <w:rStyle w:val="Znakapoznpodarou"/>
        </w:rPr>
        <w:footnoteRef/>
      </w:r>
      <w:r>
        <w:t xml:space="preserve"> Další podoby tzv. pracovního konsensu mezi učiteli a žáky podrobněji popisují Šalamounová, Bradová a Lojdová (2014, s. 383).</w:t>
      </w:r>
    </w:p>
  </w:footnote>
  <w:footnote w:id="111">
    <w:p w:rsidR="00A74542" w:rsidRDefault="00A74542" w:rsidP="00802EB8">
      <w:pPr>
        <w:pStyle w:val="Textpoznpodarou"/>
        <w:jc w:val="both"/>
      </w:pPr>
      <w:r w:rsidRPr="00EC6EC8">
        <w:rPr>
          <w:rStyle w:val="Znakapoznpodarou"/>
        </w:rPr>
        <w:footnoteRef/>
      </w:r>
      <w:r w:rsidRPr="00EC6EC8">
        <w:t xml:space="preserve"> Konkrétní ukázky výukových postupů viz Leat (1998) a Nichols a Kinninment (2001). Potenciál </w:t>
      </w:r>
      <w:r>
        <w:t xml:space="preserve">projektu </w:t>
      </w:r>
      <w:r w:rsidRPr="00EC6EC8">
        <w:t xml:space="preserve">pro pregraduální a postgraduální vzdělávání učitelů zeměpisu </w:t>
      </w:r>
      <w:r>
        <w:t>přibližují</w:t>
      </w:r>
      <w:r w:rsidRPr="00EC6EC8">
        <w:t xml:space="preserve"> van der Schee, Vankan </w:t>
      </w:r>
      <w:r>
        <w:t>a Leat</w:t>
      </w:r>
      <w:r w:rsidRPr="00EC6EC8">
        <w:t xml:space="preserve"> (2003).</w:t>
      </w:r>
    </w:p>
  </w:footnote>
  <w:footnote w:id="112">
    <w:p w:rsidR="00A74542" w:rsidRPr="009321FC" w:rsidRDefault="00A74542" w:rsidP="00802EB8">
      <w:pPr>
        <w:pStyle w:val="Textpoznpodarou"/>
        <w:jc w:val="both"/>
        <w:rPr>
          <w:bCs/>
        </w:rPr>
      </w:pPr>
      <w:r>
        <w:rPr>
          <w:rStyle w:val="Znakapoznpodarou"/>
        </w:rPr>
        <w:footnoteRef/>
      </w:r>
      <w:r>
        <w:t xml:space="preserve"> </w:t>
      </w:r>
      <w:r w:rsidRPr="009321FC">
        <w:rPr>
          <w:bCs/>
        </w:rPr>
        <w:t>Ekologická validita vypovídá o tom, zda jsou učební úlohy relevantní pouze v kontextu školního učení, nebo zda jsou využitelné také v mimoškolním kontextu. Čím vyšší je využitelnost úlohy např. v budoucím pracovním či soukromém životě, tím vyšší je její ekologická validita (srov. Thonhauser, 2008, s. 24</w:t>
      </w:r>
      <w:r>
        <w:rPr>
          <w:bCs/>
        </w:rPr>
        <w:t>–</w:t>
      </w:r>
      <w:r w:rsidRPr="009321FC">
        <w:rPr>
          <w:bCs/>
        </w:rPr>
        <w:t>25).</w:t>
      </w:r>
    </w:p>
    <w:p w:rsidR="00A74542" w:rsidRDefault="00A74542" w:rsidP="00802EB8">
      <w:pPr>
        <w:pStyle w:val="Textpoznpodarou"/>
        <w:jc w:val="both"/>
      </w:pPr>
    </w:p>
  </w:footnote>
  <w:footnote w:id="113">
    <w:p w:rsidR="00A74542" w:rsidRPr="00EC6EC8" w:rsidRDefault="00A74542" w:rsidP="00802EB8">
      <w:pPr>
        <w:pStyle w:val="Textpoznpodarou"/>
        <w:jc w:val="both"/>
      </w:pPr>
      <w:r w:rsidRPr="00EC6EC8">
        <w:rPr>
          <w:rStyle w:val="Znakapoznpodarou"/>
        </w:rPr>
        <w:footnoteRef/>
      </w:r>
      <w:r w:rsidRPr="00EC6EC8">
        <w:t xml:space="preserve">Problémy spojené s implementací národních geografických standardů v USA podrobněji popisuje např. Bednarzová (2003), obtížný proces tvorby a implementace inovovaného </w:t>
      </w:r>
      <w:r>
        <w:t>a</w:t>
      </w:r>
      <w:r w:rsidRPr="00EC6EC8">
        <w:t xml:space="preserve">nglického a </w:t>
      </w:r>
      <w:r>
        <w:t>v</w:t>
      </w:r>
      <w:r w:rsidRPr="00EC6EC8">
        <w:t>e</w:t>
      </w:r>
      <w:r>
        <w:t>l</w:t>
      </w:r>
      <w:r w:rsidRPr="00EC6EC8">
        <w:t>šského kurikula přibližuje např. Petrová (2011).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4542" w:rsidRDefault="00A74542" w:rsidP="009F744F">
    <w:pPr>
      <w:pStyle w:val="Zhlav"/>
      <w:jc w:val="right"/>
      <w:rPr>
        <w:rStyle w:val="slostrnky"/>
        <w:sz w:val="28"/>
        <w:szCs w:val="28"/>
      </w:rPr>
    </w:pPr>
    <w:r>
      <w:rPr>
        <w:rStyle w:val="slostrnky"/>
        <w:sz w:val="20"/>
        <w:szCs w:val="20"/>
      </w:rPr>
      <w:t xml:space="preserve"> </w:t>
    </w:r>
  </w:p>
  <w:p w:rsidR="00A74542" w:rsidRDefault="00A74542" w:rsidP="009F744F">
    <w:pPr>
      <w:pStyle w:val="Zhlav"/>
      <w:jc w:val="right"/>
      <w:rPr>
        <w:rStyle w:val="slostrnky"/>
        <w:sz w:val="28"/>
        <w:szCs w:val="28"/>
      </w:rPr>
    </w:pPr>
  </w:p>
  <w:p w:rsidR="00A74542" w:rsidRPr="00267ACC" w:rsidRDefault="00A74542" w:rsidP="009F744F">
    <w:pPr>
      <w:pStyle w:val="Zhlav"/>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3"/>
    <w:multiLevelType w:val="singleLevel"/>
    <w:tmpl w:val="CA3CE33E"/>
    <w:lvl w:ilvl="0">
      <w:start w:val="1"/>
      <w:numFmt w:val="bullet"/>
      <w:pStyle w:val="Seznamsodrkami2"/>
      <w:lvlText w:val=""/>
      <w:lvlJc w:val="left"/>
      <w:pPr>
        <w:tabs>
          <w:tab w:val="num" w:pos="643"/>
        </w:tabs>
        <w:ind w:left="643" w:hanging="360"/>
      </w:pPr>
      <w:rPr>
        <w:rFonts w:ascii="Symbol" w:hAnsi="Symbol" w:hint="default"/>
      </w:rPr>
    </w:lvl>
  </w:abstractNum>
  <w:abstractNum w:abstractNumId="1">
    <w:nsid w:val="FFFFFF89"/>
    <w:multiLevelType w:val="singleLevel"/>
    <w:tmpl w:val="91D66B86"/>
    <w:lvl w:ilvl="0">
      <w:start w:val="1"/>
      <w:numFmt w:val="bullet"/>
      <w:pStyle w:val="Seznamsodrkami"/>
      <w:lvlText w:val=""/>
      <w:lvlJc w:val="left"/>
      <w:pPr>
        <w:tabs>
          <w:tab w:val="num" w:pos="360"/>
        </w:tabs>
        <w:ind w:left="360" w:hanging="360"/>
      </w:pPr>
      <w:rPr>
        <w:rFonts w:ascii="Symbol" w:hAnsi="Symbol" w:hint="default"/>
      </w:rPr>
    </w:lvl>
  </w:abstractNum>
  <w:abstractNum w:abstractNumId="2">
    <w:nsid w:val="001A1CFF"/>
    <w:multiLevelType w:val="hybridMultilevel"/>
    <w:tmpl w:val="1B6EA0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87C2D30"/>
    <w:multiLevelType w:val="hybridMultilevel"/>
    <w:tmpl w:val="162CF44C"/>
    <w:lvl w:ilvl="0" w:tplc="7C7ACBE2">
      <w:start w:val="1"/>
      <w:numFmt w:val="bullet"/>
      <w:pStyle w:val="neslovanseznam"/>
      <w:lvlText w:val=""/>
      <w:lvlJc w:val="left"/>
      <w:pPr>
        <w:tabs>
          <w:tab w:val="num" w:pos="240"/>
        </w:tabs>
        <w:ind w:left="478" w:hanging="238"/>
      </w:pPr>
      <w:rPr>
        <w:rFonts w:ascii="Symbol" w:hAnsi="Symbol" w:hint="default"/>
        <w:color w:val="auto"/>
        <w:sz w:val="24"/>
        <w:szCs w:val="24"/>
      </w:rPr>
    </w:lvl>
    <w:lvl w:ilvl="1" w:tplc="2A8472E2">
      <w:start w:val="1"/>
      <w:numFmt w:val="bullet"/>
      <w:pStyle w:val="neslovanseznam"/>
      <w:lvlText w:val=""/>
      <w:lvlJc w:val="left"/>
      <w:pPr>
        <w:tabs>
          <w:tab w:val="num" w:pos="1080"/>
        </w:tabs>
        <w:ind w:left="1318" w:hanging="238"/>
      </w:pPr>
      <w:rPr>
        <w:rFonts w:ascii="Symbol" w:hAnsi="Symbol" w:hint="default"/>
        <w:color w:val="auto"/>
        <w:sz w:val="24"/>
        <w:szCs w:val="24"/>
      </w:rPr>
    </w:lvl>
    <w:lvl w:ilvl="2" w:tplc="04050005">
      <w:start w:val="1"/>
      <w:numFmt w:val="bullet"/>
      <w:lvlText w:val=""/>
      <w:lvlJc w:val="left"/>
      <w:pPr>
        <w:tabs>
          <w:tab w:val="num" w:pos="2160"/>
        </w:tabs>
        <w:ind w:left="2160" w:hanging="360"/>
      </w:pPr>
      <w:rPr>
        <w:rFonts w:ascii="Wingdings" w:hAnsi="Wingdings" w:hint="default"/>
        <w:color w:val="auto"/>
        <w:sz w:val="24"/>
        <w:szCs w:val="24"/>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
    <w:nsid w:val="0D9E1CA0"/>
    <w:multiLevelType w:val="hybridMultilevel"/>
    <w:tmpl w:val="BFA6EB4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0EC55C28"/>
    <w:multiLevelType w:val="hybridMultilevel"/>
    <w:tmpl w:val="8552447C"/>
    <w:lvl w:ilvl="0" w:tplc="0405000F">
      <w:start w:val="1"/>
      <w:numFmt w:val="decimal"/>
      <w:lvlText w:val="%1."/>
      <w:lvlJc w:val="left"/>
      <w:pPr>
        <w:ind w:left="720" w:hanging="360"/>
      </w:pPr>
      <w:rPr>
        <w:rFonts w:hint="default"/>
      </w:rPr>
    </w:lvl>
    <w:lvl w:ilvl="1" w:tplc="AB382424">
      <w:start w:val="1"/>
      <w:numFmt w:val="decimal"/>
      <w:lvlText w:val="%2)"/>
      <w:lvlJc w:val="left"/>
      <w:pPr>
        <w:ind w:left="1440" w:hanging="360"/>
      </w:pPr>
      <w:rPr>
        <w:rFonts w:hint="default"/>
      </w:rPr>
    </w:lvl>
    <w:lvl w:ilvl="2" w:tplc="CEC4F12C">
      <w:start w:val="1"/>
      <w:numFmt w:val="lowerLetter"/>
      <w:lvlText w:val="(%3)"/>
      <w:lvlJc w:val="left"/>
      <w:pPr>
        <w:ind w:left="2205" w:hanging="405"/>
      </w:pPr>
      <w:rPr>
        <w:rFont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6654CEA"/>
    <w:multiLevelType w:val="multilevel"/>
    <w:tmpl w:val="6062229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nsid w:val="1CEA7059"/>
    <w:multiLevelType w:val="hybridMultilevel"/>
    <w:tmpl w:val="B9FA20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06C07CF"/>
    <w:multiLevelType w:val="hybridMultilevel"/>
    <w:tmpl w:val="B12209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27C286B"/>
    <w:multiLevelType w:val="hybridMultilevel"/>
    <w:tmpl w:val="732497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25E91E04"/>
    <w:multiLevelType w:val="hybridMultilevel"/>
    <w:tmpl w:val="503C6AC0"/>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2A9B42A4"/>
    <w:multiLevelType w:val="hybridMultilevel"/>
    <w:tmpl w:val="A1F4AEB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2D79305A"/>
    <w:multiLevelType w:val="hybridMultilevel"/>
    <w:tmpl w:val="3CD2B20A"/>
    <w:lvl w:ilvl="0" w:tplc="CEB203B8">
      <w:start w:val="1"/>
      <w:numFmt w:val="decimal"/>
      <w:lvlText w:val="%1)"/>
      <w:lvlJc w:val="left"/>
      <w:pPr>
        <w:ind w:left="720" w:hanging="36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2FEE7F1E"/>
    <w:multiLevelType w:val="hybridMultilevel"/>
    <w:tmpl w:val="4D96FF5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30D4775F"/>
    <w:multiLevelType w:val="multilevel"/>
    <w:tmpl w:val="0405001F"/>
    <w:styleLink w:val="StylVcerovov"/>
    <w:lvl w:ilvl="0">
      <w:start w:val="1"/>
      <w:numFmt w:val="decimal"/>
      <w:lvlText w:val="%1."/>
      <w:lvlJc w:val="left"/>
      <w:pPr>
        <w:tabs>
          <w:tab w:val="num" w:pos="360"/>
        </w:tabs>
        <w:ind w:left="360" w:hanging="360"/>
      </w:pPr>
      <w:rPr>
        <w:sz w:val="24"/>
        <w:szCs w:val="24"/>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5">
    <w:nsid w:val="31110707"/>
    <w:multiLevelType w:val="hybridMultilevel"/>
    <w:tmpl w:val="6A98E12E"/>
    <w:lvl w:ilvl="0" w:tplc="04050011">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16">
    <w:nsid w:val="351C2F92"/>
    <w:multiLevelType w:val="hybridMultilevel"/>
    <w:tmpl w:val="D76031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3D81336B"/>
    <w:multiLevelType w:val="hybridMultilevel"/>
    <w:tmpl w:val="7DA0CEA6"/>
    <w:lvl w:ilvl="0" w:tplc="04050011">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40D5706A"/>
    <w:multiLevelType w:val="hybridMultilevel"/>
    <w:tmpl w:val="50B22A42"/>
    <w:lvl w:ilvl="0" w:tplc="0405000F">
      <w:start w:val="1"/>
      <w:numFmt w:val="decimal"/>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19">
    <w:nsid w:val="4FBB73CB"/>
    <w:multiLevelType w:val="hybridMultilevel"/>
    <w:tmpl w:val="E2EE6260"/>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0">
    <w:nsid w:val="55654560"/>
    <w:multiLevelType w:val="hybridMultilevel"/>
    <w:tmpl w:val="A5BED356"/>
    <w:lvl w:ilvl="0" w:tplc="04050011">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nsid w:val="5722738F"/>
    <w:multiLevelType w:val="multilevel"/>
    <w:tmpl w:val="892E2E68"/>
    <w:lvl w:ilvl="0">
      <w:start w:val="1"/>
      <w:numFmt w:val="decimal"/>
      <w:pStyle w:val="Nadpis1"/>
      <w:lvlText w:val="%1."/>
      <w:lvlJc w:val="left"/>
      <w:pPr>
        <w:ind w:left="360" w:hanging="360"/>
      </w:pPr>
      <w:rPr>
        <w:rFonts w:hint="default"/>
      </w:rPr>
    </w:lvl>
    <w:lvl w:ilvl="1">
      <w:start w:val="1"/>
      <w:numFmt w:val="decimal"/>
      <w:pStyle w:val="Nadpis2"/>
      <w:lvlText w:val="%1.%2"/>
      <w:lvlJc w:val="left"/>
      <w:pPr>
        <w:tabs>
          <w:tab w:val="num" w:pos="567"/>
        </w:tabs>
        <w:ind w:left="576" w:hanging="576"/>
      </w:pPr>
      <w:rPr>
        <w:rFonts w:hint="default"/>
      </w:rPr>
    </w:lvl>
    <w:lvl w:ilvl="2">
      <w:start w:val="1"/>
      <w:numFmt w:val="decimal"/>
      <w:pStyle w:val="Nadpis3"/>
      <w:lvlText w:val="%1.%2.%3"/>
      <w:lvlJc w:val="left"/>
      <w:pPr>
        <w:tabs>
          <w:tab w:val="num" w:pos="862"/>
        </w:tabs>
        <w:ind w:left="862" w:hanging="720"/>
      </w:pPr>
      <w:rPr>
        <w:rFonts w:ascii="Times New Roman" w:hAnsi="Times New Roman" w:cs="Times New Roman"/>
        <w:b/>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Nadpis4"/>
      <w:lvlText w:val="%1.%2.%3.%4"/>
      <w:lvlJc w:val="left"/>
      <w:pPr>
        <w:tabs>
          <w:tab w:val="num" w:pos="1431"/>
        </w:tabs>
        <w:ind w:left="1431"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22">
    <w:nsid w:val="58406519"/>
    <w:multiLevelType w:val="hybridMultilevel"/>
    <w:tmpl w:val="9E70E0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59E020BA"/>
    <w:multiLevelType w:val="multilevel"/>
    <w:tmpl w:val="6062229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4">
    <w:nsid w:val="60E21B42"/>
    <w:multiLevelType w:val="hybridMultilevel"/>
    <w:tmpl w:val="C92055A4"/>
    <w:lvl w:ilvl="0" w:tplc="1916D22E">
      <w:start w:val="1"/>
      <w:numFmt w:val="decimal"/>
      <w:lvlText w:val="%1)"/>
      <w:lvlJc w:val="left"/>
      <w:pPr>
        <w:ind w:left="420" w:hanging="360"/>
      </w:pPr>
      <w:rPr>
        <w:rFonts w:hint="default"/>
      </w:rPr>
    </w:lvl>
    <w:lvl w:ilvl="1" w:tplc="04050019" w:tentative="1">
      <w:start w:val="1"/>
      <w:numFmt w:val="lowerLetter"/>
      <w:lvlText w:val="%2."/>
      <w:lvlJc w:val="left"/>
      <w:pPr>
        <w:ind w:left="1140" w:hanging="360"/>
      </w:pPr>
    </w:lvl>
    <w:lvl w:ilvl="2" w:tplc="0405001B" w:tentative="1">
      <w:start w:val="1"/>
      <w:numFmt w:val="lowerRoman"/>
      <w:lvlText w:val="%3."/>
      <w:lvlJc w:val="right"/>
      <w:pPr>
        <w:ind w:left="1860" w:hanging="180"/>
      </w:pPr>
    </w:lvl>
    <w:lvl w:ilvl="3" w:tplc="0405000F" w:tentative="1">
      <w:start w:val="1"/>
      <w:numFmt w:val="decimal"/>
      <w:lvlText w:val="%4."/>
      <w:lvlJc w:val="left"/>
      <w:pPr>
        <w:ind w:left="2580" w:hanging="360"/>
      </w:pPr>
    </w:lvl>
    <w:lvl w:ilvl="4" w:tplc="04050019" w:tentative="1">
      <w:start w:val="1"/>
      <w:numFmt w:val="lowerLetter"/>
      <w:lvlText w:val="%5."/>
      <w:lvlJc w:val="left"/>
      <w:pPr>
        <w:ind w:left="3300" w:hanging="360"/>
      </w:pPr>
    </w:lvl>
    <w:lvl w:ilvl="5" w:tplc="0405001B" w:tentative="1">
      <w:start w:val="1"/>
      <w:numFmt w:val="lowerRoman"/>
      <w:lvlText w:val="%6."/>
      <w:lvlJc w:val="right"/>
      <w:pPr>
        <w:ind w:left="4020" w:hanging="180"/>
      </w:pPr>
    </w:lvl>
    <w:lvl w:ilvl="6" w:tplc="0405000F" w:tentative="1">
      <w:start w:val="1"/>
      <w:numFmt w:val="decimal"/>
      <w:lvlText w:val="%7."/>
      <w:lvlJc w:val="left"/>
      <w:pPr>
        <w:ind w:left="4740" w:hanging="360"/>
      </w:pPr>
    </w:lvl>
    <w:lvl w:ilvl="7" w:tplc="04050019" w:tentative="1">
      <w:start w:val="1"/>
      <w:numFmt w:val="lowerLetter"/>
      <w:lvlText w:val="%8."/>
      <w:lvlJc w:val="left"/>
      <w:pPr>
        <w:ind w:left="5460" w:hanging="360"/>
      </w:pPr>
    </w:lvl>
    <w:lvl w:ilvl="8" w:tplc="0405001B" w:tentative="1">
      <w:start w:val="1"/>
      <w:numFmt w:val="lowerRoman"/>
      <w:lvlText w:val="%9."/>
      <w:lvlJc w:val="right"/>
      <w:pPr>
        <w:ind w:left="6180" w:hanging="180"/>
      </w:pPr>
    </w:lvl>
  </w:abstractNum>
  <w:abstractNum w:abstractNumId="25">
    <w:nsid w:val="61FA0651"/>
    <w:multiLevelType w:val="hybridMultilevel"/>
    <w:tmpl w:val="BBD21A1C"/>
    <w:lvl w:ilvl="0" w:tplc="3B8A99EE">
      <w:numFmt w:val="bullet"/>
      <w:lvlText w:val="-"/>
      <w:lvlJc w:val="left"/>
      <w:pPr>
        <w:ind w:left="720" w:hanging="360"/>
      </w:pPr>
      <w:rPr>
        <w:rFonts w:ascii="Calibri" w:eastAsia="Calibri" w:hAnsi="Calibri"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6E15673D"/>
    <w:multiLevelType w:val="hybridMultilevel"/>
    <w:tmpl w:val="CC14C0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710D5789"/>
    <w:multiLevelType w:val="hybridMultilevel"/>
    <w:tmpl w:val="F9D299B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nsid w:val="73C8144A"/>
    <w:multiLevelType w:val="hybridMultilevel"/>
    <w:tmpl w:val="176E28C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nsid w:val="74507D13"/>
    <w:multiLevelType w:val="hybridMultilevel"/>
    <w:tmpl w:val="3376850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nsid w:val="75B044D7"/>
    <w:multiLevelType w:val="hybridMultilevel"/>
    <w:tmpl w:val="41A6E4E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nsid w:val="77E60C26"/>
    <w:multiLevelType w:val="hybridMultilevel"/>
    <w:tmpl w:val="7E62EACC"/>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nsid w:val="79E63418"/>
    <w:multiLevelType w:val="hybridMultilevel"/>
    <w:tmpl w:val="4740D5F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nsid w:val="7ABE1026"/>
    <w:multiLevelType w:val="multilevel"/>
    <w:tmpl w:val="E5766E28"/>
    <w:lvl w:ilvl="0">
      <w:start w:val="1"/>
      <w:numFmt w:val="decimal"/>
      <w:pStyle w:val="Hlavnnadpis"/>
      <w:lvlText w:val="%1"/>
      <w:lvlJc w:val="left"/>
      <w:pPr>
        <w:tabs>
          <w:tab w:val="num" w:pos="482"/>
        </w:tabs>
        <w:ind w:left="480" w:hanging="480"/>
      </w:pPr>
      <w:rPr>
        <w:rFonts w:hint="default"/>
      </w:rPr>
    </w:lvl>
    <w:lvl w:ilvl="1">
      <w:start w:val="1"/>
      <w:numFmt w:val="decimal"/>
      <w:pStyle w:val="Podnadpis"/>
      <w:lvlText w:val="%1.%2"/>
      <w:lvlJc w:val="left"/>
      <w:pPr>
        <w:tabs>
          <w:tab w:val="num" w:pos="680"/>
        </w:tabs>
        <w:ind w:left="680" w:hanging="680"/>
      </w:pPr>
      <w:rPr>
        <w:rFonts w:hint="default"/>
      </w:rPr>
    </w:lvl>
    <w:lvl w:ilvl="2">
      <w:start w:val="1"/>
      <w:numFmt w:val="decimal"/>
      <w:pStyle w:val="Podpodnadpis"/>
      <w:lvlText w:val="%1.%2.%3"/>
      <w:lvlJc w:val="left"/>
      <w:pPr>
        <w:tabs>
          <w:tab w:val="num" w:pos="964"/>
        </w:tabs>
        <w:ind w:left="964" w:hanging="964"/>
      </w:pPr>
      <w:rPr>
        <w:rFonts w:hint="default"/>
      </w:rPr>
    </w:lvl>
    <w:lvl w:ilvl="3">
      <w:start w:val="1"/>
      <w:numFmt w:val="decimal"/>
      <w:lvlText w:val="%1.%2.%3.%4"/>
      <w:lvlJc w:val="left"/>
      <w:pPr>
        <w:tabs>
          <w:tab w:val="num" w:pos="1104"/>
        </w:tabs>
        <w:ind w:left="1104" w:hanging="864"/>
      </w:pPr>
      <w:rPr>
        <w:rFonts w:hint="default"/>
      </w:rPr>
    </w:lvl>
    <w:lvl w:ilvl="4">
      <w:start w:val="1"/>
      <w:numFmt w:val="decimal"/>
      <w:lvlText w:val="%1.%2.%3.%4.%5"/>
      <w:lvlJc w:val="left"/>
      <w:pPr>
        <w:tabs>
          <w:tab w:val="num" w:pos="1248"/>
        </w:tabs>
        <w:ind w:left="1248" w:hanging="1008"/>
      </w:pPr>
      <w:rPr>
        <w:rFonts w:hint="default"/>
      </w:rPr>
    </w:lvl>
    <w:lvl w:ilvl="5">
      <w:start w:val="1"/>
      <w:numFmt w:val="decimal"/>
      <w:lvlText w:val="%1.%2.%3.%4.%5.%6"/>
      <w:lvlJc w:val="left"/>
      <w:pPr>
        <w:tabs>
          <w:tab w:val="num" w:pos="1392"/>
        </w:tabs>
        <w:ind w:left="1392" w:hanging="1152"/>
      </w:pPr>
      <w:rPr>
        <w:rFonts w:hint="default"/>
      </w:rPr>
    </w:lvl>
    <w:lvl w:ilvl="6">
      <w:start w:val="1"/>
      <w:numFmt w:val="decimal"/>
      <w:lvlText w:val="%1.%2.%3.%4.%5.%6.%7"/>
      <w:lvlJc w:val="left"/>
      <w:pPr>
        <w:tabs>
          <w:tab w:val="num" w:pos="1536"/>
        </w:tabs>
        <w:ind w:left="1536" w:hanging="1296"/>
      </w:pPr>
      <w:rPr>
        <w:rFonts w:hint="default"/>
      </w:rPr>
    </w:lvl>
    <w:lvl w:ilvl="7">
      <w:start w:val="1"/>
      <w:numFmt w:val="decimal"/>
      <w:lvlText w:val="%1.%2.%3.%4.%5.%6.%7.%8"/>
      <w:lvlJc w:val="left"/>
      <w:pPr>
        <w:tabs>
          <w:tab w:val="num" w:pos="1680"/>
        </w:tabs>
        <w:ind w:left="1680" w:hanging="1440"/>
      </w:pPr>
      <w:rPr>
        <w:rFonts w:hint="default"/>
      </w:rPr>
    </w:lvl>
    <w:lvl w:ilvl="8">
      <w:start w:val="1"/>
      <w:numFmt w:val="decimal"/>
      <w:lvlText w:val="%1.%2.%3.%4.%5.%6.%7.%8.%9"/>
      <w:lvlJc w:val="left"/>
      <w:pPr>
        <w:tabs>
          <w:tab w:val="num" w:pos="1824"/>
        </w:tabs>
        <w:ind w:left="1824" w:hanging="1584"/>
      </w:pPr>
      <w:rPr>
        <w:rFonts w:hint="default"/>
      </w:rPr>
    </w:lvl>
  </w:abstractNum>
  <w:abstractNum w:abstractNumId="34">
    <w:nsid w:val="7DAC104E"/>
    <w:multiLevelType w:val="hybridMultilevel"/>
    <w:tmpl w:val="EB0852E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14"/>
  </w:num>
  <w:num w:numId="2">
    <w:abstractNumId w:val="21"/>
  </w:num>
  <w:num w:numId="3">
    <w:abstractNumId w:val="3"/>
  </w:num>
  <w:num w:numId="4">
    <w:abstractNumId w:val="0"/>
  </w:num>
  <w:num w:numId="5">
    <w:abstractNumId w:val="33"/>
  </w:num>
  <w:num w:numId="6">
    <w:abstractNumId w:val="25"/>
  </w:num>
  <w:num w:numId="7">
    <w:abstractNumId w:val="7"/>
  </w:num>
  <w:num w:numId="8">
    <w:abstractNumId w:val="2"/>
  </w:num>
  <w:num w:numId="9">
    <w:abstractNumId w:val="1"/>
  </w:num>
  <w:num w:numId="1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0"/>
  </w:num>
  <w:num w:numId="12">
    <w:abstractNumId w:val="32"/>
  </w:num>
  <w:num w:numId="13">
    <w:abstractNumId w:val="34"/>
  </w:num>
  <w:num w:numId="14">
    <w:abstractNumId w:val="17"/>
  </w:num>
  <w:num w:numId="15">
    <w:abstractNumId w:val="23"/>
  </w:num>
  <w:num w:numId="16">
    <w:abstractNumId w:val="28"/>
  </w:num>
  <w:num w:numId="17">
    <w:abstractNumId w:val="16"/>
  </w:num>
  <w:num w:numId="18">
    <w:abstractNumId w:val="9"/>
  </w:num>
  <w:num w:numId="19">
    <w:abstractNumId w:val="8"/>
  </w:num>
  <w:num w:numId="20">
    <w:abstractNumId w:val="20"/>
  </w:num>
  <w:num w:numId="21">
    <w:abstractNumId w:val="24"/>
  </w:num>
  <w:num w:numId="22">
    <w:abstractNumId w:val="13"/>
  </w:num>
  <w:num w:numId="23">
    <w:abstractNumId w:val="12"/>
  </w:num>
  <w:num w:numId="24">
    <w:abstractNumId w:val="26"/>
  </w:num>
  <w:num w:numId="25">
    <w:abstractNumId w:val="31"/>
  </w:num>
  <w:num w:numId="26">
    <w:abstractNumId w:val="4"/>
  </w:num>
  <w:num w:numId="27">
    <w:abstractNumId w:val="22"/>
  </w:num>
  <w:num w:numId="28">
    <w:abstractNumId w:val="5"/>
  </w:num>
  <w:num w:numId="29">
    <w:abstractNumId w:val="29"/>
  </w:num>
  <w:num w:numId="30">
    <w:abstractNumId w:val="10"/>
  </w:num>
  <w:num w:numId="31">
    <w:abstractNumId w:val="19"/>
  </w:num>
  <w:num w:numId="32">
    <w:abstractNumId w:val="15"/>
  </w:num>
  <w:num w:numId="3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7"/>
  </w:num>
  <w:num w:numId="35">
    <w:abstractNumId w:val="18"/>
  </w:num>
  <w:num w:numId="36">
    <w:abstractNumId w:val="11"/>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PA 6th&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C111A7"/>
    <w:rsid w:val="00000295"/>
    <w:rsid w:val="00000363"/>
    <w:rsid w:val="0000052D"/>
    <w:rsid w:val="000006F1"/>
    <w:rsid w:val="00000702"/>
    <w:rsid w:val="00000910"/>
    <w:rsid w:val="00001167"/>
    <w:rsid w:val="0000170D"/>
    <w:rsid w:val="00001CA2"/>
    <w:rsid w:val="00001D56"/>
    <w:rsid w:val="00001DA7"/>
    <w:rsid w:val="0000207A"/>
    <w:rsid w:val="000020F9"/>
    <w:rsid w:val="00002229"/>
    <w:rsid w:val="00002473"/>
    <w:rsid w:val="00002920"/>
    <w:rsid w:val="00002951"/>
    <w:rsid w:val="00002AF1"/>
    <w:rsid w:val="00002B87"/>
    <w:rsid w:val="00002CAF"/>
    <w:rsid w:val="00002D4B"/>
    <w:rsid w:val="00002EB4"/>
    <w:rsid w:val="00002F87"/>
    <w:rsid w:val="00003627"/>
    <w:rsid w:val="0000368C"/>
    <w:rsid w:val="00003831"/>
    <w:rsid w:val="00003CD4"/>
    <w:rsid w:val="00003F61"/>
    <w:rsid w:val="0000416B"/>
    <w:rsid w:val="000043AC"/>
    <w:rsid w:val="0000466B"/>
    <w:rsid w:val="00004768"/>
    <w:rsid w:val="00004781"/>
    <w:rsid w:val="000047E4"/>
    <w:rsid w:val="0000490C"/>
    <w:rsid w:val="00004CD9"/>
    <w:rsid w:val="00004D5A"/>
    <w:rsid w:val="000051B9"/>
    <w:rsid w:val="0000567D"/>
    <w:rsid w:val="00005D87"/>
    <w:rsid w:val="00005E71"/>
    <w:rsid w:val="000062AD"/>
    <w:rsid w:val="000062ED"/>
    <w:rsid w:val="0000650D"/>
    <w:rsid w:val="000065BB"/>
    <w:rsid w:val="00006946"/>
    <w:rsid w:val="00006ABD"/>
    <w:rsid w:val="00006E71"/>
    <w:rsid w:val="00007066"/>
    <w:rsid w:val="0000732F"/>
    <w:rsid w:val="00007EFF"/>
    <w:rsid w:val="0001020E"/>
    <w:rsid w:val="00010302"/>
    <w:rsid w:val="000103E8"/>
    <w:rsid w:val="000104D5"/>
    <w:rsid w:val="000107B1"/>
    <w:rsid w:val="00010C51"/>
    <w:rsid w:val="00010C93"/>
    <w:rsid w:val="00010E2F"/>
    <w:rsid w:val="00010FE1"/>
    <w:rsid w:val="000110C7"/>
    <w:rsid w:val="000112B3"/>
    <w:rsid w:val="00011393"/>
    <w:rsid w:val="00011400"/>
    <w:rsid w:val="000116E3"/>
    <w:rsid w:val="000116F0"/>
    <w:rsid w:val="00011914"/>
    <w:rsid w:val="00011F6E"/>
    <w:rsid w:val="0001207C"/>
    <w:rsid w:val="00012284"/>
    <w:rsid w:val="00012528"/>
    <w:rsid w:val="000125F1"/>
    <w:rsid w:val="0001294D"/>
    <w:rsid w:val="00012B20"/>
    <w:rsid w:val="00013181"/>
    <w:rsid w:val="0001335C"/>
    <w:rsid w:val="0001337F"/>
    <w:rsid w:val="000133C7"/>
    <w:rsid w:val="00013521"/>
    <w:rsid w:val="000135C0"/>
    <w:rsid w:val="00013807"/>
    <w:rsid w:val="00013CBC"/>
    <w:rsid w:val="00013D3B"/>
    <w:rsid w:val="00013DFE"/>
    <w:rsid w:val="00014078"/>
    <w:rsid w:val="000147ED"/>
    <w:rsid w:val="0001563C"/>
    <w:rsid w:val="000157DF"/>
    <w:rsid w:val="000159D8"/>
    <w:rsid w:val="00015A7E"/>
    <w:rsid w:val="00015F11"/>
    <w:rsid w:val="00015F73"/>
    <w:rsid w:val="00015FB5"/>
    <w:rsid w:val="00016380"/>
    <w:rsid w:val="000169D6"/>
    <w:rsid w:val="00016BFD"/>
    <w:rsid w:val="00016DD8"/>
    <w:rsid w:val="00016EF6"/>
    <w:rsid w:val="0001707A"/>
    <w:rsid w:val="00017457"/>
    <w:rsid w:val="00017476"/>
    <w:rsid w:val="00017752"/>
    <w:rsid w:val="000177DD"/>
    <w:rsid w:val="00017C27"/>
    <w:rsid w:val="00017EB3"/>
    <w:rsid w:val="000201AC"/>
    <w:rsid w:val="0002033F"/>
    <w:rsid w:val="0002043F"/>
    <w:rsid w:val="000204E8"/>
    <w:rsid w:val="000206EC"/>
    <w:rsid w:val="00020D84"/>
    <w:rsid w:val="00020EB5"/>
    <w:rsid w:val="0002110D"/>
    <w:rsid w:val="0002136B"/>
    <w:rsid w:val="00021641"/>
    <w:rsid w:val="00021970"/>
    <w:rsid w:val="00021BE9"/>
    <w:rsid w:val="00021CB3"/>
    <w:rsid w:val="00022326"/>
    <w:rsid w:val="00022632"/>
    <w:rsid w:val="00022B59"/>
    <w:rsid w:val="00022C74"/>
    <w:rsid w:val="00022FFD"/>
    <w:rsid w:val="000236D5"/>
    <w:rsid w:val="0002377A"/>
    <w:rsid w:val="0002380D"/>
    <w:rsid w:val="00023A90"/>
    <w:rsid w:val="00023B35"/>
    <w:rsid w:val="00023C61"/>
    <w:rsid w:val="00023E6B"/>
    <w:rsid w:val="00023F87"/>
    <w:rsid w:val="000241B9"/>
    <w:rsid w:val="00024273"/>
    <w:rsid w:val="0002464D"/>
    <w:rsid w:val="00024695"/>
    <w:rsid w:val="000247DE"/>
    <w:rsid w:val="00024ABD"/>
    <w:rsid w:val="00024BCA"/>
    <w:rsid w:val="00024D83"/>
    <w:rsid w:val="00024DA1"/>
    <w:rsid w:val="00024F66"/>
    <w:rsid w:val="00025041"/>
    <w:rsid w:val="0002516F"/>
    <w:rsid w:val="0002540A"/>
    <w:rsid w:val="0002543F"/>
    <w:rsid w:val="00025491"/>
    <w:rsid w:val="00025529"/>
    <w:rsid w:val="000259F7"/>
    <w:rsid w:val="00025A88"/>
    <w:rsid w:val="00025A8F"/>
    <w:rsid w:val="00025C31"/>
    <w:rsid w:val="00025C44"/>
    <w:rsid w:val="00026036"/>
    <w:rsid w:val="000261A2"/>
    <w:rsid w:val="00026AD2"/>
    <w:rsid w:val="00026E34"/>
    <w:rsid w:val="00027029"/>
    <w:rsid w:val="000272EF"/>
    <w:rsid w:val="000275B5"/>
    <w:rsid w:val="000277E7"/>
    <w:rsid w:val="00027BEC"/>
    <w:rsid w:val="00027F54"/>
    <w:rsid w:val="00027FB4"/>
    <w:rsid w:val="00030054"/>
    <w:rsid w:val="00030056"/>
    <w:rsid w:val="000301A8"/>
    <w:rsid w:val="000305F7"/>
    <w:rsid w:val="00030766"/>
    <w:rsid w:val="00030A20"/>
    <w:rsid w:val="00030A39"/>
    <w:rsid w:val="00030A5B"/>
    <w:rsid w:val="00030C1D"/>
    <w:rsid w:val="00030E91"/>
    <w:rsid w:val="00030F7D"/>
    <w:rsid w:val="00030FF4"/>
    <w:rsid w:val="000310ED"/>
    <w:rsid w:val="00031265"/>
    <w:rsid w:val="000312D8"/>
    <w:rsid w:val="0003138A"/>
    <w:rsid w:val="00031B17"/>
    <w:rsid w:val="00031BA5"/>
    <w:rsid w:val="00031C32"/>
    <w:rsid w:val="00031DA4"/>
    <w:rsid w:val="00031DDA"/>
    <w:rsid w:val="00031E4B"/>
    <w:rsid w:val="000321B4"/>
    <w:rsid w:val="0003235C"/>
    <w:rsid w:val="000324A3"/>
    <w:rsid w:val="000324AC"/>
    <w:rsid w:val="000327D8"/>
    <w:rsid w:val="0003280F"/>
    <w:rsid w:val="0003293F"/>
    <w:rsid w:val="00032BAC"/>
    <w:rsid w:val="00032CD2"/>
    <w:rsid w:val="00032F07"/>
    <w:rsid w:val="00033AE8"/>
    <w:rsid w:val="00033C84"/>
    <w:rsid w:val="00033F31"/>
    <w:rsid w:val="00033FFE"/>
    <w:rsid w:val="00034023"/>
    <w:rsid w:val="0003418C"/>
    <w:rsid w:val="0003420C"/>
    <w:rsid w:val="000342E4"/>
    <w:rsid w:val="00034356"/>
    <w:rsid w:val="00034674"/>
    <w:rsid w:val="000348E4"/>
    <w:rsid w:val="000350DB"/>
    <w:rsid w:val="0003541A"/>
    <w:rsid w:val="00035551"/>
    <w:rsid w:val="00035E53"/>
    <w:rsid w:val="0003616A"/>
    <w:rsid w:val="00036210"/>
    <w:rsid w:val="000362AC"/>
    <w:rsid w:val="000362BC"/>
    <w:rsid w:val="000363F5"/>
    <w:rsid w:val="0003699D"/>
    <w:rsid w:val="00036B94"/>
    <w:rsid w:val="00036C14"/>
    <w:rsid w:val="00036EE2"/>
    <w:rsid w:val="000370CA"/>
    <w:rsid w:val="0003745A"/>
    <w:rsid w:val="00037496"/>
    <w:rsid w:val="000376C8"/>
    <w:rsid w:val="00037DC4"/>
    <w:rsid w:val="00037EE8"/>
    <w:rsid w:val="00041387"/>
    <w:rsid w:val="0004172C"/>
    <w:rsid w:val="000428BF"/>
    <w:rsid w:val="00042CAE"/>
    <w:rsid w:val="00042D73"/>
    <w:rsid w:val="000433DF"/>
    <w:rsid w:val="000439BD"/>
    <w:rsid w:val="00043C92"/>
    <w:rsid w:val="00043FC9"/>
    <w:rsid w:val="0004424F"/>
    <w:rsid w:val="000442DA"/>
    <w:rsid w:val="0004432C"/>
    <w:rsid w:val="0004445F"/>
    <w:rsid w:val="000448E7"/>
    <w:rsid w:val="00044A56"/>
    <w:rsid w:val="00044F32"/>
    <w:rsid w:val="000450D1"/>
    <w:rsid w:val="00045115"/>
    <w:rsid w:val="00045168"/>
    <w:rsid w:val="00045663"/>
    <w:rsid w:val="00045A67"/>
    <w:rsid w:val="00045EE9"/>
    <w:rsid w:val="00045FB1"/>
    <w:rsid w:val="000462E3"/>
    <w:rsid w:val="00046510"/>
    <w:rsid w:val="000466CC"/>
    <w:rsid w:val="00047453"/>
    <w:rsid w:val="00047620"/>
    <w:rsid w:val="0004764F"/>
    <w:rsid w:val="00047820"/>
    <w:rsid w:val="00047A85"/>
    <w:rsid w:val="00047A94"/>
    <w:rsid w:val="00047AF3"/>
    <w:rsid w:val="00047B2B"/>
    <w:rsid w:val="00047BAB"/>
    <w:rsid w:val="0005007D"/>
    <w:rsid w:val="0005070C"/>
    <w:rsid w:val="0005070E"/>
    <w:rsid w:val="000507D9"/>
    <w:rsid w:val="00050F0B"/>
    <w:rsid w:val="00050F68"/>
    <w:rsid w:val="0005114E"/>
    <w:rsid w:val="0005153F"/>
    <w:rsid w:val="000516FF"/>
    <w:rsid w:val="00051A53"/>
    <w:rsid w:val="00051BBC"/>
    <w:rsid w:val="00051BE4"/>
    <w:rsid w:val="00051CB5"/>
    <w:rsid w:val="00051EF6"/>
    <w:rsid w:val="00052241"/>
    <w:rsid w:val="0005224C"/>
    <w:rsid w:val="000522C0"/>
    <w:rsid w:val="0005281B"/>
    <w:rsid w:val="00052888"/>
    <w:rsid w:val="00052AD2"/>
    <w:rsid w:val="00052BCB"/>
    <w:rsid w:val="000532AB"/>
    <w:rsid w:val="00053924"/>
    <w:rsid w:val="00053BF2"/>
    <w:rsid w:val="00053F02"/>
    <w:rsid w:val="00054714"/>
    <w:rsid w:val="00054818"/>
    <w:rsid w:val="00054A0E"/>
    <w:rsid w:val="00054A11"/>
    <w:rsid w:val="00054C40"/>
    <w:rsid w:val="00054F77"/>
    <w:rsid w:val="0005518F"/>
    <w:rsid w:val="0005527F"/>
    <w:rsid w:val="000552E6"/>
    <w:rsid w:val="00055600"/>
    <w:rsid w:val="000558C5"/>
    <w:rsid w:val="00055CE4"/>
    <w:rsid w:val="00055D1C"/>
    <w:rsid w:val="000560A3"/>
    <w:rsid w:val="00056103"/>
    <w:rsid w:val="0005611A"/>
    <w:rsid w:val="000563E1"/>
    <w:rsid w:val="0005644A"/>
    <w:rsid w:val="0005699D"/>
    <w:rsid w:val="00056A62"/>
    <w:rsid w:val="00056D46"/>
    <w:rsid w:val="00056D8C"/>
    <w:rsid w:val="00056E7F"/>
    <w:rsid w:val="00057352"/>
    <w:rsid w:val="00057463"/>
    <w:rsid w:val="000574E2"/>
    <w:rsid w:val="000575A5"/>
    <w:rsid w:val="000579F6"/>
    <w:rsid w:val="00057BB6"/>
    <w:rsid w:val="00057E90"/>
    <w:rsid w:val="00057E96"/>
    <w:rsid w:val="00057EAB"/>
    <w:rsid w:val="00057F82"/>
    <w:rsid w:val="0006021D"/>
    <w:rsid w:val="000602D4"/>
    <w:rsid w:val="000607B8"/>
    <w:rsid w:val="00060966"/>
    <w:rsid w:val="00060A1F"/>
    <w:rsid w:val="00060FBC"/>
    <w:rsid w:val="00061281"/>
    <w:rsid w:val="0006143C"/>
    <w:rsid w:val="0006151A"/>
    <w:rsid w:val="00061C41"/>
    <w:rsid w:val="00061D1F"/>
    <w:rsid w:val="00062166"/>
    <w:rsid w:val="0006247D"/>
    <w:rsid w:val="00062698"/>
    <w:rsid w:val="000627B3"/>
    <w:rsid w:val="00062B07"/>
    <w:rsid w:val="00062E51"/>
    <w:rsid w:val="0006317C"/>
    <w:rsid w:val="000633A4"/>
    <w:rsid w:val="000633A7"/>
    <w:rsid w:val="0006394B"/>
    <w:rsid w:val="000639BA"/>
    <w:rsid w:val="00063B69"/>
    <w:rsid w:val="00063FDB"/>
    <w:rsid w:val="000640E6"/>
    <w:rsid w:val="00064387"/>
    <w:rsid w:val="000644F5"/>
    <w:rsid w:val="00064563"/>
    <w:rsid w:val="000645B7"/>
    <w:rsid w:val="00064C09"/>
    <w:rsid w:val="0006504C"/>
    <w:rsid w:val="000651C4"/>
    <w:rsid w:val="00065DBE"/>
    <w:rsid w:val="00066366"/>
    <w:rsid w:val="000666B3"/>
    <w:rsid w:val="0006673C"/>
    <w:rsid w:val="00066887"/>
    <w:rsid w:val="00066901"/>
    <w:rsid w:val="00066EDE"/>
    <w:rsid w:val="00066F6B"/>
    <w:rsid w:val="0006708C"/>
    <w:rsid w:val="0006777C"/>
    <w:rsid w:val="00067839"/>
    <w:rsid w:val="00067841"/>
    <w:rsid w:val="000678C4"/>
    <w:rsid w:val="00067A26"/>
    <w:rsid w:val="00067B7D"/>
    <w:rsid w:val="00067DAE"/>
    <w:rsid w:val="00067DBC"/>
    <w:rsid w:val="00067E76"/>
    <w:rsid w:val="00067EF7"/>
    <w:rsid w:val="00067F5F"/>
    <w:rsid w:val="00070090"/>
    <w:rsid w:val="000701DA"/>
    <w:rsid w:val="00070808"/>
    <w:rsid w:val="00070A9E"/>
    <w:rsid w:val="00071088"/>
    <w:rsid w:val="00071423"/>
    <w:rsid w:val="00071582"/>
    <w:rsid w:val="00071C5A"/>
    <w:rsid w:val="00071CA0"/>
    <w:rsid w:val="00072305"/>
    <w:rsid w:val="000723B3"/>
    <w:rsid w:val="0007248E"/>
    <w:rsid w:val="00072503"/>
    <w:rsid w:val="000725EF"/>
    <w:rsid w:val="00072A4E"/>
    <w:rsid w:val="00072C76"/>
    <w:rsid w:val="00072E2C"/>
    <w:rsid w:val="00072E43"/>
    <w:rsid w:val="00072F36"/>
    <w:rsid w:val="00072F8C"/>
    <w:rsid w:val="00072FD4"/>
    <w:rsid w:val="00073081"/>
    <w:rsid w:val="000730B3"/>
    <w:rsid w:val="0007313E"/>
    <w:rsid w:val="0007334B"/>
    <w:rsid w:val="00073361"/>
    <w:rsid w:val="000733B6"/>
    <w:rsid w:val="000733DD"/>
    <w:rsid w:val="00073A09"/>
    <w:rsid w:val="00073C95"/>
    <w:rsid w:val="00073F3B"/>
    <w:rsid w:val="00074573"/>
    <w:rsid w:val="00074591"/>
    <w:rsid w:val="0007514D"/>
    <w:rsid w:val="000759F0"/>
    <w:rsid w:val="00075AD4"/>
    <w:rsid w:val="00075B60"/>
    <w:rsid w:val="00075E86"/>
    <w:rsid w:val="00075F0B"/>
    <w:rsid w:val="00075F16"/>
    <w:rsid w:val="00076024"/>
    <w:rsid w:val="0007612F"/>
    <w:rsid w:val="000769FD"/>
    <w:rsid w:val="00076D16"/>
    <w:rsid w:val="00076D4F"/>
    <w:rsid w:val="00076DF2"/>
    <w:rsid w:val="0007714C"/>
    <w:rsid w:val="000771D6"/>
    <w:rsid w:val="000772F5"/>
    <w:rsid w:val="00077373"/>
    <w:rsid w:val="000774C5"/>
    <w:rsid w:val="00077598"/>
    <w:rsid w:val="0007783D"/>
    <w:rsid w:val="00077BBE"/>
    <w:rsid w:val="00077FD7"/>
    <w:rsid w:val="00080233"/>
    <w:rsid w:val="000802B5"/>
    <w:rsid w:val="00080426"/>
    <w:rsid w:val="00080524"/>
    <w:rsid w:val="000806C2"/>
    <w:rsid w:val="000809FB"/>
    <w:rsid w:val="00080A56"/>
    <w:rsid w:val="00080AC7"/>
    <w:rsid w:val="00080BA4"/>
    <w:rsid w:val="00080D1D"/>
    <w:rsid w:val="00080F49"/>
    <w:rsid w:val="000812E0"/>
    <w:rsid w:val="000817DA"/>
    <w:rsid w:val="000818E7"/>
    <w:rsid w:val="00081A4F"/>
    <w:rsid w:val="00081ACF"/>
    <w:rsid w:val="00081D1E"/>
    <w:rsid w:val="00081EB0"/>
    <w:rsid w:val="00082032"/>
    <w:rsid w:val="00082197"/>
    <w:rsid w:val="000825A6"/>
    <w:rsid w:val="00082790"/>
    <w:rsid w:val="0008287F"/>
    <w:rsid w:val="00082A47"/>
    <w:rsid w:val="00082CAE"/>
    <w:rsid w:val="000831AA"/>
    <w:rsid w:val="00083217"/>
    <w:rsid w:val="000838A4"/>
    <w:rsid w:val="0008422F"/>
    <w:rsid w:val="00084359"/>
    <w:rsid w:val="0008447E"/>
    <w:rsid w:val="0008467C"/>
    <w:rsid w:val="000846B1"/>
    <w:rsid w:val="000849A5"/>
    <w:rsid w:val="00084DE4"/>
    <w:rsid w:val="00084F02"/>
    <w:rsid w:val="000857F5"/>
    <w:rsid w:val="00085BD9"/>
    <w:rsid w:val="00085C8C"/>
    <w:rsid w:val="00085DC0"/>
    <w:rsid w:val="00085E5B"/>
    <w:rsid w:val="00086282"/>
    <w:rsid w:val="00086387"/>
    <w:rsid w:val="000863C2"/>
    <w:rsid w:val="0008681A"/>
    <w:rsid w:val="000869F1"/>
    <w:rsid w:val="00087044"/>
    <w:rsid w:val="00087294"/>
    <w:rsid w:val="00087B9A"/>
    <w:rsid w:val="00087D88"/>
    <w:rsid w:val="00087DDA"/>
    <w:rsid w:val="00090497"/>
    <w:rsid w:val="00090C6B"/>
    <w:rsid w:val="00090D9A"/>
    <w:rsid w:val="00090EB4"/>
    <w:rsid w:val="00090F0F"/>
    <w:rsid w:val="0009154C"/>
    <w:rsid w:val="0009166D"/>
    <w:rsid w:val="000916BE"/>
    <w:rsid w:val="00091803"/>
    <w:rsid w:val="00091EC8"/>
    <w:rsid w:val="0009229E"/>
    <w:rsid w:val="0009236F"/>
    <w:rsid w:val="00092420"/>
    <w:rsid w:val="000924BB"/>
    <w:rsid w:val="0009259F"/>
    <w:rsid w:val="000925F5"/>
    <w:rsid w:val="000927F2"/>
    <w:rsid w:val="00092813"/>
    <w:rsid w:val="00092A2F"/>
    <w:rsid w:val="00092B63"/>
    <w:rsid w:val="00092BC6"/>
    <w:rsid w:val="00092CA5"/>
    <w:rsid w:val="00092D07"/>
    <w:rsid w:val="00092F62"/>
    <w:rsid w:val="0009360A"/>
    <w:rsid w:val="00093A6D"/>
    <w:rsid w:val="000942B8"/>
    <w:rsid w:val="0009441D"/>
    <w:rsid w:val="00094573"/>
    <w:rsid w:val="00094819"/>
    <w:rsid w:val="00094A31"/>
    <w:rsid w:val="00094D99"/>
    <w:rsid w:val="00094E2C"/>
    <w:rsid w:val="00094E83"/>
    <w:rsid w:val="000951F1"/>
    <w:rsid w:val="0009521A"/>
    <w:rsid w:val="00095872"/>
    <w:rsid w:val="000958E5"/>
    <w:rsid w:val="00095AD0"/>
    <w:rsid w:val="00095AD1"/>
    <w:rsid w:val="00095D87"/>
    <w:rsid w:val="00095FBB"/>
    <w:rsid w:val="0009619E"/>
    <w:rsid w:val="00096953"/>
    <w:rsid w:val="000969AA"/>
    <w:rsid w:val="00096F2E"/>
    <w:rsid w:val="00097420"/>
    <w:rsid w:val="0009742D"/>
    <w:rsid w:val="0009755A"/>
    <w:rsid w:val="0009775F"/>
    <w:rsid w:val="000977EB"/>
    <w:rsid w:val="000979DA"/>
    <w:rsid w:val="00097ABA"/>
    <w:rsid w:val="00097E61"/>
    <w:rsid w:val="000A0179"/>
    <w:rsid w:val="000A0299"/>
    <w:rsid w:val="000A0980"/>
    <w:rsid w:val="000A0A02"/>
    <w:rsid w:val="000A148E"/>
    <w:rsid w:val="000A167B"/>
    <w:rsid w:val="000A17A8"/>
    <w:rsid w:val="000A19C3"/>
    <w:rsid w:val="000A1B96"/>
    <w:rsid w:val="000A1EF1"/>
    <w:rsid w:val="000A20BE"/>
    <w:rsid w:val="000A20D9"/>
    <w:rsid w:val="000A290A"/>
    <w:rsid w:val="000A29DE"/>
    <w:rsid w:val="000A2C03"/>
    <w:rsid w:val="000A2D0E"/>
    <w:rsid w:val="000A2D34"/>
    <w:rsid w:val="000A2E80"/>
    <w:rsid w:val="000A2F3E"/>
    <w:rsid w:val="000A2F7A"/>
    <w:rsid w:val="000A3763"/>
    <w:rsid w:val="000A3A01"/>
    <w:rsid w:val="000A3BDD"/>
    <w:rsid w:val="000A3D62"/>
    <w:rsid w:val="000A3E33"/>
    <w:rsid w:val="000A4020"/>
    <w:rsid w:val="000A4164"/>
    <w:rsid w:val="000A4394"/>
    <w:rsid w:val="000A447A"/>
    <w:rsid w:val="000A4580"/>
    <w:rsid w:val="000A4984"/>
    <w:rsid w:val="000A4A22"/>
    <w:rsid w:val="000A4B53"/>
    <w:rsid w:val="000A4BEA"/>
    <w:rsid w:val="000A4BF8"/>
    <w:rsid w:val="000A4CB1"/>
    <w:rsid w:val="000A4DA6"/>
    <w:rsid w:val="000A5108"/>
    <w:rsid w:val="000A5229"/>
    <w:rsid w:val="000A56D8"/>
    <w:rsid w:val="000A57CB"/>
    <w:rsid w:val="000A5F3C"/>
    <w:rsid w:val="000A66A5"/>
    <w:rsid w:val="000A66DB"/>
    <w:rsid w:val="000A67DC"/>
    <w:rsid w:val="000A69C4"/>
    <w:rsid w:val="000A6B22"/>
    <w:rsid w:val="000A6B31"/>
    <w:rsid w:val="000A6B67"/>
    <w:rsid w:val="000A6D15"/>
    <w:rsid w:val="000A6EA6"/>
    <w:rsid w:val="000A7026"/>
    <w:rsid w:val="000A7048"/>
    <w:rsid w:val="000A7153"/>
    <w:rsid w:val="000A73FA"/>
    <w:rsid w:val="000A7731"/>
    <w:rsid w:val="000A7800"/>
    <w:rsid w:val="000A7819"/>
    <w:rsid w:val="000A7BDC"/>
    <w:rsid w:val="000A7DDB"/>
    <w:rsid w:val="000B0348"/>
    <w:rsid w:val="000B054E"/>
    <w:rsid w:val="000B0697"/>
    <w:rsid w:val="000B08AA"/>
    <w:rsid w:val="000B0941"/>
    <w:rsid w:val="000B0A16"/>
    <w:rsid w:val="000B0B18"/>
    <w:rsid w:val="000B0B52"/>
    <w:rsid w:val="000B0BCF"/>
    <w:rsid w:val="000B0DDA"/>
    <w:rsid w:val="000B1392"/>
    <w:rsid w:val="000B1411"/>
    <w:rsid w:val="000B1808"/>
    <w:rsid w:val="000B1C0E"/>
    <w:rsid w:val="000B1C0F"/>
    <w:rsid w:val="000B221F"/>
    <w:rsid w:val="000B23D6"/>
    <w:rsid w:val="000B24FA"/>
    <w:rsid w:val="000B26FF"/>
    <w:rsid w:val="000B28D7"/>
    <w:rsid w:val="000B2B2B"/>
    <w:rsid w:val="000B2B35"/>
    <w:rsid w:val="000B2CC0"/>
    <w:rsid w:val="000B2E56"/>
    <w:rsid w:val="000B3192"/>
    <w:rsid w:val="000B31EF"/>
    <w:rsid w:val="000B3526"/>
    <w:rsid w:val="000B37EC"/>
    <w:rsid w:val="000B3B40"/>
    <w:rsid w:val="000B3C59"/>
    <w:rsid w:val="000B40BE"/>
    <w:rsid w:val="000B40E8"/>
    <w:rsid w:val="000B42F7"/>
    <w:rsid w:val="000B4427"/>
    <w:rsid w:val="000B4745"/>
    <w:rsid w:val="000B4A32"/>
    <w:rsid w:val="000B4C7D"/>
    <w:rsid w:val="000B4D27"/>
    <w:rsid w:val="000B5B73"/>
    <w:rsid w:val="000B5BE3"/>
    <w:rsid w:val="000B5C60"/>
    <w:rsid w:val="000B5DBE"/>
    <w:rsid w:val="000B5DF2"/>
    <w:rsid w:val="000B60E1"/>
    <w:rsid w:val="000B6171"/>
    <w:rsid w:val="000B698D"/>
    <w:rsid w:val="000B6B27"/>
    <w:rsid w:val="000B70D6"/>
    <w:rsid w:val="000B74B3"/>
    <w:rsid w:val="000B76C8"/>
    <w:rsid w:val="000B7B31"/>
    <w:rsid w:val="000B7E90"/>
    <w:rsid w:val="000C0037"/>
    <w:rsid w:val="000C00A4"/>
    <w:rsid w:val="000C01F7"/>
    <w:rsid w:val="000C04C6"/>
    <w:rsid w:val="000C057E"/>
    <w:rsid w:val="000C076F"/>
    <w:rsid w:val="000C0B05"/>
    <w:rsid w:val="000C0D79"/>
    <w:rsid w:val="000C0E5B"/>
    <w:rsid w:val="000C1206"/>
    <w:rsid w:val="000C14DD"/>
    <w:rsid w:val="000C174A"/>
    <w:rsid w:val="000C18D7"/>
    <w:rsid w:val="000C1977"/>
    <w:rsid w:val="000C1CE3"/>
    <w:rsid w:val="000C20E4"/>
    <w:rsid w:val="000C2316"/>
    <w:rsid w:val="000C2738"/>
    <w:rsid w:val="000C2765"/>
    <w:rsid w:val="000C3169"/>
    <w:rsid w:val="000C31E4"/>
    <w:rsid w:val="000C3415"/>
    <w:rsid w:val="000C34C4"/>
    <w:rsid w:val="000C3618"/>
    <w:rsid w:val="000C38DB"/>
    <w:rsid w:val="000C3AC5"/>
    <w:rsid w:val="000C412C"/>
    <w:rsid w:val="000C447D"/>
    <w:rsid w:val="000C453C"/>
    <w:rsid w:val="000C4A4C"/>
    <w:rsid w:val="000C4B78"/>
    <w:rsid w:val="000C5081"/>
    <w:rsid w:val="000C53B3"/>
    <w:rsid w:val="000C5523"/>
    <w:rsid w:val="000C5719"/>
    <w:rsid w:val="000C599B"/>
    <w:rsid w:val="000C5D0A"/>
    <w:rsid w:val="000C6112"/>
    <w:rsid w:val="000C6220"/>
    <w:rsid w:val="000C630C"/>
    <w:rsid w:val="000C656A"/>
    <w:rsid w:val="000C670D"/>
    <w:rsid w:val="000C6AF7"/>
    <w:rsid w:val="000C6CD6"/>
    <w:rsid w:val="000C6CE8"/>
    <w:rsid w:val="000C7343"/>
    <w:rsid w:val="000C76D9"/>
    <w:rsid w:val="000C79B4"/>
    <w:rsid w:val="000D0205"/>
    <w:rsid w:val="000D0523"/>
    <w:rsid w:val="000D07BC"/>
    <w:rsid w:val="000D08F5"/>
    <w:rsid w:val="000D09D1"/>
    <w:rsid w:val="000D0F63"/>
    <w:rsid w:val="000D11C7"/>
    <w:rsid w:val="000D1412"/>
    <w:rsid w:val="000D19AB"/>
    <w:rsid w:val="000D1C6A"/>
    <w:rsid w:val="000D1F1D"/>
    <w:rsid w:val="000D1F33"/>
    <w:rsid w:val="000D20F0"/>
    <w:rsid w:val="000D2215"/>
    <w:rsid w:val="000D24A1"/>
    <w:rsid w:val="000D267D"/>
    <w:rsid w:val="000D26F4"/>
    <w:rsid w:val="000D2B4E"/>
    <w:rsid w:val="000D2B62"/>
    <w:rsid w:val="000D2D65"/>
    <w:rsid w:val="000D323C"/>
    <w:rsid w:val="000D326B"/>
    <w:rsid w:val="000D356A"/>
    <w:rsid w:val="000D4106"/>
    <w:rsid w:val="000D42B4"/>
    <w:rsid w:val="000D4921"/>
    <w:rsid w:val="000D4981"/>
    <w:rsid w:val="000D4BA4"/>
    <w:rsid w:val="000D4FB9"/>
    <w:rsid w:val="000D4FF3"/>
    <w:rsid w:val="000D522F"/>
    <w:rsid w:val="000D57B8"/>
    <w:rsid w:val="000D5F0C"/>
    <w:rsid w:val="000D605F"/>
    <w:rsid w:val="000D6567"/>
    <w:rsid w:val="000D67EA"/>
    <w:rsid w:val="000D691E"/>
    <w:rsid w:val="000D6AFC"/>
    <w:rsid w:val="000D6D51"/>
    <w:rsid w:val="000D6EB7"/>
    <w:rsid w:val="000D7259"/>
    <w:rsid w:val="000D727C"/>
    <w:rsid w:val="000D7285"/>
    <w:rsid w:val="000D7463"/>
    <w:rsid w:val="000D750F"/>
    <w:rsid w:val="000D75C3"/>
    <w:rsid w:val="000D7675"/>
    <w:rsid w:val="000D77AF"/>
    <w:rsid w:val="000D7859"/>
    <w:rsid w:val="000D78F3"/>
    <w:rsid w:val="000D7A2E"/>
    <w:rsid w:val="000D7C6A"/>
    <w:rsid w:val="000E013A"/>
    <w:rsid w:val="000E044B"/>
    <w:rsid w:val="000E0B12"/>
    <w:rsid w:val="000E0D6A"/>
    <w:rsid w:val="000E111E"/>
    <w:rsid w:val="000E12AC"/>
    <w:rsid w:val="000E153C"/>
    <w:rsid w:val="000E184D"/>
    <w:rsid w:val="000E1961"/>
    <w:rsid w:val="000E1B61"/>
    <w:rsid w:val="000E1D6D"/>
    <w:rsid w:val="000E1F54"/>
    <w:rsid w:val="000E1F5B"/>
    <w:rsid w:val="000E2950"/>
    <w:rsid w:val="000E2B36"/>
    <w:rsid w:val="000E2B59"/>
    <w:rsid w:val="000E2C33"/>
    <w:rsid w:val="000E320A"/>
    <w:rsid w:val="000E35FA"/>
    <w:rsid w:val="000E3600"/>
    <w:rsid w:val="000E37B3"/>
    <w:rsid w:val="000E39A2"/>
    <w:rsid w:val="000E3AFA"/>
    <w:rsid w:val="000E3B8A"/>
    <w:rsid w:val="000E3C50"/>
    <w:rsid w:val="000E3D1C"/>
    <w:rsid w:val="000E3FC5"/>
    <w:rsid w:val="000E409B"/>
    <w:rsid w:val="000E40B9"/>
    <w:rsid w:val="000E4316"/>
    <w:rsid w:val="000E485F"/>
    <w:rsid w:val="000E4EB8"/>
    <w:rsid w:val="000E5145"/>
    <w:rsid w:val="000E516E"/>
    <w:rsid w:val="000E5191"/>
    <w:rsid w:val="000E53CA"/>
    <w:rsid w:val="000E568F"/>
    <w:rsid w:val="000E56E0"/>
    <w:rsid w:val="000E5828"/>
    <w:rsid w:val="000E5EAF"/>
    <w:rsid w:val="000E607E"/>
    <w:rsid w:val="000E60C3"/>
    <w:rsid w:val="000E6432"/>
    <w:rsid w:val="000E6465"/>
    <w:rsid w:val="000E662C"/>
    <w:rsid w:val="000E6A2A"/>
    <w:rsid w:val="000E6CEC"/>
    <w:rsid w:val="000E6F4D"/>
    <w:rsid w:val="000E6FFE"/>
    <w:rsid w:val="000E7360"/>
    <w:rsid w:val="000E742D"/>
    <w:rsid w:val="000E7435"/>
    <w:rsid w:val="000E760E"/>
    <w:rsid w:val="000E766D"/>
    <w:rsid w:val="000E7697"/>
    <w:rsid w:val="000E783A"/>
    <w:rsid w:val="000E791A"/>
    <w:rsid w:val="000E79E8"/>
    <w:rsid w:val="000E7F68"/>
    <w:rsid w:val="000F0204"/>
    <w:rsid w:val="000F05C7"/>
    <w:rsid w:val="000F068D"/>
    <w:rsid w:val="000F079F"/>
    <w:rsid w:val="000F0996"/>
    <w:rsid w:val="000F0CEB"/>
    <w:rsid w:val="000F0D51"/>
    <w:rsid w:val="000F1004"/>
    <w:rsid w:val="000F123B"/>
    <w:rsid w:val="000F1334"/>
    <w:rsid w:val="000F136A"/>
    <w:rsid w:val="000F164D"/>
    <w:rsid w:val="000F1682"/>
    <w:rsid w:val="000F195A"/>
    <w:rsid w:val="000F1C25"/>
    <w:rsid w:val="000F1C6D"/>
    <w:rsid w:val="000F205D"/>
    <w:rsid w:val="000F2363"/>
    <w:rsid w:val="000F23EB"/>
    <w:rsid w:val="000F270A"/>
    <w:rsid w:val="000F28B8"/>
    <w:rsid w:val="000F2AC9"/>
    <w:rsid w:val="000F2D4F"/>
    <w:rsid w:val="000F2E2A"/>
    <w:rsid w:val="000F2FE8"/>
    <w:rsid w:val="000F319B"/>
    <w:rsid w:val="000F34B8"/>
    <w:rsid w:val="000F360E"/>
    <w:rsid w:val="000F3688"/>
    <w:rsid w:val="000F3C21"/>
    <w:rsid w:val="000F3E04"/>
    <w:rsid w:val="000F3F8A"/>
    <w:rsid w:val="000F452F"/>
    <w:rsid w:val="000F4884"/>
    <w:rsid w:val="000F4922"/>
    <w:rsid w:val="000F4A6C"/>
    <w:rsid w:val="000F4BE6"/>
    <w:rsid w:val="000F4DB1"/>
    <w:rsid w:val="000F4EDB"/>
    <w:rsid w:val="000F4F97"/>
    <w:rsid w:val="000F553E"/>
    <w:rsid w:val="000F55DA"/>
    <w:rsid w:val="000F5728"/>
    <w:rsid w:val="000F5E66"/>
    <w:rsid w:val="000F601F"/>
    <w:rsid w:val="000F62B7"/>
    <w:rsid w:val="000F6412"/>
    <w:rsid w:val="000F65CB"/>
    <w:rsid w:val="000F6768"/>
    <w:rsid w:val="000F6D09"/>
    <w:rsid w:val="000F6D26"/>
    <w:rsid w:val="000F6E44"/>
    <w:rsid w:val="000F7369"/>
    <w:rsid w:val="000F751D"/>
    <w:rsid w:val="000F7682"/>
    <w:rsid w:val="000F778B"/>
    <w:rsid w:val="000F7792"/>
    <w:rsid w:val="000F78E6"/>
    <w:rsid w:val="000F78E8"/>
    <w:rsid w:val="000F7974"/>
    <w:rsid w:val="000F7A26"/>
    <w:rsid w:val="000F7FAD"/>
    <w:rsid w:val="00100024"/>
    <w:rsid w:val="0010056D"/>
    <w:rsid w:val="00100817"/>
    <w:rsid w:val="00100887"/>
    <w:rsid w:val="00100B35"/>
    <w:rsid w:val="00100E38"/>
    <w:rsid w:val="00101143"/>
    <w:rsid w:val="00101507"/>
    <w:rsid w:val="0010194F"/>
    <w:rsid w:val="00101DE0"/>
    <w:rsid w:val="00101EAB"/>
    <w:rsid w:val="00101F06"/>
    <w:rsid w:val="001022D2"/>
    <w:rsid w:val="0010250A"/>
    <w:rsid w:val="00102684"/>
    <w:rsid w:val="00102811"/>
    <w:rsid w:val="00102A41"/>
    <w:rsid w:val="0010344E"/>
    <w:rsid w:val="001037E3"/>
    <w:rsid w:val="001038A3"/>
    <w:rsid w:val="0010390E"/>
    <w:rsid w:val="00103BFF"/>
    <w:rsid w:val="00104025"/>
    <w:rsid w:val="00104718"/>
    <w:rsid w:val="0010497B"/>
    <w:rsid w:val="0010502F"/>
    <w:rsid w:val="0010503C"/>
    <w:rsid w:val="0010556B"/>
    <w:rsid w:val="001059FC"/>
    <w:rsid w:val="00105C91"/>
    <w:rsid w:val="00105F8B"/>
    <w:rsid w:val="0010608F"/>
    <w:rsid w:val="00106165"/>
    <w:rsid w:val="00106209"/>
    <w:rsid w:val="00106348"/>
    <w:rsid w:val="001063CA"/>
    <w:rsid w:val="00106C99"/>
    <w:rsid w:val="00106CF4"/>
    <w:rsid w:val="00107268"/>
    <w:rsid w:val="0010734E"/>
    <w:rsid w:val="00107595"/>
    <w:rsid w:val="0010768E"/>
    <w:rsid w:val="00107B43"/>
    <w:rsid w:val="00107E92"/>
    <w:rsid w:val="00107F36"/>
    <w:rsid w:val="00110426"/>
    <w:rsid w:val="00110559"/>
    <w:rsid w:val="0011076B"/>
    <w:rsid w:val="001108A8"/>
    <w:rsid w:val="00110985"/>
    <w:rsid w:val="00110BED"/>
    <w:rsid w:val="00110DFB"/>
    <w:rsid w:val="00110F85"/>
    <w:rsid w:val="00110F93"/>
    <w:rsid w:val="0011138F"/>
    <w:rsid w:val="0011139E"/>
    <w:rsid w:val="001114FA"/>
    <w:rsid w:val="001116FA"/>
    <w:rsid w:val="00111F2F"/>
    <w:rsid w:val="00112168"/>
    <w:rsid w:val="001124E1"/>
    <w:rsid w:val="0011268B"/>
    <w:rsid w:val="00112843"/>
    <w:rsid w:val="001128DB"/>
    <w:rsid w:val="001129F9"/>
    <w:rsid w:val="00112DAF"/>
    <w:rsid w:val="001134D2"/>
    <w:rsid w:val="00113597"/>
    <w:rsid w:val="0011381C"/>
    <w:rsid w:val="00113A2D"/>
    <w:rsid w:val="00113B1E"/>
    <w:rsid w:val="00113D7E"/>
    <w:rsid w:val="00113D88"/>
    <w:rsid w:val="00113D9C"/>
    <w:rsid w:val="0011419A"/>
    <w:rsid w:val="001142BC"/>
    <w:rsid w:val="00114602"/>
    <w:rsid w:val="0011478C"/>
    <w:rsid w:val="00114AB0"/>
    <w:rsid w:val="00114C22"/>
    <w:rsid w:val="00114E91"/>
    <w:rsid w:val="001151B1"/>
    <w:rsid w:val="00115361"/>
    <w:rsid w:val="00115971"/>
    <w:rsid w:val="00115D17"/>
    <w:rsid w:val="00115D45"/>
    <w:rsid w:val="00115E3A"/>
    <w:rsid w:val="00116036"/>
    <w:rsid w:val="0011644D"/>
    <w:rsid w:val="00116BC8"/>
    <w:rsid w:val="00116C87"/>
    <w:rsid w:val="0011715A"/>
    <w:rsid w:val="001178D6"/>
    <w:rsid w:val="00117921"/>
    <w:rsid w:val="00117AA7"/>
    <w:rsid w:val="00117DD5"/>
    <w:rsid w:val="001201B9"/>
    <w:rsid w:val="001202DF"/>
    <w:rsid w:val="00120D8A"/>
    <w:rsid w:val="001212CA"/>
    <w:rsid w:val="0012146A"/>
    <w:rsid w:val="001218F3"/>
    <w:rsid w:val="00121CA4"/>
    <w:rsid w:val="00121F79"/>
    <w:rsid w:val="00121FB8"/>
    <w:rsid w:val="001220DA"/>
    <w:rsid w:val="00122151"/>
    <w:rsid w:val="00122492"/>
    <w:rsid w:val="00122C92"/>
    <w:rsid w:val="00122F07"/>
    <w:rsid w:val="00123062"/>
    <w:rsid w:val="0012307F"/>
    <w:rsid w:val="00123185"/>
    <w:rsid w:val="0012354E"/>
    <w:rsid w:val="00123C2B"/>
    <w:rsid w:val="00123E80"/>
    <w:rsid w:val="00123F22"/>
    <w:rsid w:val="00123F8B"/>
    <w:rsid w:val="00123FC4"/>
    <w:rsid w:val="00124008"/>
    <w:rsid w:val="001240FA"/>
    <w:rsid w:val="001242CE"/>
    <w:rsid w:val="001243BB"/>
    <w:rsid w:val="001244B3"/>
    <w:rsid w:val="00124538"/>
    <w:rsid w:val="001245B7"/>
    <w:rsid w:val="00124677"/>
    <w:rsid w:val="0012479F"/>
    <w:rsid w:val="001248E8"/>
    <w:rsid w:val="001249E8"/>
    <w:rsid w:val="00124CB2"/>
    <w:rsid w:val="00125401"/>
    <w:rsid w:val="00125624"/>
    <w:rsid w:val="00125721"/>
    <w:rsid w:val="00126373"/>
    <w:rsid w:val="0012644B"/>
    <w:rsid w:val="0012647E"/>
    <w:rsid w:val="0012667B"/>
    <w:rsid w:val="00126D13"/>
    <w:rsid w:val="00126EE2"/>
    <w:rsid w:val="00126F34"/>
    <w:rsid w:val="0012716C"/>
    <w:rsid w:val="001271F7"/>
    <w:rsid w:val="00127215"/>
    <w:rsid w:val="00127F5C"/>
    <w:rsid w:val="001303F1"/>
    <w:rsid w:val="001304A7"/>
    <w:rsid w:val="00130878"/>
    <w:rsid w:val="00130983"/>
    <w:rsid w:val="001309D3"/>
    <w:rsid w:val="00130A0D"/>
    <w:rsid w:val="00130AD6"/>
    <w:rsid w:val="00130B85"/>
    <w:rsid w:val="00130C5F"/>
    <w:rsid w:val="00131378"/>
    <w:rsid w:val="001318DE"/>
    <w:rsid w:val="0013190B"/>
    <w:rsid w:val="00131927"/>
    <w:rsid w:val="00131B1D"/>
    <w:rsid w:val="00131F9F"/>
    <w:rsid w:val="0013239D"/>
    <w:rsid w:val="0013240D"/>
    <w:rsid w:val="0013250E"/>
    <w:rsid w:val="00132593"/>
    <w:rsid w:val="001327C4"/>
    <w:rsid w:val="00132905"/>
    <w:rsid w:val="00132959"/>
    <w:rsid w:val="00132A4A"/>
    <w:rsid w:val="00132C56"/>
    <w:rsid w:val="00133111"/>
    <w:rsid w:val="00133142"/>
    <w:rsid w:val="001331BD"/>
    <w:rsid w:val="00133527"/>
    <w:rsid w:val="00133607"/>
    <w:rsid w:val="001336D3"/>
    <w:rsid w:val="00133831"/>
    <w:rsid w:val="001338DA"/>
    <w:rsid w:val="0013390E"/>
    <w:rsid w:val="00133C70"/>
    <w:rsid w:val="0013441A"/>
    <w:rsid w:val="00134F7A"/>
    <w:rsid w:val="0013530C"/>
    <w:rsid w:val="0013559B"/>
    <w:rsid w:val="00135B00"/>
    <w:rsid w:val="00135B9C"/>
    <w:rsid w:val="00135D3E"/>
    <w:rsid w:val="001363A0"/>
    <w:rsid w:val="00136575"/>
    <w:rsid w:val="0013685E"/>
    <w:rsid w:val="00136891"/>
    <w:rsid w:val="00136B4A"/>
    <w:rsid w:val="00136C84"/>
    <w:rsid w:val="00137451"/>
    <w:rsid w:val="00137643"/>
    <w:rsid w:val="001377CC"/>
    <w:rsid w:val="00137934"/>
    <w:rsid w:val="00137990"/>
    <w:rsid w:val="00137A82"/>
    <w:rsid w:val="00137ACA"/>
    <w:rsid w:val="00137C93"/>
    <w:rsid w:val="00137CC8"/>
    <w:rsid w:val="00137D69"/>
    <w:rsid w:val="0014010C"/>
    <w:rsid w:val="0014043A"/>
    <w:rsid w:val="001404AC"/>
    <w:rsid w:val="00140894"/>
    <w:rsid w:val="00141070"/>
    <w:rsid w:val="0014153C"/>
    <w:rsid w:val="0014161C"/>
    <w:rsid w:val="001416C2"/>
    <w:rsid w:val="00141907"/>
    <w:rsid w:val="00141BB0"/>
    <w:rsid w:val="00141F0C"/>
    <w:rsid w:val="00142018"/>
    <w:rsid w:val="00142533"/>
    <w:rsid w:val="0014274A"/>
    <w:rsid w:val="00142AB7"/>
    <w:rsid w:val="00142CBD"/>
    <w:rsid w:val="00142F25"/>
    <w:rsid w:val="001430F5"/>
    <w:rsid w:val="001435CA"/>
    <w:rsid w:val="00143F85"/>
    <w:rsid w:val="0014446E"/>
    <w:rsid w:val="00144A36"/>
    <w:rsid w:val="00144D97"/>
    <w:rsid w:val="0014505B"/>
    <w:rsid w:val="00145434"/>
    <w:rsid w:val="001454E1"/>
    <w:rsid w:val="00145613"/>
    <w:rsid w:val="00145839"/>
    <w:rsid w:val="00145888"/>
    <w:rsid w:val="00145905"/>
    <w:rsid w:val="001459FD"/>
    <w:rsid w:val="00145C36"/>
    <w:rsid w:val="00145C3A"/>
    <w:rsid w:val="00145D69"/>
    <w:rsid w:val="00146438"/>
    <w:rsid w:val="00146444"/>
    <w:rsid w:val="001466CE"/>
    <w:rsid w:val="00146799"/>
    <w:rsid w:val="001467FC"/>
    <w:rsid w:val="001468D3"/>
    <w:rsid w:val="00146B66"/>
    <w:rsid w:val="00146E18"/>
    <w:rsid w:val="00146FC9"/>
    <w:rsid w:val="001471BF"/>
    <w:rsid w:val="0014752C"/>
    <w:rsid w:val="001475A2"/>
    <w:rsid w:val="0014761C"/>
    <w:rsid w:val="0014782D"/>
    <w:rsid w:val="00147E48"/>
    <w:rsid w:val="00150161"/>
    <w:rsid w:val="001505EB"/>
    <w:rsid w:val="00150799"/>
    <w:rsid w:val="00150928"/>
    <w:rsid w:val="00150DDB"/>
    <w:rsid w:val="00150F81"/>
    <w:rsid w:val="00151658"/>
    <w:rsid w:val="001516E0"/>
    <w:rsid w:val="00151831"/>
    <w:rsid w:val="00151BD7"/>
    <w:rsid w:val="00151C35"/>
    <w:rsid w:val="00151DAA"/>
    <w:rsid w:val="00151ECB"/>
    <w:rsid w:val="00151FF6"/>
    <w:rsid w:val="00152248"/>
    <w:rsid w:val="001528C3"/>
    <w:rsid w:val="00152B98"/>
    <w:rsid w:val="00152D2A"/>
    <w:rsid w:val="00152F57"/>
    <w:rsid w:val="001533A4"/>
    <w:rsid w:val="00153473"/>
    <w:rsid w:val="001535A8"/>
    <w:rsid w:val="00153809"/>
    <w:rsid w:val="00153A79"/>
    <w:rsid w:val="00153FEA"/>
    <w:rsid w:val="0015419A"/>
    <w:rsid w:val="00154542"/>
    <w:rsid w:val="001545F1"/>
    <w:rsid w:val="0015478F"/>
    <w:rsid w:val="00154919"/>
    <w:rsid w:val="00154B74"/>
    <w:rsid w:val="00154E33"/>
    <w:rsid w:val="0015582A"/>
    <w:rsid w:val="0015590C"/>
    <w:rsid w:val="00155B3F"/>
    <w:rsid w:val="00155DB5"/>
    <w:rsid w:val="00155DDE"/>
    <w:rsid w:val="00155E5C"/>
    <w:rsid w:val="00156BEF"/>
    <w:rsid w:val="00156C2E"/>
    <w:rsid w:val="0015707C"/>
    <w:rsid w:val="0015711E"/>
    <w:rsid w:val="0015719D"/>
    <w:rsid w:val="001571EF"/>
    <w:rsid w:val="001573EC"/>
    <w:rsid w:val="0015744A"/>
    <w:rsid w:val="001575F3"/>
    <w:rsid w:val="0015765B"/>
    <w:rsid w:val="001578EF"/>
    <w:rsid w:val="0016004E"/>
    <w:rsid w:val="0016037E"/>
    <w:rsid w:val="001605FF"/>
    <w:rsid w:val="00160BB0"/>
    <w:rsid w:val="00160CD6"/>
    <w:rsid w:val="00160F11"/>
    <w:rsid w:val="0016148E"/>
    <w:rsid w:val="00161591"/>
    <w:rsid w:val="0016183A"/>
    <w:rsid w:val="00161974"/>
    <w:rsid w:val="00161C3B"/>
    <w:rsid w:val="00161D89"/>
    <w:rsid w:val="001621BC"/>
    <w:rsid w:val="001623D4"/>
    <w:rsid w:val="00162A2E"/>
    <w:rsid w:val="00162ACF"/>
    <w:rsid w:val="00162F12"/>
    <w:rsid w:val="001630E6"/>
    <w:rsid w:val="001630EF"/>
    <w:rsid w:val="00163331"/>
    <w:rsid w:val="001638E8"/>
    <w:rsid w:val="00163934"/>
    <w:rsid w:val="001639FA"/>
    <w:rsid w:val="00163DCF"/>
    <w:rsid w:val="00164286"/>
    <w:rsid w:val="001646F0"/>
    <w:rsid w:val="001648E5"/>
    <w:rsid w:val="00164AEB"/>
    <w:rsid w:val="00164CF4"/>
    <w:rsid w:val="001654A8"/>
    <w:rsid w:val="00165532"/>
    <w:rsid w:val="0016557C"/>
    <w:rsid w:val="00165687"/>
    <w:rsid w:val="00165B46"/>
    <w:rsid w:val="00165BBC"/>
    <w:rsid w:val="00165C6A"/>
    <w:rsid w:val="001662AF"/>
    <w:rsid w:val="00166393"/>
    <w:rsid w:val="0016660D"/>
    <w:rsid w:val="0016669E"/>
    <w:rsid w:val="00166A15"/>
    <w:rsid w:val="00166AA2"/>
    <w:rsid w:val="00166C6C"/>
    <w:rsid w:val="00166FBC"/>
    <w:rsid w:val="00167168"/>
    <w:rsid w:val="0016727A"/>
    <w:rsid w:val="001672DF"/>
    <w:rsid w:val="00167743"/>
    <w:rsid w:val="001679A8"/>
    <w:rsid w:val="00167BDC"/>
    <w:rsid w:val="00170025"/>
    <w:rsid w:val="0017013A"/>
    <w:rsid w:val="001702CE"/>
    <w:rsid w:val="0017045C"/>
    <w:rsid w:val="00170A38"/>
    <w:rsid w:val="00170CE2"/>
    <w:rsid w:val="00171029"/>
    <w:rsid w:val="001712EB"/>
    <w:rsid w:val="00171829"/>
    <w:rsid w:val="00172185"/>
    <w:rsid w:val="0017221E"/>
    <w:rsid w:val="00172424"/>
    <w:rsid w:val="001726FC"/>
    <w:rsid w:val="00172E06"/>
    <w:rsid w:val="00172EFC"/>
    <w:rsid w:val="001730CD"/>
    <w:rsid w:val="001733A6"/>
    <w:rsid w:val="00173959"/>
    <w:rsid w:val="00174473"/>
    <w:rsid w:val="00174527"/>
    <w:rsid w:val="00174618"/>
    <w:rsid w:val="00174890"/>
    <w:rsid w:val="001748A3"/>
    <w:rsid w:val="00174923"/>
    <w:rsid w:val="00174AD7"/>
    <w:rsid w:val="00174AFF"/>
    <w:rsid w:val="00174D4B"/>
    <w:rsid w:val="001751E4"/>
    <w:rsid w:val="001754CD"/>
    <w:rsid w:val="001755DA"/>
    <w:rsid w:val="00175696"/>
    <w:rsid w:val="00175867"/>
    <w:rsid w:val="00175D47"/>
    <w:rsid w:val="001762E5"/>
    <w:rsid w:val="0017632E"/>
    <w:rsid w:val="001763DC"/>
    <w:rsid w:val="0017645D"/>
    <w:rsid w:val="001768EB"/>
    <w:rsid w:val="00176B81"/>
    <w:rsid w:val="00176CA3"/>
    <w:rsid w:val="00176D22"/>
    <w:rsid w:val="00176F8F"/>
    <w:rsid w:val="0017738C"/>
    <w:rsid w:val="001775FB"/>
    <w:rsid w:val="001777B6"/>
    <w:rsid w:val="00177A00"/>
    <w:rsid w:val="00177A53"/>
    <w:rsid w:val="0018004F"/>
    <w:rsid w:val="00180099"/>
    <w:rsid w:val="001800F3"/>
    <w:rsid w:val="001805AD"/>
    <w:rsid w:val="001805F2"/>
    <w:rsid w:val="001806A6"/>
    <w:rsid w:val="001809E9"/>
    <w:rsid w:val="00180B2B"/>
    <w:rsid w:val="00180C4F"/>
    <w:rsid w:val="00180DDB"/>
    <w:rsid w:val="0018118C"/>
    <w:rsid w:val="001812BE"/>
    <w:rsid w:val="0018140E"/>
    <w:rsid w:val="001818AE"/>
    <w:rsid w:val="00181D01"/>
    <w:rsid w:val="001820AB"/>
    <w:rsid w:val="0018285A"/>
    <w:rsid w:val="001829A4"/>
    <w:rsid w:val="00182E57"/>
    <w:rsid w:val="00182F35"/>
    <w:rsid w:val="00183209"/>
    <w:rsid w:val="001833E9"/>
    <w:rsid w:val="0018345D"/>
    <w:rsid w:val="00183631"/>
    <w:rsid w:val="00183652"/>
    <w:rsid w:val="001839BC"/>
    <w:rsid w:val="00183A5F"/>
    <w:rsid w:val="00183C7B"/>
    <w:rsid w:val="001841AB"/>
    <w:rsid w:val="001843D4"/>
    <w:rsid w:val="0018483D"/>
    <w:rsid w:val="001848B8"/>
    <w:rsid w:val="00184992"/>
    <w:rsid w:val="00184AF5"/>
    <w:rsid w:val="00184C43"/>
    <w:rsid w:val="00184CCB"/>
    <w:rsid w:val="00185058"/>
    <w:rsid w:val="001854B4"/>
    <w:rsid w:val="0018550B"/>
    <w:rsid w:val="001859B9"/>
    <w:rsid w:val="00185AA3"/>
    <w:rsid w:val="00185E27"/>
    <w:rsid w:val="00185F2E"/>
    <w:rsid w:val="00185FDF"/>
    <w:rsid w:val="0018601B"/>
    <w:rsid w:val="001865AE"/>
    <w:rsid w:val="00186EFE"/>
    <w:rsid w:val="00186FAC"/>
    <w:rsid w:val="0018721F"/>
    <w:rsid w:val="0018730F"/>
    <w:rsid w:val="0018768E"/>
    <w:rsid w:val="00187749"/>
    <w:rsid w:val="001878F4"/>
    <w:rsid w:val="00187ABF"/>
    <w:rsid w:val="00190048"/>
    <w:rsid w:val="001901CD"/>
    <w:rsid w:val="001905C8"/>
    <w:rsid w:val="001907A6"/>
    <w:rsid w:val="001908D3"/>
    <w:rsid w:val="001908DD"/>
    <w:rsid w:val="00190B0D"/>
    <w:rsid w:val="00190C84"/>
    <w:rsid w:val="00191135"/>
    <w:rsid w:val="00191647"/>
    <w:rsid w:val="00191841"/>
    <w:rsid w:val="001918DF"/>
    <w:rsid w:val="00191AA6"/>
    <w:rsid w:val="00191B18"/>
    <w:rsid w:val="00191DDB"/>
    <w:rsid w:val="00192318"/>
    <w:rsid w:val="001923DF"/>
    <w:rsid w:val="00192594"/>
    <w:rsid w:val="001926E4"/>
    <w:rsid w:val="00192939"/>
    <w:rsid w:val="00192B9B"/>
    <w:rsid w:val="00192D21"/>
    <w:rsid w:val="00193313"/>
    <w:rsid w:val="00193346"/>
    <w:rsid w:val="00193929"/>
    <w:rsid w:val="00193A57"/>
    <w:rsid w:val="00193C15"/>
    <w:rsid w:val="00193D0A"/>
    <w:rsid w:val="00193D7B"/>
    <w:rsid w:val="00193E6C"/>
    <w:rsid w:val="00194048"/>
    <w:rsid w:val="0019435C"/>
    <w:rsid w:val="00194470"/>
    <w:rsid w:val="0019448D"/>
    <w:rsid w:val="00194589"/>
    <w:rsid w:val="001947A4"/>
    <w:rsid w:val="001947C5"/>
    <w:rsid w:val="00194C13"/>
    <w:rsid w:val="00194CFA"/>
    <w:rsid w:val="00194FD9"/>
    <w:rsid w:val="00195097"/>
    <w:rsid w:val="0019524C"/>
    <w:rsid w:val="0019555A"/>
    <w:rsid w:val="00195575"/>
    <w:rsid w:val="00195935"/>
    <w:rsid w:val="001959F0"/>
    <w:rsid w:val="00195AA2"/>
    <w:rsid w:val="00195B22"/>
    <w:rsid w:val="00195D5C"/>
    <w:rsid w:val="00195FF5"/>
    <w:rsid w:val="00196358"/>
    <w:rsid w:val="001963DE"/>
    <w:rsid w:val="0019668B"/>
    <w:rsid w:val="0019679D"/>
    <w:rsid w:val="001967E4"/>
    <w:rsid w:val="00196878"/>
    <w:rsid w:val="00196C90"/>
    <w:rsid w:val="00196CA0"/>
    <w:rsid w:val="00197095"/>
    <w:rsid w:val="00197474"/>
    <w:rsid w:val="0019754C"/>
    <w:rsid w:val="00197589"/>
    <w:rsid w:val="00197810"/>
    <w:rsid w:val="001978FA"/>
    <w:rsid w:val="00197ACD"/>
    <w:rsid w:val="00197BC1"/>
    <w:rsid w:val="00197E10"/>
    <w:rsid w:val="00197EF2"/>
    <w:rsid w:val="001A019A"/>
    <w:rsid w:val="001A0365"/>
    <w:rsid w:val="001A0595"/>
    <w:rsid w:val="001A16E9"/>
    <w:rsid w:val="001A1728"/>
    <w:rsid w:val="001A1B71"/>
    <w:rsid w:val="001A1B72"/>
    <w:rsid w:val="001A1EED"/>
    <w:rsid w:val="001A1FAC"/>
    <w:rsid w:val="001A2760"/>
    <w:rsid w:val="001A28F7"/>
    <w:rsid w:val="001A2B75"/>
    <w:rsid w:val="001A2F3C"/>
    <w:rsid w:val="001A32CF"/>
    <w:rsid w:val="001A3400"/>
    <w:rsid w:val="001A378B"/>
    <w:rsid w:val="001A3BE4"/>
    <w:rsid w:val="001A4000"/>
    <w:rsid w:val="001A4241"/>
    <w:rsid w:val="001A4A35"/>
    <w:rsid w:val="001A4C36"/>
    <w:rsid w:val="001A510A"/>
    <w:rsid w:val="001A5383"/>
    <w:rsid w:val="001A55DE"/>
    <w:rsid w:val="001A5606"/>
    <w:rsid w:val="001A59F9"/>
    <w:rsid w:val="001A5A43"/>
    <w:rsid w:val="001A61B6"/>
    <w:rsid w:val="001A61CC"/>
    <w:rsid w:val="001A62B9"/>
    <w:rsid w:val="001A6371"/>
    <w:rsid w:val="001A63C1"/>
    <w:rsid w:val="001A65C7"/>
    <w:rsid w:val="001A666D"/>
    <w:rsid w:val="001A66DF"/>
    <w:rsid w:val="001A684F"/>
    <w:rsid w:val="001A6A1D"/>
    <w:rsid w:val="001A6A1F"/>
    <w:rsid w:val="001A6B59"/>
    <w:rsid w:val="001A6CC5"/>
    <w:rsid w:val="001A6FD4"/>
    <w:rsid w:val="001A799C"/>
    <w:rsid w:val="001A79BB"/>
    <w:rsid w:val="001A7EB3"/>
    <w:rsid w:val="001B07AA"/>
    <w:rsid w:val="001B098B"/>
    <w:rsid w:val="001B0DAE"/>
    <w:rsid w:val="001B0E6C"/>
    <w:rsid w:val="001B1126"/>
    <w:rsid w:val="001B13D6"/>
    <w:rsid w:val="001B140C"/>
    <w:rsid w:val="001B1485"/>
    <w:rsid w:val="001B1A3F"/>
    <w:rsid w:val="001B1E2A"/>
    <w:rsid w:val="001B2468"/>
    <w:rsid w:val="001B24EE"/>
    <w:rsid w:val="001B25B7"/>
    <w:rsid w:val="001B26A0"/>
    <w:rsid w:val="001B274B"/>
    <w:rsid w:val="001B2A8D"/>
    <w:rsid w:val="001B3094"/>
    <w:rsid w:val="001B31B2"/>
    <w:rsid w:val="001B327A"/>
    <w:rsid w:val="001B38BC"/>
    <w:rsid w:val="001B3B28"/>
    <w:rsid w:val="001B3C29"/>
    <w:rsid w:val="001B3E00"/>
    <w:rsid w:val="001B42B4"/>
    <w:rsid w:val="001B4675"/>
    <w:rsid w:val="001B4758"/>
    <w:rsid w:val="001B47C8"/>
    <w:rsid w:val="001B47D6"/>
    <w:rsid w:val="001B48BD"/>
    <w:rsid w:val="001B49CA"/>
    <w:rsid w:val="001B4A8A"/>
    <w:rsid w:val="001B4D06"/>
    <w:rsid w:val="001B50B8"/>
    <w:rsid w:val="001B50C1"/>
    <w:rsid w:val="001B5142"/>
    <w:rsid w:val="001B5161"/>
    <w:rsid w:val="001B519F"/>
    <w:rsid w:val="001B536B"/>
    <w:rsid w:val="001B56C8"/>
    <w:rsid w:val="001B5D53"/>
    <w:rsid w:val="001B5E1B"/>
    <w:rsid w:val="001B5FE7"/>
    <w:rsid w:val="001B651C"/>
    <w:rsid w:val="001B6713"/>
    <w:rsid w:val="001B696B"/>
    <w:rsid w:val="001B6AF3"/>
    <w:rsid w:val="001B6D7E"/>
    <w:rsid w:val="001B6E1B"/>
    <w:rsid w:val="001B6EB4"/>
    <w:rsid w:val="001B70A9"/>
    <w:rsid w:val="001B79A2"/>
    <w:rsid w:val="001B79C0"/>
    <w:rsid w:val="001B7EA5"/>
    <w:rsid w:val="001C010A"/>
    <w:rsid w:val="001C0448"/>
    <w:rsid w:val="001C04D0"/>
    <w:rsid w:val="001C0680"/>
    <w:rsid w:val="001C0702"/>
    <w:rsid w:val="001C0799"/>
    <w:rsid w:val="001C08E8"/>
    <w:rsid w:val="001C0AB8"/>
    <w:rsid w:val="001C0DE9"/>
    <w:rsid w:val="001C11F9"/>
    <w:rsid w:val="001C121E"/>
    <w:rsid w:val="001C1231"/>
    <w:rsid w:val="001C12E0"/>
    <w:rsid w:val="001C16AD"/>
    <w:rsid w:val="001C19AD"/>
    <w:rsid w:val="001C1E90"/>
    <w:rsid w:val="001C1FE3"/>
    <w:rsid w:val="001C2192"/>
    <w:rsid w:val="001C2322"/>
    <w:rsid w:val="001C23BD"/>
    <w:rsid w:val="001C276F"/>
    <w:rsid w:val="001C2B86"/>
    <w:rsid w:val="001C2CA5"/>
    <w:rsid w:val="001C2E31"/>
    <w:rsid w:val="001C2FE2"/>
    <w:rsid w:val="001C3059"/>
    <w:rsid w:val="001C37F9"/>
    <w:rsid w:val="001C3D99"/>
    <w:rsid w:val="001C3E07"/>
    <w:rsid w:val="001C3F0D"/>
    <w:rsid w:val="001C4151"/>
    <w:rsid w:val="001C417E"/>
    <w:rsid w:val="001C41D3"/>
    <w:rsid w:val="001C41F3"/>
    <w:rsid w:val="001C4C2F"/>
    <w:rsid w:val="001C4DD7"/>
    <w:rsid w:val="001C4FBB"/>
    <w:rsid w:val="001C4FEE"/>
    <w:rsid w:val="001C5202"/>
    <w:rsid w:val="001C5626"/>
    <w:rsid w:val="001C56C5"/>
    <w:rsid w:val="001C585E"/>
    <w:rsid w:val="001C58AC"/>
    <w:rsid w:val="001C593F"/>
    <w:rsid w:val="001C5A1D"/>
    <w:rsid w:val="001C5C15"/>
    <w:rsid w:val="001C5D18"/>
    <w:rsid w:val="001C604E"/>
    <w:rsid w:val="001C61F3"/>
    <w:rsid w:val="001C62B4"/>
    <w:rsid w:val="001C6494"/>
    <w:rsid w:val="001C6A14"/>
    <w:rsid w:val="001C6F33"/>
    <w:rsid w:val="001C7321"/>
    <w:rsid w:val="001C7337"/>
    <w:rsid w:val="001C762C"/>
    <w:rsid w:val="001C7F8C"/>
    <w:rsid w:val="001D006E"/>
    <w:rsid w:val="001D0413"/>
    <w:rsid w:val="001D05CE"/>
    <w:rsid w:val="001D082C"/>
    <w:rsid w:val="001D0B1E"/>
    <w:rsid w:val="001D0C06"/>
    <w:rsid w:val="001D0CE9"/>
    <w:rsid w:val="001D0D42"/>
    <w:rsid w:val="001D0E24"/>
    <w:rsid w:val="001D12B4"/>
    <w:rsid w:val="001D13B2"/>
    <w:rsid w:val="001D1885"/>
    <w:rsid w:val="001D18DB"/>
    <w:rsid w:val="001D19AF"/>
    <w:rsid w:val="001D1C51"/>
    <w:rsid w:val="001D2289"/>
    <w:rsid w:val="001D267E"/>
    <w:rsid w:val="001D280E"/>
    <w:rsid w:val="001D2C3A"/>
    <w:rsid w:val="001D3203"/>
    <w:rsid w:val="001D327E"/>
    <w:rsid w:val="001D3C95"/>
    <w:rsid w:val="001D3EA5"/>
    <w:rsid w:val="001D3F54"/>
    <w:rsid w:val="001D450E"/>
    <w:rsid w:val="001D454C"/>
    <w:rsid w:val="001D4872"/>
    <w:rsid w:val="001D48B2"/>
    <w:rsid w:val="001D4973"/>
    <w:rsid w:val="001D4976"/>
    <w:rsid w:val="001D4B5E"/>
    <w:rsid w:val="001D4B95"/>
    <w:rsid w:val="001D4E6A"/>
    <w:rsid w:val="001D519E"/>
    <w:rsid w:val="001D5284"/>
    <w:rsid w:val="001D5387"/>
    <w:rsid w:val="001D54F1"/>
    <w:rsid w:val="001D55A9"/>
    <w:rsid w:val="001D5B6A"/>
    <w:rsid w:val="001D60CE"/>
    <w:rsid w:val="001D665D"/>
    <w:rsid w:val="001D67B2"/>
    <w:rsid w:val="001D6D0B"/>
    <w:rsid w:val="001D745B"/>
    <w:rsid w:val="001D74FA"/>
    <w:rsid w:val="001D7506"/>
    <w:rsid w:val="001D7513"/>
    <w:rsid w:val="001D75DC"/>
    <w:rsid w:val="001D7605"/>
    <w:rsid w:val="001D7673"/>
    <w:rsid w:val="001D76F3"/>
    <w:rsid w:val="001D7B41"/>
    <w:rsid w:val="001D7BE4"/>
    <w:rsid w:val="001D7CFC"/>
    <w:rsid w:val="001D7DAF"/>
    <w:rsid w:val="001D7EC4"/>
    <w:rsid w:val="001D7F29"/>
    <w:rsid w:val="001E01E5"/>
    <w:rsid w:val="001E03F6"/>
    <w:rsid w:val="001E05A6"/>
    <w:rsid w:val="001E077F"/>
    <w:rsid w:val="001E08EF"/>
    <w:rsid w:val="001E0941"/>
    <w:rsid w:val="001E096F"/>
    <w:rsid w:val="001E0A15"/>
    <w:rsid w:val="001E0C6A"/>
    <w:rsid w:val="001E0CCA"/>
    <w:rsid w:val="001E1202"/>
    <w:rsid w:val="001E1264"/>
    <w:rsid w:val="001E1826"/>
    <w:rsid w:val="001E19B1"/>
    <w:rsid w:val="001E1BC3"/>
    <w:rsid w:val="001E1DF9"/>
    <w:rsid w:val="001E1F87"/>
    <w:rsid w:val="001E2118"/>
    <w:rsid w:val="001E23DA"/>
    <w:rsid w:val="001E2804"/>
    <w:rsid w:val="001E28E6"/>
    <w:rsid w:val="001E2933"/>
    <w:rsid w:val="001E2B43"/>
    <w:rsid w:val="001E2C76"/>
    <w:rsid w:val="001E2C99"/>
    <w:rsid w:val="001E2CE7"/>
    <w:rsid w:val="001E2E8E"/>
    <w:rsid w:val="001E3064"/>
    <w:rsid w:val="001E3742"/>
    <w:rsid w:val="001E39DA"/>
    <w:rsid w:val="001E3A51"/>
    <w:rsid w:val="001E3B6E"/>
    <w:rsid w:val="001E41CB"/>
    <w:rsid w:val="001E433C"/>
    <w:rsid w:val="001E44EF"/>
    <w:rsid w:val="001E4967"/>
    <w:rsid w:val="001E4A1C"/>
    <w:rsid w:val="001E4C0E"/>
    <w:rsid w:val="001E4F6A"/>
    <w:rsid w:val="001E4F9C"/>
    <w:rsid w:val="001E4FDB"/>
    <w:rsid w:val="001E510B"/>
    <w:rsid w:val="001E5569"/>
    <w:rsid w:val="001E57C2"/>
    <w:rsid w:val="001E57CE"/>
    <w:rsid w:val="001E59CE"/>
    <w:rsid w:val="001E5ED6"/>
    <w:rsid w:val="001E6016"/>
    <w:rsid w:val="001E62AE"/>
    <w:rsid w:val="001E64D3"/>
    <w:rsid w:val="001E6751"/>
    <w:rsid w:val="001E6941"/>
    <w:rsid w:val="001E6A41"/>
    <w:rsid w:val="001E6A6E"/>
    <w:rsid w:val="001E6C40"/>
    <w:rsid w:val="001E6C95"/>
    <w:rsid w:val="001E6FA2"/>
    <w:rsid w:val="001E704F"/>
    <w:rsid w:val="001E7089"/>
    <w:rsid w:val="001E70E4"/>
    <w:rsid w:val="001E710A"/>
    <w:rsid w:val="001E714F"/>
    <w:rsid w:val="001E729E"/>
    <w:rsid w:val="001E7413"/>
    <w:rsid w:val="001E755C"/>
    <w:rsid w:val="001E7675"/>
    <w:rsid w:val="001E7991"/>
    <w:rsid w:val="001F0189"/>
    <w:rsid w:val="001F0468"/>
    <w:rsid w:val="001F0868"/>
    <w:rsid w:val="001F089C"/>
    <w:rsid w:val="001F0A39"/>
    <w:rsid w:val="001F0B96"/>
    <w:rsid w:val="001F0DAE"/>
    <w:rsid w:val="001F0E0A"/>
    <w:rsid w:val="001F0F84"/>
    <w:rsid w:val="001F0FD9"/>
    <w:rsid w:val="001F0FF8"/>
    <w:rsid w:val="001F1294"/>
    <w:rsid w:val="001F1488"/>
    <w:rsid w:val="001F1578"/>
    <w:rsid w:val="001F1D77"/>
    <w:rsid w:val="001F1E27"/>
    <w:rsid w:val="001F20F1"/>
    <w:rsid w:val="001F23FC"/>
    <w:rsid w:val="001F25BC"/>
    <w:rsid w:val="001F280B"/>
    <w:rsid w:val="001F2B3B"/>
    <w:rsid w:val="001F2D76"/>
    <w:rsid w:val="001F2F0D"/>
    <w:rsid w:val="001F2FCF"/>
    <w:rsid w:val="001F309C"/>
    <w:rsid w:val="001F3377"/>
    <w:rsid w:val="001F3554"/>
    <w:rsid w:val="001F375F"/>
    <w:rsid w:val="001F394E"/>
    <w:rsid w:val="001F3A2E"/>
    <w:rsid w:val="001F3BC8"/>
    <w:rsid w:val="001F3BDD"/>
    <w:rsid w:val="001F3D06"/>
    <w:rsid w:val="001F3E51"/>
    <w:rsid w:val="001F40AD"/>
    <w:rsid w:val="001F43B6"/>
    <w:rsid w:val="001F43FB"/>
    <w:rsid w:val="001F4929"/>
    <w:rsid w:val="001F4CA5"/>
    <w:rsid w:val="001F515A"/>
    <w:rsid w:val="001F52FA"/>
    <w:rsid w:val="001F53BA"/>
    <w:rsid w:val="001F55C3"/>
    <w:rsid w:val="001F5719"/>
    <w:rsid w:val="001F5A02"/>
    <w:rsid w:val="001F5B4F"/>
    <w:rsid w:val="001F5C94"/>
    <w:rsid w:val="001F5D5E"/>
    <w:rsid w:val="001F5E06"/>
    <w:rsid w:val="001F68BE"/>
    <w:rsid w:val="001F69CC"/>
    <w:rsid w:val="001F6BA3"/>
    <w:rsid w:val="001F6D54"/>
    <w:rsid w:val="001F6DA1"/>
    <w:rsid w:val="001F73F1"/>
    <w:rsid w:val="001F7C0F"/>
    <w:rsid w:val="001F7D0D"/>
    <w:rsid w:val="001F7F08"/>
    <w:rsid w:val="001F7F24"/>
    <w:rsid w:val="001F7F63"/>
    <w:rsid w:val="0020009D"/>
    <w:rsid w:val="002002D4"/>
    <w:rsid w:val="0020033C"/>
    <w:rsid w:val="002009B8"/>
    <w:rsid w:val="00200A97"/>
    <w:rsid w:val="00200ADC"/>
    <w:rsid w:val="00200D57"/>
    <w:rsid w:val="00200E4B"/>
    <w:rsid w:val="00200EE3"/>
    <w:rsid w:val="00200F4F"/>
    <w:rsid w:val="002011D3"/>
    <w:rsid w:val="0020128E"/>
    <w:rsid w:val="002014DB"/>
    <w:rsid w:val="00201E55"/>
    <w:rsid w:val="00201E80"/>
    <w:rsid w:val="00201FE4"/>
    <w:rsid w:val="00202555"/>
    <w:rsid w:val="00202602"/>
    <w:rsid w:val="00202874"/>
    <w:rsid w:val="00202949"/>
    <w:rsid w:val="00202CDB"/>
    <w:rsid w:val="00202E53"/>
    <w:rsid w:val="00202F28"/>
    <w:rsid w:val="00203056"/>
    <w:rsid w:val="002032D0"/>
    <w:rsid w:val="0020338C"/>
    <w:rsid w:val="0020366F"/>
    <w:rsid w:val="00203734"/>
    <w:rsid w:val="0020383D"/>
    <w:rsid w:val="00203ABC"/>
    <w:rsid w:val="00203C62"/>
    <w:rsid w:val="00203C71"/>
    <w:rsid w:val="00203CED"/>
    <w:rsid w:val="00203F56"/>
    <w:rsid w:val="00203F59"/>
    <w:rsid w:val="002040EA"/>
    <w:rsid w:val="00204322"/>
    <w:rsid w:val="00204B58"/>
    <w:rsid w:val="00204CE6"/>
    <w:rsid w:val="00204EA1"/>
    <w:rsid w:val="00205223"/>
    <w:rsid w:val="00205286"/>
    <w:rsid w:val="00205322"/>
    <w:rsid w:val="0020541A"/>
    <w:rsid w:val="00205548"/>
    <w:rsid w:val="00206144"/>
    <w:rsid w:val="00206440"/>
    <w:rsid w:val="002068E9"/>
    <w:rsid w:val="00206E9C"/>
    <w:rsid w:val="00206F32"/>
    <w:rsid w:val="002073D6"/>
    <w:rsid w:val="00207405"/>
    <w:rsid w:val="002074E0"/>
    <w:rsid w:val="0020777B"/>
    <w:rsid w:val="00207B8D"/>
    <w:rsid w:val="0021035A"/>
    <w:rsid w:val="0021066F"/>
    <w:rsid w:val="00210733"/>
    <w:rsid w:val="00210A63"/>
    <w:rsid w:val="00211529"/>
    <w:rsid w:val="0021153A"/>
    <w:rsid w:val="00211986"/>
    <w:rsid w:val="00211A0B"/>
    <w:rsid w:val="00211D1C"/>
    <w:rsid w:val="00211E3D"/>
    <w:rsid w:val="00212107"/>
    <w:rsid w:val="00212473"/>
    <w:rsid w:val="0021256A"/>
    <w:rsid w:val="002125A6"/>
    <w:rsid w:val="00212684"/>
    <w:rsid w:val="00212C31"/>
    <w:rsid w:val="00212C95"/>
    <w:rsid w:val="00213344"/>
    <w:rsid w:val="00213439"/>
    <w:rsid w:val="00213635"/>
    <w:rsid w:val="002136D3"/>
    <w:rsid w:val="00213974"/>
    <w:rsid w:val="00213997"/>
    <w:rsid w:val="00213BD2"/>
    <w:rsid w:val="00213C3B"/>
    <w:rsid w:val="00213E0A"/>
    <w:rsid w:val="00213F17"/>
    <w:rsid w:val="00213F24"/>
    <w:rsid w:val="002140A8"/>
    <w:rsid w:val="00214459"/>
    <w:rsid w:val="00214475"/>
    <w:rsid w:val="0021469A"/>
    <w:rsid w:val="00214A57"/>
    <w:rsid w:val="00214AD8"/>
    <w:rsid w:val="00215494"/>
    <w:rsid w:val="00215580"/>
    <w:rsid w:val="00215C3E"/>
    <w:rsid w:val="00215CB4"/>
    <w:rsid w:val="00215CCF"/>
    <w:rsid w:val="00216216"/>
    <w:rsid w:val="00216398"/>
    <w:rsid w:val="002163A8"/>
    <w:rsid w:val="00216527"/>
    <w:rsid w:val="00216641"/>
    <w:rsid w:val="00216783"/>
    <w:rsid w:val="002169F9"/>
    <w:rsid w:val="00216CF9"/>
    <w:rsid w:val="00216D1D"/>
    <w:rsid w:val="00217625"/>
    <w:rsid w:val="002179A1"/>
    <w:rsid w:val="00217E00"/>
    <w:rsid w:val="0022010D"/>
    <w:rsid w:val="002205FF"/>
    <w:rsid w:val="00220831"/>
    <w:rsid w:val="00220980"/>
    <w:rsid w:val="002209D5"/>
    <w:rsid w:val="00220F66"/>
    <w:rsid w:val="0022118F"/>
    <w:rsid w:val="0022154F"/>
    <w:rsid w:val="00221AB1"/>
    <w:rsid w:val="00221D93"/>
    <w:rsid w:val="00221DC5"/>
    <w:rsid w:val="00221E58"/>
    <w:rsid w:val="0022208B"/>
    <w:rsid w:val="002221A6"/>
    <w:rsid w:val="00222339"/>
    <w:rsid w:val="00222512"/>
    <w:rsid w:val="0022279E"/>
    <w:rsid w:val="002227F9"/>
    <w:rsid w:val="002228CB"/>
    <w:rsid w:val="0022299F"/>
    <w:rsid w:val="002229DD"/>
    <w:rsid w:val="00222F1D"/>
    <w:rsid w:val="00223145"/>
    <w:rsid w:val="002232BB"/>
    <w:rsid w:val="002236D9"/>
    <w:rsid w:val="0022387A"/>
    <w:rsid w:val="002239B8"/>
    <w:rsid w:val="0022402D"/>
    <w:rsid w:val="002240F0"/>
    <w:rsid w:val="002242DA"/>
    <w:rsid w:val="00224345"/>
    <w:rsid w:val="00224359"/>
    <w:rsid w:val="0022448C"/>
    <w:rsid w:val="0022456B"/>
    <w:rsid w:val="00224604"/>
    <w:rsid w:val="00224666"/>
    <w:rsid w:val="002248EB"/>
    <w:rsid w:val="00224987"/>
    <w:rsid w:val="00224DA5"/>
    <w:rsid w:val="002251C8"/>
    <w:rsid w:val="0022544D"/>
    <w:rsid w:val="002254D4"/>
    <w:rsid w:val="00225693"/>
    <w:rsid w:val="002256D7"/>
    <w:rsid w:val="00225825"/>
    <w:rsid w:val="00225DF4"/>
    <w:rsid w:val="00225E82"/>
    <w:rsid w:val="0022623B"/>
    <w:rsid w:val="0022636D"/>
    <w:rsid w:val="0022637B"/>
    <w:rsid w:val="00226545"/>
    <w:rsid w:val="002265CE"/>
    <w:rsid w:val="00226B5B"/>
    <w:rsid w:val="00226B8A"/>
    <w:rsid w:val="00226C9A"/>
    <w:rsid w:val="00227827"/>
    <w:rsid w:val="002279A7"/>
    <w:rsid w:val="00227C38"/>
    <w:rsid w:val="0023005D"/>
    <w:rsid w:val="002303E9"/>
    <w:rsid w:val="0023051A"/>
    <w:rsid w:val="002305FC"/>
    <w:rsid w:val="002308C2"/>
    <w:rsid w:val="00230A56"/>
    <w:rsid w:val="00230E07"/>
    <w:rsid w:val="00230E37"/>
    <w:rsid w:val="0023155E"/>
    <w:rsid w:val="00231670"/>
    <w:rsid w:val="00231A51"/>
    <w:rsid w:val="00231AA3"/>
    <w:rsid w:val="00232004"/>
    <w:rsid w:val="002323BE"/>
    <w:rsid w:val="00232744"/>
    <w:rsid w:val="0023274D"/>
    <w:rsid w:val="00232EF9"/>
    <w:rsid w:val="00232FD0"/>
    <w:rsid w:val="00233072"/>
    <w:rsid w:val="0023344F"/>
    <w:rsid w:val="002336BE"/>
    <w:rsid w:val="00233AE9"/>
    <w:rsid w:val="00233B09"/>
    <w:rsid w:val="00233B54"/>
    <w:rsid w:val="00233D4F"/>
    <w:rsid w:val="00233D67"/>
    <w:rsid w:val="00234111"/>
    <w:rsid w:val="0023476E"/>
    <w:rsid w:val="0023479F"/>
    <w:rsid w:val="00234A60"/>
    <w:rsid w:val="00234B29"/>
    <w:rsid w:val="00234D31"/>
    <w:rsid w:val="00235498"/>
    <w:rsid w:val="00235A14"/>
    <w:rsid w:val="00235B57"/>
    <w:rsid w:val="00236068"/>
    <w:rsid w:val="002360B6"/>
    <w:rsid w:val="002360BA"/>
    <w:rsid w:val="002360DB"/>
    <w:rsid w:val="00236559"/>
    <w:rsid w:val="0023696F"/>
    <w:rsid w:val="00236D37"/>
    <w:rsid w:val="002372DC"/>
    <w:rsid w:val="00237330"/>
    <w:rsid w:val="002373A6"/>
    <w:rsid w:val="00237446"/>
    <w:rsid w:val="00237483"/>
    <w:rsid w:val="00237768"/>
    <w:rsid w:val="002378F0"/>
    <w:rsid w:val="002379DD"/>
    <w:rsid w:val="00237CDD"/>
    <w:rsid w:val="00237CDF"/>
    <w:rsid w:val="00237D10"/>
    <w:rsid w:val="00237E31"/>
    <w:rsid w:val="00240386"/>
    <w:rsid w:val="0024058A"/>
    <w:rsid w:val="0024079D"/>
    <w:rsid w:val="0024088C"/>
    <w:rsid w:val="002408BB"/>
    <w:rsid w:val="00240A82"/>
    <w:rsid w:val="00240B4C"/>
    <w:rsid w:val="00241152"/>
    <w:rsid w:val="0024148E"/>
    <w:rsid w:val="002417AA"/>
    <w:rsid w:val="00241BA4"/>
    <w:rsid w:val="00241C1F"/>
    <w:rsid w:val="00241F84"/>
    <w:rsid w:val="00242161"/>
    <w:rsid w:val="002424A7"/>
    <w:rsid w:val="0024275C"/>
    <w:rsid w:val="00242A0A"/>
    <w:rsid w:val="00242B55"/>
    <w:rsid w:val="00242C49"/>
    <w:rsid w:val="00242D19"/>
    <w:rsid w:val="00243D37"/>
    <w:rsid w:val="00243F43"/>
    <w:rsid w:val="00244353"/>
    <w:rsid w:val="0024440C"/>
    <w:rsid w:val="00244445"/>
    <w:rsid w:val="00244950"/>
    <w:rsid w:val="00244996"/>
    <w:rsid w:val="00244AF7"/>
    <w:rsid w:val="00244BCA"/>
    <w:rsid w:val="00244CCF"/>
    <w:rsid w:val="00245365"/>
    <w:rsid w:val="00245518"/>
    <w:rsid w:val="002455C3"/>
    <w:rsid w:val="002456EB"/>
    <w:rsid w:val="002456F6"/>
    <w:rsid w:val="00245AFD"/>
    <w:rsid w:val="00245C77"/>
    <w:rsid w:val="00245D9C"/>
    <w:rsid w:val="00245E6D"/>
    <w:rsid w:val="0024629E"/>
    <w:rsid w:val="002464B5"/>
    <w:rsid w:val="00246525"/>
    <w:rsid w:val="0024654B"/>
    <w:rsid w:val="00246816"/>
    <w:rsid w:val="00246A70"/>
    <w:rsid w:val="00246C18"/>
    <w:rsid w:val="00246C29"/>
    <w:rsid w:val="00247296"/>
    <w:rsid w:val="002474D4"/>
    <w:rsid w:val="00247642"/>
    <w:rsid w:val="00247695"/>
    <w:rsid w:val="00247725"/>
    <w:rsid w:val="0025005B"/>
    <w:rsid w:val="0025014E"/>
    <w:rsid w:val="002504CE"/>
    <w:rsid w:val="00250973"/>
    <w:rsid w:val="00250C54"/>
    <w:rsid w:val="00250D9C"/>
    <w:rsid w:val="00251038"/>
    <w:rsid w:val="0025115C"/>
    <w:rsid w:val="002511AD"/>
    <w:rsid w:val="002514A3"/>
    <w:rsid w:val="0025162A"/>
    <w:rsid w:val="002516C6"/>
    <w:rsid w:val="002517C6"/>
    <w:rsid w:val="00251C21"/>
    <w:rsid w:val="00252096"/>
    <w:rsid w:val="002526FD"/>
    <w:rsid w:val="00252737"/>
    <w:rsid w:val="00252906"/>
    <w:rsid w:val="00252947"/>
    <w:rsid w:val="00252A7F"/>
    <w:rsid w:val="002530FC"/>
    <w:rsid w:val="00253154"/>
    <w:rsid w:val="002531F5"/>
    <w:rsid w:val="002533FE"/>
    <w:rsid w:val="00253550"/>
    <w:rsid w:val="00253716"/>
    <w:rsid w:val="00253741"/>
    <w:rsid w:val="002539BA"/>
    <w:rsid w:val="00253A80"/>
    <w:rsid w:val="00253BD2"/>
    <w:rsid w:val="00253DED"/>
    <w:rsid w:val="00253EFF"/>
    <w:rsid w:val="00254059"/>
    <w:rsid w:val="00254114"/>
    <w:rsid w:val="00254159"/>
    <w:rsid w:val="00254B17"/>
    <w:rsid w:val="002553D3"/>
    <w:rsid w:val="00255A9C"/>
    <w:rsid w:val="0025603E"/>
    <w:rsid w:val="0025614C"/>
    <w:rsid w:val="002562B5"/>
    <w:rsid w:val="002565FA"/>
    <w:rsid w:val="0025672E"/>
    <w:rsid w:val="002568D0"/>
    <w:rsid w:val="00256ACF"/>
    <w:rsid w:val="00256D4F"/>
    <w:rsid w:val="002572E9"/>
    <w:rsid w:val="002575DD"/>
    <w:rsid w:val="0025763F"/>
    <w:rsid w:val="00257F15"/>
    <w:rsid w:val="002604F2"/>
    <w:rsid w:val="0026066C"/>
    <w:rsid w:val="0026075D"/>
    <w:rsid w:val="00260799"/>
    <w:rsid w:val="00260AF1"/>
    <w:rsid w:val="00260B97"/>
    <w:rsid w:val="0026130E"/>
    <w:rsid w:val="002614DA"/>
    <w:rsid w:val="002616B4"/>
    <w:rsid w:val="002616D7"/>
    <w:rsid w:val="0026178B"/>
    <w:rsid w:val="00261FB3"/>
    <w:rsid w:val="002626BE"/>
    <w:rsid w:val="00262921"/>
    <w:rsid w:val="00262BAA"/>
    <w:rsid w:val="00262BCC"/>
    <w:rsid w:val="00262D1B"/>
    <w:rsid w:val="00262DC4"/>
    <w:rsid w:val="00262E6B"/>
    <w:rsid w:val="00263169"/>
    <w:rsid w:val="00263C67"/>
    <w:rsid w:val="0026404F"/>
    <w:rsid w:val="00264094"/>
    <w:rsid w:val="002643A0"/>
    <w:rsid w:val="00265040"/>
    <w:rsid w:val="00265325"/>
    <w:rsid w:val="0026549B"/>
    <w:rsid w:val="00265533"/>
    <w:rsid w:val="0026553D"/>
    <w:rsid w:val="00265775"/>
    <w:rsid w:val="00265AE8"/>
    <w:rsid w:val="00266038"/>
    <w:rsid w:val="0026622F"/>
    <w:rsid w:val="00266660"/>
    <w:rsid w:val="00266A95"/>
    <w:rsid w:val="00266CF1"/>
    <w:rsid w:val="00266E96"/>
    <w:rsid w:val="0026734F"/>
    <w:rsid w:val="002679FD"/>
    <w:rsid w:val="00267ACC"/>
    <w:rsid w:val="00267D08"/>
    <w:rsid w:val="0027028B"/>
    <w:rsid w:val="0027057A"/>
    <w:rsid w:val="002706E2"/>
    <w:rsid w:val="002706FB"/>
    <w:rsid w:val="00270D24"/>
    <w:rsid w:val="00270F6D"/>
    <w:rsid w:val="00270FD3"/>
    <w:rsid w:val="002713DC"/>
    <w:rsid w:val="00271407"/>
    <w:rsid w:val="00271701"/>
    <w:rsid w:val="00271890"/>
    <w:rsid w:val="00271ABA"/>
    <w:rsid w:val="0027222A"/>
    <w:rsid w:val="002724C0"/>
    <w:rsid w:val="002728D8"/>
    <w:rsid w:val="002728E3"/>
    <w:rsid w:val="00272C97"/>
    <w:rsid w:val="0027322B"/>
    <w:rsid w:val="002734D3"/>
    <w:rsid w:val="00273957"/>
    <w:rsid w:val="00273AEA"/>
    <w:rsid w:val="00273B4B"/>
    <w:rsid w:val="0027404A"/>
    <w:rsid w:val="002742BC"/>
    <w:rsid w:val="00274419"/>
    <w:rsid w:val="002745E4"/>
    <w:rsid w:val="00274626"/>
    <w:rsid w:val="0027462E"/>
    <w:rsid w:val="0027471A"/>
    <w:rsid w:val="0027476D"/>
    <w:rsid w:val="0027485C"/>
    <w:rsid w:val="0027510D"/>
    <w:rsid w:val="002754CA"/>
    <w:rsid w:val="0027556B"/>
    <w:rsid w:val="002757FB"/>
    <w:rsid w:val="00275D0F"/>
    <w:rsid w:val="002760EB"/>
    <w:rsid w:val="0027668C"/>
    <w:rsid w:val="00276C0B"/>
    <w:rsid w:val="00276C98"/>
    <w:rsid w:val="00276D02"/>
    <w:rsid w:val="00276DE6"/>
    <w:rsid w:val="00276EA1"/>
    <w:rsid w:val="0027752C"/>
    <w:rsid w:val="00277654"/>
    <w:rsid w:val="002777A2"/>
    <w:rsid w:val="002777B8"/>
    <w:rsid w:val="002777E2"/>
    <w:rsid w:val="002779B1"/>
    <w:rsid w:val="00277E7D"/>
    <w:rsid w:val="00280013"/>
    <w:rsid w:val="0028003A"/>
    <w:rsid w:val="00280375"/>
    <w:rsid w:val="0028047A"/>
    <w:rsid w:val="002805CD"/>
    <w:rsid w:val="002806F3"/>
    <w:rsid w:val="0028078A"/>
    <w:rsid w:val="00280A6A"/>
    <w:rsid w:val="00280D53"/>
    <w:rsid w:val="00280FAA"/>
    <w:rsid w:val="00280FD0"/>
    <w:rsid w:val="0028102B"/>
    <w:rsid w:val="00281104"/>
    <w:rsid w:val="0028131D"/>
    <w:rsid w:val="0028187F"/>
    <w:rsid w:val="0028189C"/>
    <w:rsid w:val="00281A82"/>
    <w:rsid w:val="00281EAF"/>
    <w:rsid w:val="0028200D"/>
    <w:rsid w:val="00282156"/>
    <w:rsid w:val="002821F1"/>
    <w:rsid w:val="0028227D"/>
    <w:rsid w:val="002828CA"/>
    <w:rsid w:val="00282D68"/>
    <w:rsid w:val="00282F88"/>
    <w:rsid w:val="002831FD"/>
    <w:rsid w:val="00283313"/>
    <w:rsid w:val="00283660"/>
    <w:rsid w:val="00283709"/>
    <w:rsid w:val="002837C9"/>
    <w:rsid w:val="002838F0"/>
    <w:rsid w:val="00283E4A"/>
    <w:rsid w:val="0028404B"/>
    <w:rsid w:val="002841A7"/>
    <w:rsid w:val="002843C5"/>
    <w:rsid w:val="00284500"/>
    <w:rsid w:val="002845CF"/>
    <w:rsid w:val="00284F71"/>
    <w:rsid w:val="00285005"/>
    <w:rsid w:val="002852C2"/>
    <w:rsid w:val="00285DDF"/>
    <w:rsid w:val="002866AC"/>
    <w:rsid w:val="002867E8"/>
    <w:rsid w:val="00286948"/>
    <w:rsid w:val="0028695A"/>
    <w:rsid w:val="00286C14"/>
    <w:rsid w:val="00286CEF"/>
    <w:rsid w:val="002874C3"/>
    <w:rsid w:val="00287576"/>
    <w:rsid w:val="002875A7"/>
    <w:rsid w:val="002875CA"/>
    <w:rsid w:val="002877D0"/>
    <w:rsid w:val="00287CCE"/>
    <w:rsid w:val="00287D80"/>
    <w:rsid w:val="00287E60"/>
    <w:rsid w:val="00287ED1"/>
    <w:rsid w:val="002900DB"/>
    <w:rsid w:val="0029081A"/>
    <w:rsid w:val="00290AA9"/>
    <w:rsid w:val="0029104B"/>
    <w:rsid w:val="002910A5"/>
    <w:rsid w:val="00291380"/>
    <w:rsid w:val="0029148D"/>
    <w:rsid w:val="0029174B"/>
    <w:rsid w:val="00291B24"/>
    <w:rsid w:val="00291FB4"/>
    <w:rsid w:val="00292018"/>
    <w:rsid w:val="0029209A"/>
    <w:rsid w:val="0029233B"/>
    <w:rsid w:val="0029253A"/>
    <w:rsid w:val="0029261E"/>
    <w:rsid w:val="00292775"/>
    <w:rsid w:val="00292939"/>
    <w:rsid w:val="00292E6E"/>
    <w:rsid w:val="002930E1"/>
    <w:rsid w:val="00293801"/>
    <w:rsid w:val="00293D0B"/>
    <w:rsid w:val="00293D8E"/>
    <w:rsid w:val="00293F24"/>
    <w:rsid w:val="00293FED"/>
    <w:rsid w:val="0029433F"/>
    <w:rsid w:val="0029451F"/>
    <w:rsid w:val="0029464B"/>
    <w:rsid w:val="0029472E"/>
    <w:rsid w:val="00294731"/>
    <w:rsid w:val="002947C3"/>
    <w:rsid w:val="00294A77"/>
    <w:rsid w:val="00294B39"/>
    <w:rsid w:val="00294C0D"/>
    <w:rsid w:val="00294E02"/>
    <w:rsid w:val="00295038"/>
    <w:rsid w:val="00295701"/>
    <w:rsid w:val="0029588D"/>
    <w:rsid w:val="002958F6"/>
    <w:rsid w:val="0029590E"/>
    <w:rsid w:val="00295B58"/>
    <w:rsid w:val="00295C37"/>
    <w:rsid w:val="00295D4E"/>
    <w:rsid w:val="002963BF"/>
    <w:rsid w:val="00296494"/>
    <w:rsid w:val="00296A59"/>
    <w:rsid w:val="00296A81"/>
    <w:rsid w:val="00296DA0"/>
    <w:rsid w:val="00296E3F"/>
    <w:rsid w:val="0029733D"/>
    <w:rsid w:val="0029755E"/>
    <w:rsid w:val="002977D3"/>
    <w:rsid w:val="00297A10"/>
    <w:rsid w:val="002A01CB"/>
    <w:rsid w:val="002A04F7"/>
    <w:rsid w:val="002A0955"/>
    <w:rsid w:val="002A0EC3"/>
    <w:rsid w:val="002A171C"/>
    <w:rsid w:val="002A1AE2"/>
    <w:rsid w:val="002A1AEE"/>
    <w:rsid w:val="002A21B1"/>
    <w:rsid w:val="002A25A4"/>
    <w:rsid w:val="002A25FA"/>
    <w:rsid w:val="002A27FD"/>
    <w:rsid w:val="002A2D09"/>
    <w:rsid w:val="002A2DF1"/>
    <w:rsid w:val="002A30EB"/>
    <w:rsid w:val="002A3828"/>
    <w:rsid w:val="002A39AC"/>
    <w:rsid w:val="002A3C60"/>
    <w:rsid w:val="002A4082"/>
    <w:rsid w:val="002A43EE"/>
    <w:rsid w:val="002A450F"/>
    <w:rsid w:val="002A45B7"/>
    <w:rsid w:val="002A4845"/>
    <w:rsid w:val="002A48DB"/>
    <w:rsid w:val="002A48DD"/>
    <w:rsid w:val="002A4B76"/>
    <w:rsid w:val="002A4C1F"/>
    <w:rsid w:val="002A4C88"/>
    <w:rsid w:val="002A4DA7"/>
    <w:rsid w:val="002A4FED"/>
    <w:rsid w:val="002A515D"/>
    <w:rsid w:val="002A53D2"/>
    <w:rsid w:val="002A57B9"/>
    <w:rsid w:val="002A5806"/>
    <w:rsid w:val="002A5A4A"/>
    <w:rsid w:val="002A5B5F"/>
    <w:rsid w:val="002A5D06"/>
    <w:rsid w:val="002A6185"/>
    <w:rsid w:val="002A6827"/>
    <w:rsid w:val="002A6872"/>
    <w:rsid w:val="002A68E0"/>
    <w:rsid w:val="002A74E0"/>
    <w:rsid w:val="002A7BCE"/>
    <w:rsid w:val="002A7CA7"/>
    <w:rsid w:val="002A7E81"/>
    <w:rsid w:val="002B01BB"/>
    <w:rsid w:val="002B034B"/>
    <w:rsid w:val="002B0543"/>
    <w:rsid w:val="002B097B"/>
    <w:rsid w:val="002B0B86"/>
    <w:rsid w:val="002B0C01"/>
    <w:rsid w:val="002B13BE"/>
    <w:rsid w:val="002B1916"/>
    <w:rsid w:val="002B1B88"/>
    <w:rsid w:val="002B20BE"/>
    <w:rsid w:val="002B23E2"/>
    <w:rsid w:val="002B25CF"/>
    <w:rsid w:val="002B2744"/>
    <w:rsid w:val="002B2C86"/>
    <w:rsid w:val="002B2EF2"/>
    <w:rsid w:val="002B2F3E"/>
    <w:rsid w:val="002B325E"/>
    <w:rsid w:val="002B33DC"/>
    <w:rsid w:val="002B363A"/>
    <w:rsid w:val="002B41C6"/>
    <w:rsid w:val="002B49FD"/>
    <w:rsid w:val="002B50BB"/>
    <w:rsid w:val="002B5183"/>
    <w:rsid w:val="002B5419"/>
    <w:rsid w:val="002B54DA"/>
    <w:rsid w:val="002B5552"/>
    <w:rsid w:val="002B5991"/>
    <w:rsid w:val="002B5B69"/>
    <w:rsid w:val="002B5E45"/>
    <w:rsid w:val="002B604F"/>
    <w:rsid w:val="002B6162"/>
    <w:rsid w:val="002B6436"/>
    <w:rsid w:val="002B68CA"/>
    <w:rsid w:val="002B6B5E"/>
    <w:rsid w:val="002B6BA0"/>
    <w:rsid w:val="002B7173"/>
    <w:rsid w:val="002B71FD"/>
    <w:rsid w:val="002B7364"/>
    <w:rsid w:val="002B758B"/>
    <w:rsid w:val="002B75C1"/>
    <w:rsid w:val="002B77A4"/>
    <w:rsid w:val="002B799D"/>
    <w:rsid w:val="002B7BF4"/>
    <w:rsid w:val="002B7D3B"/>
    <w:rsid w:val="002C0104"/>
    <w:rsid w:val="002C0733"/>
    <w:rsid w:val="002C07F0"/>
    <w:rsid w:val="002C0881"/>
    <w:rsid w:val="002C0894"/>
    <w:rsid w:val="002C0DF2"/>
    <w:rsid w:val="002C1016"/>
    <w:rsid w:val="002C117E"/>
    <w:rsid w:val="002C15C4"/>
    <w:rsid w:val="002C1A9E"/>
    <w:rsid w:val="002C1C13"/>
    <w:rsid w:val="002C1E11"/>
    <w:rsid w:val="002C1EF3"/>
    <w:rsid w:val="002C217A"/>
    <w:rsid w:val="002C24F3"/>
    <w:rsid w:val="002C29A9"/>
    <w:rsid w:val="002C29DA"/>
    <w:rsid w:val="002C325B"/>
    <w:rsid w:val="002C335E"/>
    <w:rsid w:val="002C397D"/>
    <w:rsid w:val="002C3D46"/>
    <w:rsid w:val="002C3FBC"/>
    <w:rsid w:val="002C402C"/>
    <w:rsid w:val="002C4111"/>
    <w:rsid w:val="002C4618"/>
    <w:rsid w:val="002C4740"/>
    <w:rsid w:val="002C49A0"/>
    <w:rsid w:val="002C4A0A"/>
    <w:rsid w:val="002C4B5B"/>
    <w:rsid w:val="002C4CD4"/>
    <w:rsid w:val="002C4FE7"/>
    <w:rsid w:val="002C5004"/>
    <w:rsid w:val="002C51DD"/>
    <w:rsid w:val="002C5572"/>
    <w:rsid w:val="002C5605"/>
    <w:rsid w:val="002C582B"/>
    <w:rsid w:val="002C58AD"/>
    <w:rsid w:val="002C5AAA"/>
    <w:rsid w:val="002C5BA8"/>
    <w:rsid w:val="002C5CC1"/>
    <w:rsid w:val="002C5F53"/>
    <w:rsid w:val="002C60E5"/>
    <w:rsid w:val="002C61B0"/>
    <w:rsid w:val="002C6509"/>
    <w:rsid w:val="002C676F"/>
    <w:rsid w:val="002C6849"/>
    <w:rsid w:val="002C6A0A"/>
    <w:rsid w:val="002C6CFA"/>
    <w:rsid w:val="002C6E62"/>
    <w:rsid w:val="002C7386"/>
    <w:rsid w:val="002C78A4"/>
    <w:rsid w:val="002C798A"/>
    <w:rsid w:val="002C7ABF"/>
    <w:rsid w:val="002C7B1B"/>
    <w:rsid w:val="002C7D68"/>
    <w:rsid w:val="002C7EBE"/>
    <w:rsid w:val="002D024B"/>
    <w:rsid w:val="002D064D"/>
    <w:rsid w:val="002D09B2"/>
    <w:rsid w:val="002D09E1"/>
    <w:rsid w:val="002D0C83"/>
    <w:rsid w:val="002D113F"/>
    <w:rsid w:val="002D14DD"/>
    <w:rsid w:val="002D15DD"/>
    <w:rsid w:val="002D171D"/>
    <w:rsid w:val="002D1762"/>
    <w:rsid w:val="002D184D"/>
    <w:rsid w:val="002D1864"/>
    <w:rsid w:val="002D1C00"/>
    <w:rsid w:val="002D1C78"/>
    <w:rsid w:val="002D2198"/>
    <w:rsid w:val="002D2A43"/>
    <w:rsid w:val="002D2CA5"/>
    <w:rsid w:val="002D31BA"/>
    <w:rsid w:val="002D3371"/>
    <w:rsid w:val="002D344E"/>
    <w:rsid w:val="002D37D1"/>
    <w:rsid w:val="002D3876"/>
    <w:rsid w:val="002D38B1"/>
    <w:rsid w:val="002D3904"/>
    <w:rsid w:val="002D4497"/>
    <w:rsid w:val="002D46C2"/>
    <w:rsid w:val="002D4758"/>
    <w:rsid w:val="002D4D42"/>
    <w:rsid w:val="002D4FA5"/>
    <w:rsid w:val="002D512E"/>
    <w:rsid w:val="002D521C"/>
    <w:rsid w:val="002D5460"/>
    <w:rsid w:val="002D5562"/>
    <w:rsid w:val="002D5E5D"/>
    <w:rsid w:val="002D5ECD"/>
    <w:rsid w:val="002D5F18"/>
    <w:rsid w:val="002D5F77"/>
    <w:rsid w:val="002D6508"/>
    <w:rsid w:val="002D65AB"/>
    <w:rsid w:val="002D67C1"/>
    <w:rsid w:val="002D6960"/>
    <w:rsid w:val="002D6B05"/>
    <w:rsid w:val="002D6C61"/>
    <w:rsid w:val="002D745F"/>
    <w:rsid w:val="002D756C"/>
    <w:rsid w:val="002D7824"/>
    <w:rsid w:val="002D7A94"/>
    <w:rsid w:val="002D7C0F"/>
    <w:rsid w:val="002D7D55"/>
    <w:rsid w:val="002D7DE3"/>
    <w:rsid w:val="002D7F35"/>
    <w:rsid w:val="002D7FF0"/>
    <w:rsid w:val="002E00B5"/>
    <w:rsid w:val="002E0222"/>
    <w:rsid w:val="002E02F5"/>
    <w:rsid w:val="002E0323"/>
    <w:rsid w:val="002E04BA"/>
    <w:rsid w:val="002E0810"/>
    <w:rsid w:val="002E0818"/>
    <w:rsid w:val="002E0826"/>
    <w:rsid w:val="002E0BD9"/>
    <w:rsid w:val="002E0EE8"/>
    <w:rsid w:val="002E11BE"/>
    <w:rsid w:val="002E1455"/>
    <w:rsid w:val="002E1586"/>
    <w:rsid w:val="002E1739"/>
    <w:rsid w:val="002E1868"/>
    <w:rsid w:val="002E1BAB"/>
    <w:rsid w:val="002E1DA6"/>
    <w:rsid w:val="002E1E41"/>
    <w:rsid w:val="002E1F2F"/>
    <w:rsid w:val="002E1FA9"/>
    <w:rsid w:val="002E200A"/>
    <w:rsid w:val="002E20FA"/>
    <w:rsid w:val="002E2151"/>
    <w:rsid w:val="002E21A4"/>
    <w:rsid w:val="002E275B"/>
    <w:rsid w:val="002E2CD5"/>
    <w:rsid w:val="002E30FE"/>
    <w:rsid w:val="002E3561"/>
    <w:rsid w:val="002E35D7"/>
    <w:rsid w:val="002E3743"/>
    <w:rsid w:val="002E37B6"/>
    <w:rsid w:val="002E3A48"/>
    <w:rsid w:val="002E3B71"/>
    <w:rsid w:val="002E3E54"/>
    <w:rsid w:val="002E3F88"/>
    <w:rsid w:val="002E450F"/>
    <w:rsid w:val="002E4994"/>
    <w:rsid w:val="002E4DEF"/>
    <w:rsid w:val="002E4FA5"/>
    <w:rsid w:val="002E504B"/>
    <w:rsid w:val="002E532C"/>
    <w:rsid w:val="002E568B"/>
    <w:rsid w:val="002E5A30"/>
    <w:rsid w:val="002E5A4E"/>
    <w:rsid w:val="002E5AE7"/>
    <w:rsid w:val="002E5AF9"/>
    <w:rsid w:val="002E607D"/>
    <w:rsid w:val="002E608E"/>
    <w:rsid w:val="002E6250"/>
    <w:rsid w:val="002E6277"/>
    <w:rsid w:val="002E65DB"/>
    <w:rsid w:val="002E6639"/>
    <w:rsid w:val="002E670F"/>
    <w:rsid w:val="002E6758"/>
    <w:rsid w:val="002E69B1"/>
    <w:rsid w:val="002E6D77"/>
    <w:rsid w:val="002E6EA8"/>
    <w:rsid w:val="002E7029"/>
    <w:rsid w:val="002E71CA"/>
    <w:rsid w:val="002E7515"/>
    <w:rsid w:val="002E75D7"/>
    <w:rsid w:val="002E78C1"/>
    <w:rsid w:val="002E7984"/>
    <w:rsid w:val="002E7BBB"/>
    <w:rsid w:val="002E7CA0"/>
    <w:rsid w:val="002F0150"/>
    <w:rsid w:val="002F0189"/>
    <w:rsid w:val="002F0249"/>
    <w:rsid w:val="002F06C1"/>
    <w:rsid w:val="002F099C"/>
    <w:rsid w:val="002F0FE4"/>
    <w:rsid w:val="002F1647"/>
    <w:rsid w:val="002F17E5"/>
    <w:rsid w:val="002F186D"/>
    <w:rsid w:val="002F1AB7"/>
    <w:rsid w:val="002F1BCF"/>
    <w:rsid w:val="002F1C10"/>
    <w:rsid w:val="002F1C39"/>
    <w:rsid w:val="002F1CEB"/>
    <w:rsid w:val="002F1E8A"/>
    <w:rsid w:val="002F1F87"/>
    <w:rsid w:val="002F2442"/>
    <w:rsid w:val="002F24FF"/>
    <w:rsid w:val="002F26B1"/>
    <w:rsid w:val="002F2813"/>
    <w:rsid w:val="002F295A"/>
    <w:rsid w:val="002F2D2B"/>
    <w:rsid w:val="002F2D8B"/>
    <w:rsid w:val="002F2E66"/>
    <w:rsid w:val="002F374E"/>
    <w:rsid w:val="002F38D7"/>
    <w:rsid w:val="002F3AE0"/>
    <w:rsid w:val="002F3C23"/>
    <w:rsid w:val="002F3F1C"/>
    <w:rsid w:val="002F4254"/>
    <w:rsid w:val="002F44F3"/>
    <w:rsid w:val="002F47BE"/>
    <w:rsid w:val="002F47FA"/>
    <w:rsid w:val="002F4A18"/>
    <w:rsid w:val="002F4A76"/>
    <w:rsid w:val="002F4BD6"/>
    <w:rsid w:val="002F4D5A"/>
    <w:rsid w:val="002F5216"/>
    <w:rsid w:val="002F523F"/>
    <w:rsid w:val="002F54A5"/>
    <w:rsid w:val="002F5660"/>
    <w:rsid w:val="002F5F12"/>
    <w:rsid w:val="002F6040"/>
    <w:rsid w:val="002F63C0"/>
    <w:rsid w:val="002F6550"/>
    <w:rsid w:val="002F6622"/>
    <w:rsid w:val="002F6799"/>
    <w:rsid w:val="002F6A75"/>
    <w:rsid w:val="002F6ABF"/>
    <w:rsid w:val="002F6BC7"/>
    <w:rsid w:val="002F6BE9"/>
    <w:rsid w:val="002F7092"/>
    <w:rsid w:val="002F773A"/>
    <w:rsid w:val="002F7745"/>
    <w:rsid w:val="002F7C1F"/>
    <w:rsid w:val="003002D3"/>
    <w:rsid w:val="003004B0"/>
    <w:rsid w:val="003005E2"/>
    <w:rsid w:val="0030094B"/>
    <w:rsid w:val="00300E35"/>
    <w:rsid w:val="003011E2"/>
    <w:rsid w:val="0030127A"/>
    <w:rsid w:val="003012E2"/>
    <w:rsid w:val="0030152D"/>
    <w:rsid w:val="0030176B"/>
    <w:rsid w:val="00301891"/>
    <w:rsid w:val="00301D72"/>
    <w:rsid w:val="00301EDB"/>
    <w:rsid w:val="00302434"/>
    <w:rsid w:val="00302546"/>
    <w:rsid w:val="0030284B"/>
    <w:rsid w:val="00302A83"/>
    <w:rsid w:val="00302B75"/>
    <w:rsid w:val="00302C10"/>
    <w:rsid w:val="00302EF1"/>
    <w:rsid w:val="00303060"/>
    <w:rsid w:val="0030328C"/>
    <w:rsid w:val="00303400"/>
    <w:rsid w:val="00303434"/>
    <w:rsid w:val="00303C1C"/>
    <w:rsid w:val="00303E27"/>
    <w:rsid w:val="00303E61"/>
    <w:rsid w:val="00304269"/>
    <w:rsid w:val="0030437E"/>
    <w:rsid w:val="003049F6"/>
    <w:rsid w:val="00304A0A"/>
    <w:rsid w:val="00304D15"/>
    <w:rsid w:val="00304D1C"/>
    <w:rsid w:val="00304E16"/>
    <w:rsid w:val="00304E67"/>
    <w:rsid w:val="00304EA3"/>
    <w:rsid w:val="00304F55"/>
    <w:rsid w:val="003050EE"/>
    <w:rsid w:val="0030539E"/>
    <w:rsid w:val="003053E4"/>
    <w:rsid w:val="0030561F"/>
    <w:rsid w:val="00305D34"/>
    <w:rsid w:val="00305E1B"/>
    <w:rsid w:val="003062E1"/>
    <w:rsid w:val="003066B6"/>
    <w:rsid w:val="00306B84"/>
    <w:rsid w:val="00306BC0"/>
    <w:rsid w:val="00306C47"/>
    <w:rsid w:val="00306D63"/>
    <w:rsid w:val="00306FBB"/>
    <w:rsid w:val="0030707D"/>
    <w:rsid w:val="00307259"/>
    <w:rsid w:val="00307623"/>
    <w:rsid w:val="003078EA"/>
    <w:rsid w:val="00307B7F"/>
    <w:rsid w:val="00307D31"/>
    <w:rsid w:val="00307D67"/>
    <w:rsid w:val="00307DD3"/>
    <w:rsid w:val="00307E18"/>
    <w:rsid w:val="003109C9"/>
    <w:rsid w:val="003109CD"/>
    <w:rsid w:val="00310F62"/>
    <w:rsid w:val="00311009"/>
    <w:rsid w:val="0031142C"/>
    <w:rsid w:val="003117FC"/>
    <w:rsid w:val="0031181D"/>
    <w:rsid w:val="00311892"/>
    <w:rsid w:val="00311A12"/>
    <w:rsid w:val="00311A2E"/>
    <w:rsid w:val="00311C8E"/>
    <w:rsid w:val="00311D56"/>
    <w:rsid w:val="00311F0D"/>
    <w:rsid w:val="00311FDF"/>
    <w:rsid w:val="003122BC"/>
    <w:rsid w:val="00312740"/>
    <w:rsid w:val="00312854"/>
    <w:rsid w:val="00312D9B"/>
    <w:rsid w:val="00312F58"/>
    <w:rsid w:val="0031352D"/>
    <w:rsid w:val="00313CF0"/>
    <w:rsid w:val="00313D54"/>
    <w:rsid w:val="00313EB2"/>
    <w:rsid w:val="00313F80"/>
    <w:rsid w:val="0031419C"/>
    <w:rsid w:val="003142B2"/>
    <w:rsid w:val="00314397"/>
    <w:rsid w:val="0031444E"/>
    <w:rsid w:val="00314900"/>
    <w:rsid w:val="00314B53"/>
    <w:rsid w:val="00315087"/>
    <w:rsid w:val="00315113"/>
    <w:rsid w:val="0031514E"/>
    <w:rsid w:val="0031558F"/>
    <w:rsid w:val="00315664"/>
    <w:rsid w:val="003157A8"/>
    <w:rsid w:val="0031587E"/>
    <w:rsid w:val="00315BBC"/>
    <w:rsid w:val="00315D29"/>
    <w:rsid w:val="00315F15"/>
    <w:rsid w:val="00315FC7"/>
    <w:rsid w:val="0031616C"/>
    <w:rsid w:val="003162AC"/>
    <w:rsid w:val="0031642E"/>
    <w:rsid w:val="003164EC"/>
    <w:rsid w:val="003164F2"/>
    <w:rsid w:val="0031686C"/>
    <w:rsid w:val="00316C6B"/>
    <w:rsid w:val="00316D67"/>
    <w:rsid w:val="00316EA4"/>
    <w:rsid w:val="00316EC9"/>
    <w:rsid w:val="0031700B"/>
    <w:rsid w:val="0031753A"/>
    <w:rsid w:val="003176CB"/>
    <w:rsid w:val="00317A25"/>
    <w:rsid w:val="00317D03"/>
    <w:rsid w:val="00317D51"/>
    <w:rsid w:val="00317DB4"/>
    <w:rsid w:val="00320437"/>
    <w:rsid w:val="003205C9"/>
    <w:rsid w:val="00320943"/>
    <w:rsid w:val="003209A0"/>
    <w:rsid w:val="00320CF8"/>
    <w:rsid w:val="00320EE5"/>
    <w:rsid w:val="00320FA8"/>
    <w:rsid w:val="0032150D"/>
    <w:rsid w:val="003215E3"/>
    <w:rsid w:val="0032184F"/>
    <w:rsid w:val="00321954"/>
    <w:rsid w:val="00321A01"/>
    <w:rsid w:val="00321F93"/>
    <w:rsid w:val="003220D5"/>
    <w:rsid w:val="003221B9"/>
    <w:rsid w:val="00322AB6"/>
    <w:rsid w:val="00323019"/>
    <w:rsid w:val="0032347B"/>
    <w:rsid w:val="003236FE"/>
    <w:rsid w:val="003237E1"/>
    <w:rsid w:val="00323E37"/>
    <w:rsid w:val="00323FAB"/>
    <w:rsid w:val="00324389"/>
    <w:rsid w:val="003244D2"/>
    <w:rsid w:val="00324514"/>
    <w:rsid w:val="003247A5"/>
    <w:rsid w:val="00324B12"/>
    <w:rsid w:val="00324F5E"/>
    <w:rsid w:val="0032511F"/>
    <w:rsid w:val="0032538B"/>
    <w:rsid w:val="00325406"/>
    <w:rsid w:val="00325584"/>
    <w:rsid w:val="00325967"/>
    <w:rsid w:val="00325B84"/>
    <w:rsid w:val="00325D24"/>
    <w:rsid w:val="0032606A"/>
    <w:rsid w:val="00326368"/>
    <w:rsid w:val="003267DE"/>
    <w:rsid w:val="00326CD0"/>
    <w:rsid w:val="00326CFC"/>
    <w:rsid w:val="00327773"/>
    <w:rsid w:val="0032790A"/>
    <w:rsid w:val="003279A5"/>
    <w:rsid w:val="00327A5D"/>
    <w:rsid w:val="00327DB8"/>
    <w:rsid w:val="003303D8"/>
    <w:rsid w:val="003305F2"/>
    <w:rsid w:val="00330791"/>
    <w:rsid w:val="00330C0E"/>
    <w:rsid w:val="00330DD4"/>
    <w:rsid w:val="0033106E"/>
    <w:rsid w:val="003310FB"/>
    <w:rsid w:val="00331102"/>
    <w:rsid w:val="0033128A"/>
    <w:rsid w:val="00331355"/>
    <w:rsid w:val="00331C4A"/>
    <w:rsid w:val="00331CAA"/>
    <w:rsid w:val="00331E8B"/>
    <w:rsid w:val="00332329"/>
    <w:rsid w:val="00332374"/>
    <w:rsid w:val="00332707"/>
    <w:rsid w:val="00332903"/>
    <w:rsid w:val="00332962"/>
    <w:rsid w:val="00332978"/>
    <w:rsid w:val="00332A69"/>
    <w:rsid w:val="00332CCF"/>
    <w:rsid w:val="00332D58"/>
    <w:rsid w:val="0033371F"/>
    <w:rsid w:val="00333852"/>
    <w:rsid w:val="00333B71"/>
    <w:rsid w:val="00333CB9"/>
    <w:rsid w:val="003342FC"/>
    <w:rsid w:val="0033430C"/>
    <w:rsid w:val="00334379"/>
    <w:rsid w:val="003343F9"/>
    <w:rsid w:val="003345BA"/>
    <w:rsid w:val="003347D7"/>
    <w:rsid w:val="00334A2C"/>
    <w:rsid w:val="00334A5A"/>
    <w:rsid w:val="00334CFF"/>
    <w:rsid w:val="00334DD0"/>
    <w:rsid w:val="00334F01"/>
    <w:rsid w:val="00335B44"/>
    <w:rsid w:val="003363EE"/>
    <w:rsid w:val="003363F5"/>
    <w:rsid w:val="0033665A"/>
    <w:rsid w:val="00336787"/>
    <w:rsid w:val="00336833"/>
    <w:rsid w:val="00336ADF"/>
    <w:rsid w:val="00336B46"/>
    <w:rsid w:val="003371B4"/>
    <w:rsid w:val="00337297"/>
    <w:rsid w:val="003373C8"/>
    <w:rsid w:val="00337628"/>
    <w:rsid w:val="003377A1"/>
    <w:rsid w:val="003379D4"/>
    <w:rsid w:val="00337BB0"/>
    <w:rsid w:val="00337C45"/>
    <w:rsid w:val="00337D65"/>
    <w:rsid w:val="00337E32"/>
    <w:rsid w:val="003409A4"/>
    <w:rsid w:val="00340A9E"/>
    <w:rsid w:val="00340AE0"/>
    <w:rsid w:val="00341016"/>
    <w:rsid w:val="0034130C"/>
    <w:rsid w:val="00341410"/>
    <w:rsid w:val="0034150F"/>
    <w:rsid w:val="0034159B"/>
    <w:rsid w:val="0034179C"/>
    <w:rsid w:val="003418A0"/>
    <w:rsid w:val="003419A5"/>
    <w:rsid w:val="00341D98"/>
    <w:rsid w:val="00341F03"/>
    <w:rsid w:val="00341F9C"/>
    <w:rsid w:val="00342217"/>
    <w:rsid w:val="0034227B"/>
    <w:rsid w:val="00342705"/>
    <w:rsid w:val="0034288F"/>
    <w:rsid w:val="00342A7C"/>
    <w:rsid w:val="00342A80"/>
    <w:rsid w:val="00342BAC"/>
    <w:rsid w:val="00342C92"/>
    <w:rsid w:val="00342EB2"/>
    <w:rsid w:val="00342FE5"/>
    <w:rsid w:val="00343091"/>
    <w:rsid w:val="003430C3"/>
    <w:rsid w:val="0034323B"/>
    <w:rsid w:val="00343263"/>
    <w:rsid w:val="00343606"/>
    <w:rsid w:val="0034360B"/>
    <w:rsid w:val="003438A8"/>
    <w:rsid w:val="00343A98"/>
    <w:rsid w:val="00343CE6"/>
    <w:rsid w:val="00343D6B"/>
    <w:rsid w:val="0034401E"/>
    <w:rsid w:val="00344029"/>
    <w:rsid w:val="00344082"/>
    <w:rsid w:val="00344B7F"/>
    <w:rsid w:val="00345035"/>
    <w:rsid w:val="00345138"/>
    <w:rsid w:val="003452ED"/>
    <w:rsid w:val="00345364"/>
    <w:rsid w:val="003454D3"/>
    <w:rsid w:val="00345685"/>
    <w:rsid w:val="003457CB"/>
    <w:rsid w:val="00345ECE"/>
    <w:rsid w:val="00345F8D"/>
    <w:rsid w:val="00345FC1"/>
    <w:rsid w:val="003462E8"/>
    <w:rsid w:val="00346603"/>
    <w:rsid w:val="003466E5"/>
    <w:rsid w:val="00346850"/>
    <w:rsid w:val="003468E4"/>
    <w:rsid w:val="00346F35"/>
    <w:rsid w:val="00346F77"/>
    <w:rsid w:val="0034709D"/>
    <w:rsid w:val="0034744B"/>
    <w:rsid w:val="0034796A"/>
    <w:rsid w:val="00347BFD"/>
    <w:rsid w:val="00347E13"/>
    <w:rsid w:val="00350613"/>
    <w:rsid w:val="00350668"/>
    <w:rsid w:val="00350FF1"/>
    <w:rsid w:val="003514D8"/>
    <w:rsid w:val="003518B7"/>
    <w:rsid w:val="00351BDB"/>
    <w:rsid w:val="00352005"/>
    <w:rsid w:val="00352C1C"/>
    <w:rsid w:val="00352E04"/>
    <w:rsid w:val="00352E12"/>
    <w:rsid w:val="00352F20"/>
    <w:rsid w:val="00352F59"/>
    <w:rsid w:val="003532B7"/>
    <w:rsid w:val="00353AA3"/>
    <w:rsid w:val="0035427E"/>
    <w:rsid w:val="00354C2B"/>
    <w:rsid w:val="00354D55"/>
    <w:rsid w:val="003553D5"/>
    <w:rsid w:val="003558FA"/>
    <w:rsid w:val="00355A54"/>
    <w:rsid w:val="003560F2"/>
    <w:rsid w:val="0035610B"/>
    <w:rsid w:val="0035611A"/>
    <w:rsid w:val="0035658D"/>
    <w:rsid w:val="0035671D"/>
    <w:rsid w:val="00356CB3"/>
    <w:rsid w:val="00356D96"/>
    <w:rsid w:val="003573E1"/>
    <w:rsid w:val="0035761C"/>
    <w:rsid w:val="00357796"/>
    <w:rsid w:val="00357856"/>
    <w:rsid w:val="00357AA2"/>
    <w:rsid w:val="00357B8C"/>
    <w:rsid w:val="00357C62"/>
    <w:rsid w:val="00357EDD"/>
    <w:rsid w:val="00357EF6"/>
    <w:rsid w:val="003600D4"/>
    <w:rsid w:val="0036040E"/>
    <w:rsid w:val="0036057D"/>
    <w:rsid w:val="003607A6"/>
    <w:rsid w:val="00360838"/>
    <w:rsid w:val="003609B2"/>
    <w:rsid w:val="00360B02"/>
    <w:rsid w:val="00360B41"/>
    <w:rsid w:val="00360C3B"/>
    <w:rsid w:val="00360EE0"/>
    <w:rsid w:val="00360EF6"/>
    <w:rsid w:val="00361190"/>
    <w:rsid w:val="0036120B"/>
    <w:rsid w:val="00361529"/>
    <w:rsid w:val="00361634"/>
    <w:rsid w:val="003619AC"/>
    <w:rsid w:val="00361E1C"/>
    <w:rsid w:val="00361E24"/>
    <w:rsid w:val="00362223"/>
    <w:rsid w:val="00362314"/>
    <w:rsid w:val="003627AA"/>
    <w:rsid w:val="003627CE"/>
    <w:rsid w:val="003629F1"/>
    <w:rsid w:val="00362EA7"/>
    <w:rsid w:val="003630AE"/>
    <w:rsid w:val="0036332C"/>
    <w:rsid w:val="003634F8"/>
    <w:rsid w:val="0036354F"/>
    <w:rsid w:val="003637FB"/>
    <w:rsid w:val="00363882"/>
    <w:rsid w:val="00363B71"/>
    <w:rsid w:val="00363C38"/>
    <w:rsid w:val="00363C7F"/>
    <w:rsid w:val="00363CDF"/>
    <w:rsid w:val="00363D3B"/>
    <w:rsid w:val="00363DB4"/>
    <w:rsid w:val="00363E14"/>
    <w:rsid w:val="00363E1F"/>
    <w:rsid w:val="00363F04"/>
    <w:rsid w:val="003649FA"/>
    <w:rsid w:val="00364B31"/>
    <w:rsid w:val="00364D25"/>
    <w:rsid w:val="00364DD8"/>
    <w:rsid w:val="00364E31"/>
    <w:rsid w:val="00365070"/>
    <w:rsid w:val="00365968"/>
    <w:rsid w:val="0036635E"/>
    <w:rsid w:val="003664B7"/>
    <w:rsid w:val="00366AE0"/>
    <w:rsid w:val="00366CFD"/>
    <w:rsid w:val="00366DFC"/>
    <w:rsid w:val="00366EF7"/>
    <w:rsid w:val="00367006"/>
    <w:rsid w:val="003674E1"/>
    <w:rsid w:val="00367E67"/>
    <w:rsid w:val="00370268"/>
    <w:rsid w:val="003703CB"/>
    <w:rsid w:val="003704BD"/>
    <w:rsid w:val="00370570"/>
    <w:rsid w:val="00370624"/>
    <w:rsid w:val="00370C3D"/>
    <w:rsid w:val="00370CD8"/>
    <w:rsid w:val="00370E1A"/>
    <w:rsid w:val="00370EC9"/>
    <w:rsid w:val="00370F57"/>
    <w:rsid w:val="00371176"/>
    <w:rsid w:val="00371284"/>
    <w:rsid w:val="003712F4"/>
    <w:rsid w:val="00371A35"/>
    <w:rsid w:val="00372598"/>
    <w:rsid w:val="0037261E"/>
    <w:rsid w:val="00372A08"/>
    <w:rsid w:val="00372DEA"/>
    <w:rsid w:val="00372F73"/>
    <w:rsid w:val="00372F7E"/>
    <w:rsid w:val="00373048"/>
    <w:rsid w:val="00373054"/>
    <w:rsid w:val="00373240"/>
    <w:rsid w:val="003737F1"/>
    <w:rsid w:val="00373C24"/>
    <w:rsid w:val="003747F0"/>
    <w:rsid w:val="00374A03"/>
    <w:rsid w:val="003750E3"/>
    <w:rsid w:val="003750F9"/>
    <w:rsid w:val="003754A6"/>
    <w:rsid w:val="003755A7"/>
    <w:rsid w:val="003755FA"/>
    <w:rsid w:val="003756A8"/>
    <w:rsid w:val="00375E74"/>
    <w:rsid w:val="00375F01"/>
    <w:rsid w:val="00375FAA"/>
    <w:rsid w:val="00376019"/>
    <w:rsid w:val="00376147"/>
    <w:rsid w:val="00376276"/>
    <w:rsid w:val="00376531"/>
    <w:rsid w:val="00376D30"/>
    <w:rsid w:val="00376E8B"/>
    <w:rsid w:val="003771C1"/>
    <w:rsid w:val="00377202"/>
    <w:rsid w:val="003777B2"/>
    <w:rsid w:val="00377935"/>
    <w:rsid w:val="00377B27"/>
    <w:rsid w:val="00377E03"/>
    <w:rsid w:val="00377F5C"/>
    <w:rsid w:val="00380109"/>
    <w:rsid w:val="00380227"/>
    <w:rsid w:val="003802C6"/>
    <w:rsid w:val="003803D5"/>
    <w:rsid w:val="003808C7"/>
    <w:rsid w:val="00380F34"/>
    <w:rsid w:val="00380F7E"/>
    <w:rsid w:val="0038153D"/>
    <w:rsid w:val="003817B7"/>
    <w:rsid w:val="003818A1"/>
    <w:rsid w:val="003818A7"/>
    <w:rsid w:val="00381992"/>
    <w:rsid w:val="00381AB8"/>
    <w:rsid w:val="00381B21"/>
    <w:rsid w:val="00381CA8"/>
    <w:rsid w:val="00381D75"/>
    <w:rsid w:val="00381DF1"/>
    <w:rsid w:val="003825E3"/>
    <w:rsid w:val="0038273D"/>
    <w:rsid w:val="00382989"/>
    <w:rsid w:val="00382A12"/>
    <w:rsid w:val="0038325A"/>
    <w:rsid w:val="00383750"/>
    <w:rsid w:val="00383ADE"/>
    <w:rsid w:val="00383B09"/>
    <w:rsid w:val="00383D87"/>
    <w:rsid w:val="00383FD4"/>
    <w:rsid w:val="0038407C"/>
    <w:rsid w:val="003844BD"/>
    <w:rsid w:val="003846D2"/>
    <w:rsid w:val="0038474B"/>
    <w:rsid w:val="00384792"/>
    <w:rsid w:val="003850F9"/>
    <w:rsid w:val="003851BB"/>
    <w:rsid w:val="00385226"/>
    <w:rsid w:val="00385283"/>
    <w:rsid w:val="00385891"/>
    <w:rsid w:val="00385986"/>
    <w:rsid w:val="003859CF"/>
    <w:rsid w:val="00385C6B"/>
    <w:rsid w:val="00385EFC"/>
    <w:rsid w:val="00386549"/>
    <w:rsid w:val="00386590"/>
    <w:rsid w:val="00386691"/>
    <w:rsid w:val="003867CF"/>
    <w:rsid w:val="00386B0E"/>
    <w:rsid w:val="00386BF8"/>
    <w:rsid w:val="00386DC7"/>
    <w:rsid w:val="00386F84"/>
    <w:rsid w:val="00387186"/>
    <w:rsid w:val="00387300"/>
    <w:rsid w:val="00387941"/>
    <w:rsid w:val="00387A28"/>
    <w:rsid w:val="00387BD3"/>
    <w:rsid w:val="00390293"/>
    <w:rsid w:val="00390633"/>
    <w:rsid w:val="003906D0"/>
    <w:rsid w:val="00390BB0"/>
    <w:rsid w:val="00390D2D"/>
    <w:rsid w:val="00390E7C"/>
    <w:rsid w:val="00390F1E"/>
    <w:rsid w:val="003912C8"/>
    <w:rsid w:val="003922A5"/>
    <w:rsid w:val="00392317"/>
    <w:rsid w:val="00392454"/>
    <w:rsid w:val="003924DC"/>
    <w:rsid w:val="00392823"/>
    <w:rsid w:val="00392831"/>
    <w:rsid w:val="00392C9B"/>
    <w:rsid w:val="00392CA7"/>
    <w:rsid w:val="0039320A"/>
    <w:rsid w:val="0039341A"/>
    <w:rsid w:val="00393503"/>
    <w:rsid w:val="0039364A"/>
    <w:rsid w:val="00393BCE"/>
    <w:rsid w:val="00393D8A"/>
    <w:rsid w:val="00393EC5"/>
    <w:rsid w:val="003942E4"/>
    <w:rsid w:val="00394570"/>
    <w:rsid w:val="003945F7"/>
    <w:rsid w:val="00394635"/>
    <w:rsid w:val="0039469B"/>
    <w:rsid w:val="003959B4"/>
    <w:rsid w:val="00395A42"/>
    <w:rsid w:val="00395B1F"/>
    <w:rsid w:val="00395D39"/>
    <w:rsid w:val="00395DD2"/>
    <w:rsid w:val="00396066"/>
    <w:rsid w:val="0039657F"/>
    <w:rsid w:val="00396BD5"/>
    <w:rsid w:val="00397454"/>
    <w:rsid w:val="00397879"/>
    <w:rsid w:val="003979D7"/>
    <w:rsid w:val="00397F71"/>
    <w:rsid w:val="003A021A"/>
    <w:rsid w:val="003A0B4D"/>
    <w:rsid w:val="003A0B85"/>
    <w:rsid w:val="003A0CED"/>
    <w:rsid w:val="003A1194"/>
    <w:rsid w:val="003A122F"/>
    <w:rsid w:val="003A124A"/>
    <w:rsid w:val="003A1252"/>
    <w:rsid w:val="003A151D"/>
    <w:rsid w:val="003A1659"/>
    <w:rsid w:val="003A1981"/>
    <w:rsid w:val="003A2039"/>
    <w:rsid w:val="003A21A4"/>
    <w:rsid w:val="003A23B2"/>
    <w:rsid w:val="003A2464"/>
    <w:rsid w:val="003A252E"/>
    <w:rsid w:val="003A25E6"/>
    <w:rsid w:val="003A2C92"/>
    <w:rsid w:val="003A2E9B"/>
    <w:rsid w:val="003A3506"/>
    <w:rsid w:val="003A3513"/>
    <w:rsid w:val="003A38E5"/>
    <w:rsid w:val="003A3C92"/>
    <w:rsid w:val="003A3D5A"/>
    <w:rsid w:val="003A3E5D"/>
    <w:rsid w:val="003A3F24"/>
    <w:rsid w:val="003A40C2"/>
    <w:rsid w:val="003A4126"/>
    <w:rsid w:val="003A444A"/>
    <w:rsid w:val="003A4480"/>
    <w:rsid w:val="003A467F"/>
    <w:rsid w:val="003A48B9"/>
    <w:rsid w:val="003A4DA3"/>
    <w:rsid w:val="003A4E26"/>
    <w:rsid w:val="003A4F9D"/>
    <w:rsid w:val="003A5205"/>
    <w:rsid w:val="003A5339"/>
    <w:rsid w:val="003A53FC"/>
    <w:rsid w:val="003A59CD"/>
    <w:rsid w:val="003A5D3E"/>
    <w:rsid w:val="003A5F77"/>
    <w:rsid w:val="003A5FD3"/>
    <w:rsid w:val="003A60F3"/>
    <w:rsid w:val="003A672A"/>
    <w:rsid w:val="003A6A57"/>
    <w:rsid w:val="003A6A73"/>
    <w:rsid w:val="003A6CF6"/>
    <w:rsid w:val="003A6D20"/>
    <w:rsid w:val="003A75F3"/>
    <w:rsid w:val="003A778C"/>
    <w:rsid w:val="003A7BD5"/>
    <w:rsid w:val="003B0135"/>
    <w:rsid w:val="003B05DE"/>
    <w:rsid w:val="003B0748"/>
    <w:rsid w:val="003B0810"/>
    <w:rsid w:val="003B0889"/>
    <w:rsid w:val="003B0AA0"/>
    <w:rsid w:val="003B0AA4"/>
    <w:rsid w:val="003B0BD8"/>
    <w:rsid w:val="003B0C48"/>
    <w:rsid w:val="003B153A"/>
    <w:rsid w:val="003B1674"/>
    <w:rsid w:val="003B16D5"/>
    <w:rsid w:val="003B2AFD"/>
    <w:rsid w:val="003B2B3A"/>
    <w:rsid w:val="003B2C72"/>
    <w:rsid w:val="003B3525"/>
    <w:rsid w:val="003B3B0A"/>
    <w:rsid w:val="003B3C54"/>
    <w:rsid w:val="003B3C71"/>
    <w:rsid w:val="003B3D46"/>
    <w:rsid w:val="003B3FE9"/>
    <w:rsid w:val="003B4315"/>
    <w:rsid w:val="003B4443"/>
    <w:rsid w:val="003B44A3"/>
    <w:rsid w:val="003B461A"/>
    <w:rsid w:val="003B469A"/>
    <w:rsid w:val="003B46E8"/>
    <w:rsid w:val="003B472C"/>
    <w:rsid w:val="003B488A"/>
    <w:rsid w:val="003B4954"/>
    <w:rsid w:val="003B5A1E"/>
    <w:rsid w:val="003B5BD7"/>
    <w:rsid w:val="003B5DAE"/>
    <w:rsid w:val="003B6097"/>
    <w:rsid w:val="003B6137"/>
    <w:rsid w:val="003B6606"/>
    <w:rsid w:val="003B6900"/>
    <w:rsid w:val="003B6BB7"/>
    <w:rsid w:val="003B6F8D"/>
    <w:rsid w:val="003B6FBC"/>
    <w:rsid w:val="003B72F9"/>
    <w:rsid w:val="003B7C56"/>
    <w:rsid w:val="003C03E4"/>
    <w:rsid w:val="003C0550"/>
    <w:rsid w:val="003C056E"/>
    <w:rsid w:val="003C0730"/>
    <w:rsid w:val="003C07AB"/>
    <w:rsid w:val="003C09FF"/>
    <w:rsid w:val="003C0DC9"/>
    <w:rsid w:val="003C1080"/>
    <w:rsid w:val="003C1557"/>
    <w:rsid w:val="003C1585"/>
    <w:rsid w:val="003C15EA"/>
    <w:rsid w:val="003C1B58"/>
    <w:rsid w:val="003C1CD3"/>
    <w:rsid w:val="003C1F6B"/>
    <w:rsid w:val="003C251E"/>
    <w:rsid w:val="003C2A35"/>
    <w:rsid w:val="003C2A93"/>
    <w:rsid w:val="003C2C1E"/>
    <w:rsid w:val="003C2DE2"/>
    <w:rsid w:val="003C3294"/>
    <w:rsid w:val="003C3543"/>
    <w:rsid w:val="003C3A8A"/>
    <w:rsid w:val="003C407E"/>
    <w:rsid w:val="003C429E"/>
    <w:rsid w:val="003C42E2"/>
    <w:rsid w:val="003C495F"/>
    <w:rsid w:val="003C4BEF"/>
    <w:rsid w:val="003C51A5"/>
    <w:rsid w:val="003C5803"/>
    <w:rsid w:val="003C59B3"/>
    <w:rsid w:val="003C5ACA"/>
    <w:rsid w:val="003C5B54"/>
    <w:rsid w:val="003C63DB"/>
    <w:rsid w:val="003C6E75"/>
    <w:rsid w:val="003C6E76"/>
    <w:rsid w:val="003C7204"/>
    <w:rsid w:val="003C7221"/>
    <w:rsid w:val="003C7C31"/>
    <w:rsid w:val="003D078D"/>
    <w:rsid w:val="003D0918"/>
    <w:rsid w:val="003D094E"/>
    <w:rsid w:val="003D0A15"/>
    <w:rsid w:val="003D0A59"/>
    <w:rsid w:val="003D0AA2"/>
    <w:rsid w:val="003D0DED"/>
    <w:rsid w:val="003D0ED0"/>
    <w:rsid w:val="003D0ED8"/>
    <w:rsid w:val="003D1006"/>
    <w:rsid w:val="003D129F"/>
    <w:rsid w:val="003D1343"/>
    <w:rsid w:val="003D191F"/>
    <w:rsid w:val="003D1C0F"/>
    <w:rsid w:val="003D1DA1"/>
    <w:rsid w:val="003D201A"/>
    <w:rsid w:val="003D24CF"/>
    <w:rsid w:val="003D262B"/>
    <w:rsid w:val="003D29BB"/>
    <w:rsid w:val="003D2BE4"/>
    <w:rsid w:val="003D2C5E"/>
    <w:rsid w:val="003D2D38"/>
    <w:rsid w:val="003D30B7"/>
    <w:rsid w:val="003D30D2"/>
    <w:rsid w:val="003D325A"/>
    <w:rsid w:val="003D366E"/>
    <w:rsid w:val="003D3901"/>
    <w:rsid w:val="003D395C"/>
    <w:rsid w:val="003D39FD"/>
    <w:rsid w:val="003D3B45"/>
    <w:rsid w:val="003D4090"/>
    <w:rsid w:val="003D4220"/>
    <w:rsid w:val="003D43A7"/>
    <w:rsid w:val="003D44C9"/>
    <w:rsid w:val="003D49B3"/>
    <w:rsid w:val="003D4A1D"/>
    <w:rsid w:val="003D4ADD"/>
    <w:rsid w:val="003D4DA7"/>
    <w:rsid w:val="003D4E75"/>
    <w:rsid w:val="003D50DD"/>
    <w:rsid w:val="003D51B1"/>
    <w:rsid w:val="003D52F4"/>
    <w:rsid w:val="003D53C9"/>
    <w:rsid w:val="003D55E8"/>
    <w:rsid w:val="003D5864"/>
    <w:rsid w:val="003D59B1"/>
    <w:rsid w:val="003D59BB"/>
    <w:rsid w:val="003D5AD3"/>
    <w:rsid w:val="003D5C83"/>
    <w:rsid w:val="003D5CD7"/>
    <w:rsid w:val="003D6438"/>
    <w:rsid w:val="003D64EF"/>
    <w:rsid w:val="003D6501"/>
    <w:rsid w:val="003D65EA"/>
    <w:rsid w:val="003D6859"/>
    <w:rsid w:val="003D6B33"/>
    <w:rsid w:val="003D6E68"/>
    <w:rsid w:val="003D6FA2"/>
    <w:rsid w:val="003D6FC2"/>
    <w:rsid w:val="003D70DA"/>
    <w:rsid w:val="003D719F"/>
    <w:rsid w:val="003E01BB"/>
    <w:rsid w:val="003E03E0"/>
    <w:rsid w:val="003E0530"/>
    <w:rsid w:val="003E0D20"/>
    <w:rsid w:val="003E0F14"/>
    <w:rsid w:val="003E0F17"/>
    <w:rsid w:val="003E10D9"/>
    <w:rsid w:val="003E11DD"/>
    <w:rsid w:val="003E1340"/>
    <w:rsid w:val="003E1545"/>
    <w:rsid w:val="003E1CA6"/>
    <w:rsid w:val="003E258F"/>
    <w:rsid w:val="003E2777"/>
    <w:rsid w:val="003E282F"/>
    <w:rsid w:val="003E294A"/>
    <w:rsid w:val="003E3148"/>
    <w:rsid w:val="003E31A7"/>
    <w:rsid w:val="003E32EC"/>
    <w:rsid w:val="003E3339"/>
    <w:rsid w:val="003E39E4"/>
    <w:rsid w:val="003E3B03"/>
    <w:rsid w:val="003E3CE7"/>
    <w:rsid w:val="003E409D"/>
    <w:rsid w:val="003E4327"/>
    <w:rsid w:val="003E4D3C"/>
    <w:rsid w:val="003E4DB2"/>
    <w:rsid w:val="003E4F35"/>
    <w:rsid w:val="003E503A"/>
    <w:rsid w:val="003E5061"/>
    <w:rsid w:val="003E517E"/>
    <w:rsid w:val="003E5184"/>
    <w:rsid w:val="003E57F8"/>
    <w:rsid w:val="003E59BB"/>
    <w:rsid w:val="003E5CD8"/>
    <w:rsid w:val="003E5DAC"/>
    <w:rsid w:val="003E5E0E"/>
    <w:rsid w:val="003E5EC2"/>
    <w:rsid w:val="003E5FDB"/>
    <w:rsid w:val="003E67CD"/>
    <w:rsid w:val="003E6CD5"/>
    <w:rsid w:val="003E6D5C"/>
    <w:rsid w:val="003E75EF"/>
    <w:rsid w:val="003E7633"/>
    <w:rsid w:val="003E7771"/>
    <w:rsid w:val="003E7851"/>
    <w:rsid w:val="003E7E27"/>
    <w:rsid w:val="003E7FFC"/>
    <w:rsid w:val="003F0130"/>
    <w:rsid w:val="003F044C"/>
    <w:rsid w:val="003F0714"/>
    <w:rsid w:val="003F09DD"/>
    <w:rsid w:val="003F11E1"/>
    <w:rsid w:val="003F12C1"/>
    <w:rsid w:val="003F150F"/>
    <w:rsid w:val="003F151A"/>
    <w:rsid w:val="003F18E4"/>
    <w:rsid w:val="003F1FD6"/>
    <w:rsid w:val="003F2034"/>
    <w:rsid w:val="003F2149"/>
    <w:rsid w:val="003F259C"/>
    <w:rsid w:val="003F26F6"/>
    <w:rsid w:val="003F2730"/>
    <w:rsid w:val="003F2FFC"/>
    <w:rsid w:val="003F3311"/>
    <w:rsid w:val="003F3321"/>
    <w:rsid w:val="003F34D2"/>
    <w:rsid w:val="003F34ED"/>
    <w:rsid w:val="003F3862"/>
    <w:rsid w:val="003F3B13"/>
    <w:rsid w:val="003F3B70"/>
    <w:rsid w:val="003F3E6D"/>
    <w:rsid w:val="003F4301"/>
    <w:rsid w:val="003F43F5"/>
    <w:rsid w:val="003F4440"/>
    <w:rsid w:val="003F4495"/>
    <w:rsid w:val="003F47E2"/>
    <w:rsid w:val="003F4862"/>
    <w:rsid w:val="003F4E50"/>
    <w:rsid w:val="003F4F16"/>
    <w:rsid w:val="003F507D"/>
    <w:rsid w:val="003F5266"/>
    <w:rsid w:val="003F5491"/>
    <w:rsid w:val="003F56EC"/>
    <w:rsid w:val="003F5B1F"/>
    <w:rsid w:val="003F5B23"/>
    <w:rsid w:val="003F5BB3"/>
    <w:rsid w:val="003F61CD"/>
    <w:rsid w:val="003F6327"/>
    <w:rsid w:val="003F653B"/>
    <w:rsid w:val="003F65C2"/>
    <w:rsid w:val="003F67A6"/>
    <w:rsid w:val="003F6A7F"/>
    <w:rsid w:val="003F708E"/>
    <w:rsid w:val="003F737F"/>
    <w:rsid w:val="003F7764"/>
    <w:rsid w:val="003F78BC"/>
    <w:rsid w:val="003F79CF"/>
    <w:rsid w:val="003F7A26"/>
    <w:rsid w:val="0040010F"/>
    <w:rsid w:val="004006F6"/>
    <w:rsid w:val="004007EA"/>
    <w:rsid w:val="0040082A"/>
    <w:rsid w:val="0040088D"/>
    <w:rsid w:val="00400E6B"/>
    <w:rsid w:val="00400F26"/>
    <w:rsid w:val="004015DA"/>
    <w:rsid w:val="004018FD"/>
    <w:rsid w:val="00401A5D"/>
    <w:rsid w:val="00401DBF"/>
    <w:rsid w:val="00401E35"/>
    <w:rsid w:val="0040212C"/>
    <w:rsid w:val="00402176"/>
    <w:rsid w:val="0040223F"/>
    <w:rsid w:val="00402427"/>
    <w:rsid w:val="0040257C"/>
    <w:rsid w:val="004026A1"/>
    <w:rsid w:val="004026D7"/>
    <w:rsid w:val="00402997"/>
    <w:rsid w:val="00402B53"/>
    <w:rsid w:val="00402BF7"/>
    <w:rsid w:val="00402C00"/>
    <w:rsid w:val="00402C6A"/>
    <w:rsid w:val="00402EB3"/>
    <w:rsid w:val="00402FBF"/>
    <w:rsid w:val="00403243"/>
    <w:rsid w:val="00403318"/>
    <w:rsid w:val="00403F72"/>
    <w:rsid w:val="00404074"/>
    <w:rsid w:val="004041EA"/>
    <w:rsid w:val="004049E5"/>
    <w:rsid w:val="00404E0F"/>
    <w:rsid w:val="00404E7C"/>
    <w:rsid w:val="00404F10"/>
    <w:rsid w:val="0040514E"/>
    <w:rsid w:val="004052CB"/>
    <w:rsid w:val="004057A2"/>
    <w:rsid w:val="00405F43"/>
    <w:rsid w:val="0040623D"/>
    <w:rsid w:val="004062EA"/>
    <w:rsid w:val="0040646A"/>
    <w:rsid w:val="004065AB"/>
    <w:rsid w:val="004065BD"/>
    <w:rsid w:val="0040662E"/>
    <w:rsid w:val="004067CA"/>
    <w:rsid w:val="00406972"/>
    <w:rsid w:val="00406CED"/>
    <w:rsid w:val="00407276"/>
    <w:rsid w:val="0040758A"/>
    <w:rsid w:val="0040759E"/>
    <w:rsid w:val="004075CB"/>
    <w:rsid w:val="0040777D"/>
    <w:rsid w:val="0040785C"/>
    <w:rsid w:val="00407962"/>
    <w:rsid w:val="00407DA8"/>
    <w:rsid w:val="00407F25"/>
    <w:rsid w:val="004100AE"/>
    <w:rsid w:val="004107D4"/>
    <w:rsid w:val="00410A51"/>
    <w:rsid w:val="00410B3F"/>
    <w:rsid w:val="00411035"/>
    <w:rsid w:val="004116FC"/>
    <w:rsid w:val="00411845"/>
    <w:rsid w:val="004118DA"/>
    <w:rsid w:val="004119B2"/>
    <w:rsid w:val="00411CE2"/>
    <w:rsid w:val="004123E5"/>
    <w:rsid w:val="0041246D"/>
    <w:rsid w:val="004129FA"/>
    <w:rsid w:val="00412B23"/>
    <w:rsid w:val="004133B2"/>
    <w:rsid w:val="00413BDC"/>
    <w:rsid w:val="00413F6D"/>
    <w:rsid w:val="004145EA"/>
    <w:rsid w:val="004146F0"/>
    <w:rsid w:val="00414A6E"/>
    <w:rsid w:val="00414B9B"/>
    <w:rsid w:val="00414CA7"/>
    <w:rsid w:val="00414D32"/>
    <w:rsid w:val="00414F91"/>
    <w:rsid w:val="0041506B"/>
    <w:rsid w:val="004150EB"/>
    <w:rsid w:val="0041528B"/>
    <w:rsid w:val="00415EF9"/>
    <w:rsid w:val="00415F79"/>
    <w:rsid w:val="0041615F"/>
    <w:rsid w:val="00416262"/>
    <w:rsid w:val="004164B5"/>
    <w:rsid w:val="004168D5"/>
    <w:rsid w:val="00416B6A"/>
    <w:rsid w:val="00416D6C"/>
    <w:rsid w:val="004170DC"/>
    <w:rsid w:val="00417205"/>
    <w:rsid w:val="0041720F"/>
    <w:rsid w:val="004176D2"/>
    <w:rsid w:val="004177D1"/>
    <w:rsid w:val="004177F4"/>
    <w:rsid w:val="00417B33"/>
    <w:rsid w:val="00417CD0"/>
    <w:rsid w:val="00420761"/>
    <w:rsid w:val="00421129"/>
    <w:rsid w:val="004214D6"/>
    <w:rsid w:val="00421961"/>
    <w:rsid w:val="00421A2D"/>
    <w:rsid w:val="0042229D"/>
    <w:rsid w:val="004222AD"/>
    <w:rsid w:val="00422452"/>
    <w:rsid w:val="004225B9"/>
    <w:rsid w:val="00422A3A"/>
    <w:rsid w:val="00422C72"/>
    <w:rsid w:val="00422E16"/>
    <w:rsid w:val="00422E1A"/>
    <w:rsid w:val="0042308D"/>
    <w:rsid w:val="00423154"/>
    <w:rsid w:val="0042354E"/>
    <w:rsid w:val="00423989"/>
    <w:rsid w:val="00423C95"/>
    <w:rsid w:val="00423D08"/>
    <w:rsid w:val="00423FE6"/>
    <w:rsid w:val="00424244"/>
    <w:rsid w:val="00424443"/>
    <w:rsid w:val="004246B1"/>
    <w:rsid w:val="00424AD6"/>
    <w:rsid w:val="004252B3"/>
    <w:rsid w:val="00425313"/>
    <w:rsid w:val="004253CC"/>
    <w:rsid w:val="00425453"/>
    <w:rsid w:val="00425714"/>
    <w:rsid w:val="00425867"/>
    <w:rsid w:val="00425918"/>
    <w:rsid w:val="00425CB8"/>
    <w:rsid w:val="00425D41"/>
    <w:rsid w:val="00425FE1"/>
    <w:rsid w:val="00426115"/>
    <w:rsid w:val="0042659C"/>
    <w:rsid w:val="00426603"/>
    <w:rsid w:val="00426E58"/>
    <w:rsid w:val="004272EF"/>
    <w:rsid w:val="0042738C"/>
    <w:rsid w:val="00427397"/>
    <w:rsid w:val="004276F9"/>
    <w:rsid w:val="00427881"/>
    <w:rsid w:val="00427E3F"/>
    <w:rsid w:val="00427F67"/>
    <w:rsid w:val="004305DA"/>
    <w:rsid w:val="0043062F"/>
    <w:rsid w:val="004306E2"/>
    <w:rsid w:val="004306E4"/>
    <w:rsid w:val="004307EE"/>
    <w:rsid w:val="00430D19"/>
    <w:rsid w:val="00430E6F"/>
    <w:rsid w:val="00430F07"/>
    <w:rsid w:val="00431451"/>
    <w:rsid w:val="00431654"/>
    <w:rsid w:val="004316A0"/>
    <w:rsid w:val="00431BD5"/>
    <w:rsid w:val="00431BF0"/>
    <w:rsid w:val="00431C46"/>
    <w:rsid w:val="00431DF8"/>
    <w:rsid w:val="00431FD3"/>
    <w:rsid w:val="00432035"/>
    <w:rsid w:val="00432853"/>
    <w:rsid w:val="004329A2"/>
    <w:rsid w:val="004329C1"/>
    <w:rsid w:val="00432C0B"/>
    <w:rsid w:val="00432E01"/>
    <w:rsid w:val="00432E17"/>
    <w:rsid w:val="004330D2"/>
    <w:rsid w:val="00433285"/>
    <w:rsid w:val="0043335B"/>
    <w:rsid w:val="004334C7"/>
    <w:rsid w:val="00433647"/>
    <w:rsid w:val="00433798"/>
    <w:rsid w:val="00433B32"/>
    <w:rsid w:val="00433CC1"/>
    <w:rsid w:val="00433D72"/>
    <w:rsid w:val="00433D8E"/>
    <w:rsid w:val="0043441B"/>
    <w:rsid w:val="004346FF"/>
    <w:rsid w:val="00434834"/>
    <w:rsid w:val="00434CD9"/>
    <w:rsid w:val="00434FEC"/>
    <w:rsid w:val="004355E7"/>
    <w:rsid w:val="004356BB"/>
    <w:rsid w:val="00435B73"/>
    <w:rsid w:val="00436004"/>
    <w:rsid w:val="0043609A"/>
    <w:rsid w:val="00436130"/>
    <w:rsid w:val="004363E8"/>
    <w:rsid w:val="004364C9"/>
    <w:rsid w:val="004365ED"/>
    <w:rsid w:val="00436612"/>
    <w:rsid w:val="004368EB"/>
    <w:rsid w:val="00436F42"/>
    <w:rsid w:val="00437218"/>
    <w:rsid w:val="004372BC"/>
    <w:rsid w:val="00437443"/>
    <w:rsid w:val="00437604"/>
    <w:rsid w:val="004377B5"/>
    <w:rsid w:val="004377F7"/>
    <w:rsid w:val="00437810"/>
    <w:rsid w:val="004378D0"/>
    <w:rsid w:val="00437A8A"/>
    <w:rsid w:val="00437F13"/>
    <w:rsid w:val="00437F8C"/>
    <w:rsid w:val="00440072"/>
    <w:rsid w:val="00440277"/>
    <w:rsid w:val="0044042A"/>
    <w:rsid w:val="00440461"/>
    <w:rsid w:val="004405B9"/>
    <w:rsid w:val="004408EA"/>
    <w:rsid w:val="00440E74"/>
    <w:rsid w:val="00440ED2"/>
    <w:rsid w:val="00441428"/>
    <w:rsid w:val="00441497"/>
    <w:rsid w:val="00441725"/>
    <w:rsid w:val="00441887"/>
    <w:rsid w:val="00441967"/>
    <w:rsid w:val="00441D44"/>
    <w:rsid w:val="0044234E"/>
    <w:rsid w:val="00442A35"/>
    <w:rsid w:val="00442A9D"/>
    <w:rsid w:val="00442F86"/>
    <w:rsid w:val="004430D2"/>
    <w:rsid w:val="0044310A"/>
    <w:rsid w:val="0044397E"/>
    <w:rsid w:val="00443A32"/>
    <w:rsid w:val="00443C3E"/>
    <w:rsid w:val="00443D5E"/>
    <w:rsid w:val="0044483B"/>
    <w:rsid w:val="00444C9F"/>
    <w:rsid w:val="00444CE5"/>
    <w:rsid w:val="00444EB2"/>
    <w:rsid w:val="004450B0"/>
    <w:rsid w:val="00445452"/>
    <w:rsid w:val="00445787"/>
    <w:rsid w:val="00445A62"/>
    <w:rsid w:val="00445B2F"/>
    <w:rsid w:val="00446545"/>
    <w:rsid w:val="00446590"/>
    <w:rsid w:val="0044698A"/>
    <w:rsid w:val="00446AB9"/>
    <w:rsid w:val="00446AF3"/>
    <w:rsid w:val="00446C98"/>
    <w:rsid w:val="0044715B"/>
    <w:rsid w:val="00447445"/>
    <w:rsid w:val="00447759"/>
    <w:rsid w:val="00447870"/>
    <w:rsid w:val="00447A16"/>
    <w:rsid w:val="00447A75"/>
    <w:rsid w:val="00447AC2"/>
    <w:rsid w:val="00447DF8"/>
    <w:rsid w:val="004500D3"/>
    <w:rsid w:val="004501A4"/>
    <w:rsid w:val="0045061E"/>
    <w:rsid w:val="004508B7"/>
    <w:rsid w:val="004515B6"/>
    <w:rsid w:val="004519BA"/>
    <w:rsid w:val="00451FA2"/>
    <w:rsid w:val="004521AF"/>
    <w:rsid w:val="004522E6"/>
    <w:rsid w:val="00452346"/>
    <w:rsid w:val="0045244B"/>
    <w:rsid w:val="004529DF"/>
    <w:rsid w:val="00452C78"/>
    <w:rsid w:val="00452CAF"/>
    <w:rsid w:val="004530FB"/>
    <w:rsid w:val="00453303"/>
    <w:rsid w:val="004533B2"/>
    <w:rsid w:val="00453421"/>
    <w:rsid w:val="0045347B"/>
    <w:rsid w:val="00453537"/>
    <w:rsid w:val="00453F14"/>
    <w:rsid w:val="00453F90"/>
    <w:rsid w:val="004540B1"/>
    <w:rsid w:val="00454269"/>
    <w:rsid w:val="004548EB"/>
    <w:rsid w:val="00454A03"/>
    <w:rsid w:val="00454B54"/>
    <w:rsid w:val="00454BA8"/>
    <w:rsid w:val="00454F7E"/>
    <w:rsid w:val="0045547A"/>
    <w:rsid w:val="004554AB"/>
    <w:rsid w:val="004555CB"/>
    <w:rsid w:val="00455853"/>
    <w:rsid w:val="00455AC4"/>
    <w:rsid w:val="00455B70"/>
    <w:rsid w:val="00455D5C"/>
    <w:rsid w:val="00455D78"/>
    <w:rsid w:val="00455FB6"/>
    <w:rsid w:val="004561C3"/>
    <w:rsid w:val="0045664A"/>
    <w:rsid w:val="0045669F"/>
    <w:rsid w:val="004566F0"/>
    <w:rsid w:val="00456BEC"/>
    <w:rsid w:val="0045709D"/>
    <w:rsid w:val="004573BD"/>
    <w:rsid w:val="00457596"/>
    <w:rsid w:val="00457A12"/>
    <w:rsid w:val="00457BFC"/>
    <w:rsid w:val="00457C82"/>
    <w:rsid w:val="00457FA7"/>
    <w:rsid w:val="00457FFD"/>
    <w:rsid w:val="00460093"/>
    <w:rsid w:val="004600D1"/>
    <w:rsid w:val="00460621"/>
    <w:rsid w:val="004608ED"/>
    <w:rsid w:val="00460AFF"/>
    <w:rsid w:val="00460C6F"/>
    <w:rsid w:val="00460DAE"/>
    <w:rsid w:val="004611AA"/>
    <w:rsid w:val="004611F3"/>
    <w:rsid w:val="0046121F"/>
    <w:rsid w:val="004612A8"/>
    <w:rsid w:val="004618C5"/>
    <w:rsid w:val="004620A0"/>
    <w:rsid w:val="004620C9"/>
    <w:rsid w:val="00462257"/>
    <w:rsid w:val="00462405"/>
    <w:rsid w:val="00462705"/>
    <w:rsid w:val="00462832"/>
    <w:rsid w:val="00462D41"/>
    <w:rsid w:val="0046301F"/>
    <w:rsid w:val="00463202"/>
    <w:rsid w:val="0046331D"/>
    <w:rsid w:val="00463329"/>
    <w:rsid w:val="00463577"/>
    <w:rsid w:val="00463761"/>
    <w:rsid w:val="004637AB"/>
    <w:rsid w:val="00463984"/>
    <w:rsid w:val="00463CF1"/>
    <w:rsid w:val="00463F7F"/>
    <w:rsid w:val="0046404C"/>
    <w:rsid w:val="0046408C"/>
    <w:rsid w:val="004640DF"/>
    <w:rsid w:val="0046417C"/>
    <w:rsid w:val="0046454B"/>
    <w:rsid w:val="00464D55"/>
    <w:rsid w:val="00465111"/>
    <w:rsid w:val="004654D6"/>
    <w:rsid w:val="0046583C"/>
    <w:rsid w:val="00465981"/>
    <w:rsid w:val="00465D81"/>
    <w:rsid w:val="00465F17"/>
    <w:rsid w:val="00466233"/>
    <w:rsid w:val="004662B3"/>
    <w:rsid w:val="004665D6"/>
    <w:rsid w:val="00466838"/>
    <w:rsid w:val="004669EA"/>
    <w:rsid w:val="00466A43"/>
    <w:rsid w:val="00466FBB"/>
    <w:rsid w:val="00467085"/>
    <w:rsid w:val="00467348"/>
    <w:rsid w:val="0047003D"/>
    <w:rsid w:val="00470276"/>
    <w:rsid w:val="00470552"/>
    <w:rsid w:val="004705CB"/>
    <w:rsid w:val="00470913"/>
    <w:rsid w:val="004709C6"/>
    <w:rsid w:val="00470B9D"/>
    <w:rsid w:val="00470BBD"/>
    <w:rsid w:val="00470E84"/>
    <w:rsid w:val="00471051"/>
    <w:rsid w:val="00471120"/>
    <w:rsid w:val="00471195"/>
    <w:rsid w:val="004715A4"/>
    <w:rsid w:val="00471775"/>
    <w:rsid w:val="004720D0"/>
    <w:rsid w:val="00472335"/>
    <w:rsid w:val="0047245B"/>
    <w:rsid w:val="004725C9"/>
    <w:rsid w:val="00472910"/>
    <w:rsid w:val="00472994"/>
    <w:rsid w:val="004729BF"/>
    <w:rsid w:val="00472B86"/>
    <w:rsid w:val="00472C82"/>
    <w:rsid w:val="00472F9C"/>
    <w:rsid w:val="0047359E"/>
    <w:rsid w:val="004735C0"/>
    <w:rsid w:val="004736F4"/>
    <w:rsid w:val="004738AD"/>
    <w:rsid w:val="00473996"/>
    <w:rsid w:val="00473A13"/>
    <w:rsid w:val="00473A95"/>
    <w:rsid w:val="00473B26"/>
    <w:rsid w:val="00473C5A"/>
    <w:rsid w:val="00473C92"/>
    <w:rsid w:val="0047424D"/>
    <w:rsid w:val="004744CC"/>
    <w:rsid w:val="00474508"/>
    <w:rsid w:val="0047454A"/>
    <w:rsid w:val="00474C26"/>
    <w:rsid w:val="00474FB8"/>
    <w:rsid w:val="00475676"/>
    <w:rsid w:val="00475B6D"/>
    <w:rsid w:val="00475E19"/>
    <w:rsid w:val="00475FF3"/>
    <w:rsid w:val="00476087"/>
    <w:rsid w:val="0047612A"/>
    <w:rsid w:val="004763A0"/>
    <w:rsid w:val="00476B2A"/>
    <w:rsid w:val="00476E64"/>
    <w:rsid w:val="004771CA"/>
    <w:rsid w:val="00477A0F"/>
    <w:rsid w:val="00477A6B"/>
    <w:rsid w:val="00477DD1"/>
    <w:rsid w:val="0048024E"/>
    <w:rsid w:val="004805AC"/>
    <w:rsid w:val="00480661"/>
    <w:rsid w:val="00480845"/>
    <w:rsid w:val="004808D9"/>
    <w:rsid w:val="004808E9"/>
    <w:rsid w:val="00480CAB"/>
    <w:rsid w:val="00480E83"/>
    <w:rsid w:val="004811C4"/>
    <w:rsid w:val="004816AC"/>
    <w:rsid w:val="00481844"/>
    <w:rsid w:val="00481941"/>
    <w:rsid w:val="004819D4"/>
    <w:rsid w:val="00481C66"/>
    <w:rsid w:val="00481EE3"/>
    <w:rsid w:val="00482494"/>
    <w:rsid w:val="0048258E"/>
    <w:rsid w:val="004825F3"/>
    <w:rsid w:val="00482706"/>
    <w:rsid w:val="00482780"/>
    <w:rsid w:val="00482D5D"/>
    <w:rsid w:val="00482F11"/>
    <w:rsid w:val="0048308D"/>
    <w:rsid w:val="004831DF"/>
    <w:rsid w:val="00483661"/>
    <w:rsid w:val="0048387C"/>
    <w:rsid w:val="00483FDD"/>
    <w:rsid w:val="0048404D"/>
    <w:rsid w:val="0048485B"/>
    <w:rsid w:val="00484B28"/>
    <w:rsid w:val="00484BD3"/>
    <w:rsid w:val="00484D8F"/>
    <w:rsid w:val="00484DDE"/>
    <w:rsid w:val="00485010"/>
    <w:rsid w:val="00485351"/>
    <w:rsid w:val="004857EE"/>
    <w:rsid w:val="00485861"/>
    <w:rsid w:val="00486281"/>
    <w:rsid w:val="00486551"/>
    <w:rsid w:val="00486990"/>
    <w:rsid w:val="00486B6E"/>
    <w:rsid w:val="00486C8E"/>
    <w:rsid w:val="00486E33"/>
    <w:rsid w:val="004870A0"/>
    <w:rsid w:val="004874DB"/>
    <w:rsid w:val="00487650"/>
    <w:rsid w:val="00487782"/>
    <w:rsid w:val="00487AE3"/>
    <w:rsid w:val="00487B21"/>
    <w:rsid w:val="00487FE7"/>
    <w:rsid w:val="004900C0"/>
    <w:rsid w:val="004908B0"/>
    <w:rsid w:val="00490E6C"/>
    <w:rsid w:val="00490FD6"/>
    <w:rsid w:val="004911CD"/>
    <w:rsid w:val="00491277"/>
    <w:rsid w:val="00491A1D"/>
    <w:rsid w:val="00491B57"/>
    <w:rsid w:val="00491FBE"/>
    <w:rsid w:val="004921E2"/>
    <w:rsid w:val="00492481"/>
    <w:rsid w:val="00492677"/>
    <w:rsid w:val="00492AB9"/>
    <w:rsid w:val="00492BA1"/>
    <w:rsid w:val="00492DD2"/>
    <w:rsid w:val="004932AD"/>
    <w:rsid w:val="00493310"/>
    <w:rsid w:val="0049335F"/>
    <w:rsid w:val="00493430"/>
    <w:rsid w:val="004936D9"/>
    <w:rsid w:val="004944EE"/>
    <w:rsid w:val="00494974"/>
    <w:rsid w:val="00495180"/>
    <w:rsid w:val="00495553"/>
    <w:rsid w:val="004955CE"/>
    <w:rsid w:val="004957BD"/>
    <w:rsid w:val="0049586E"/>
    <w:rsid w:val="0049632D"/>
    <w:rsid w:val="00496344"/>
    <w:rsid w:val="0049652F"/>
    <w:rsid w:val="00496763"/>
    <w:rsid w:val="004967A4"/>
    <w:rsid w:val="00496A6B"/>
    <w:rsid w:val="00496AA3"/>
    <w:rsid w:val="00496FB8"/>
    <w:rsid w:val="00497081"/>
    <w:rsid w:val="004973B6"/>
    <w:rsid w:val="00497501"/>
    <w:rsid w:val="004978C7"/>
    <w:rsid w:val="00497B4E"/>
    <w:rsid w:val="00497C70"/>
    <w:rsid w:val="00497C76"/>
    <w:rsid w:val="00497D8C"/>
    <w:rsid w:val="004A007C"/>
    <w:rsid w:val="004A013E"/>
    <w:rsid w:val="004A020B"/>
    <w:rsid w:val="004A0A7B"/>
    <w:rsid w:val="004A0ABE"/>
    <w:rsid w:val="004A0EBA"/>
    <w:rsid w:val="004A0EEA"/>
    <w:rsid w:val="004A0F24"/>
    <w:rsid w:val="004A0F52"/>
    <w:rsid w:val="004A1336"/>
    <w:rsid w:val="004A1749"/>
    <w:rsid w:val="004A178D"/>
    <w:rsid w:val="004A17A5"/>
    <w:rsid w:val="004A27A7"/>
    <w:rsid w:val="004A2986"/>
    <w:rsid w:val="004A2B42"/>
    <w:rsid w:val="004A2C9F"/>
    <w:rsid w:val="004A2D04"/>
    <w:rsid w:val="004A2F4A"/>
    <w:rsid w:val="004A3521"/>
    <w:rsid w:val="004A3814"/>
    <w:rsid w:val="004A3E90"/>
    <w:rsid w:val="004A3E99"/>
    <w:rsid w:val="004A3F42"/>
    <w:rsid w:val="004A42A0"/>
    <w:rsid w:val="004A4379"/>
    <w:rsid w:val="004A440F"/>
    <w:rsid w:val="004A4486"/>
    <w:rsid w:val="004A4512"/>
    <w:rsid w:val="004A451A"/>
    <w:rsid w:val="004A462B"/>
    <w:rsid w:val="004A468C"/>
    <w:rsid w:val="004A4CC6"/>
    <w:rsid w:val="004A4EE0"/>
    <w:rsid w:val="004A5477"/>
    <w:rsid w:val="004A5653"/>
    <w:rsid w:val="004A56F7"/>
    <w:rsid w:val="004A587C"/>
    <w:rsid w:val="004A5BF1"/>
    <w:rsid w:val="004A5F1E"/>
    <w:rsid w:val="004A632F"/>
    <w:rsid w:val="004A63C0"/>
    <w:rsid w:val="004A66A0"/>
    <w:rsid w:val="004A69D8"/>
    <w:rsid w:val="004A6CB6"/>
    <w:rsid w:val="004A6E82"/>
    <w:rsid w:val="004A72F5"/>
    <w:rsid w:val="004A737C"/>
    <w:rsid w:val="004A738E"/>
    <w:rsid w:val="004A752E"/>
    <w:rsid w:val="004A75CE"/>
    <w:rsid w:val="004A788D"/>
    <w:rsid w:val="004A7BB7"/>
    <w:rsid w:val="004A7C24"/>
    <w:rsid w:val="004A7D09"/>
    <w:rsid w:val="004A7E28"/>
    <w:rsid w:val="004A7EDF"/>
    <w:rsid w:val="004B0313"/>
    <w:rsid w:val="004B0475"/>
    <w:rsid w:val="004B0695"/>
    <w:rsid w:val="004B0C10"/>
    <w:rsid w:val="004B0C13"/>
    <w:rsid w:val="004B0E63"/>
    <w:rsid w:val="004B0FCA"/>
    <w:rsid w:val="004B10E8"/>
    <w:rsid w:val="004B11CE"/>
    <w:rsid w:val="004B1225"/>
    <w:rsid w:val="004B1301"/>
    <w:rsid w:val="004B152A"/>
    <w:rsid w:val="004B1688"/>
    <w:rsid w:val="004B18BC"/>
    <w:rsid w:val="004B1953"/>
    <w:rsid w:val="004B19BE"/>
    <w:rsid w:val="004B1C40"/>
    <w:rsid w:val="004B1D73"/>
    <w:rsid w:val="004B1DE2"/>
    <w:rsid w:val="004B2230"/>
    <w:rsid w:val="004B2472"/>
    <w:rsid w:val="004B2BA7"/>
    <w:rsid w:val="004B2BCF"/>
    <w:rsid w:val="004B2D38"/>
    <w:rsid w:val="004B2D5A"/>
    <w:rsid w:val="004B32F0"/>
    <w:rsid w:val="004B365D"/>
    <w:rsid w:val="004B37AA"/>
    <w:rsid w:val="004B3C09"/>
    <w:rsid w:val="004B3CCA"/>
    <w:rsid w:val="004B3F11"/>
    <w:rsid w:val="004B3FFD"/>
    <w:rsid w:val="004B4376"/>
    <w:rsid w:val="004B44AD"/>
    <w:rsid w:val="004B4949"/>
    <w:rsid w:val="004B49B4"/>
    <w:rsid w:val="004B509B"/>
    <w:rsid w:val="004B511A"/>
    <w:rsid w:val="004B5381"/>
    <w:rsid w:val="004B53AD"/>
    <w:rsid w:val="004B540A"/>
    <w:rsid w:val="004B57DC"/>
    <w:rsid w:val="004B5A99"/>
    <w:rsid w:val="004B61A1"/>
    <w:rsid w:val="004B6430"/>
    <w:rsid w:val="004B6B3D"/>
    <w:rsid w:val="004B6B65"/>
    <w:rsid w:val="004B6E46"/>
    <w:rsid w:val="004B6ED3"/>
    <w:rsid w:val="004B6EF2"/>
    <w:rsid w:val="004B700D"/>
    <w:rsid w:val="004B73DC"/>
    <w:rsid w:val="004B7489"/>
    <w:rsid w:val="004B773E"/>
    <w:rsid w:val="004B77F7"/>
    <w:rsid w:val="004B784D"/>
    <w:rsid w:val="004B7BE0"/>
    <w:rsid w:val="004B7F7B"/>
    <w:rsid w:val="004B7FDF"/>
    <w:rsid w:val="004C00C1"/>
    <w:rsid w:val="004C0220"/>
    <w:rsid w:val="004C0270"/>
    <w:rsid w:val="004C03BF"/>
    <w:rsid w:val="004C0706"/>
    <w:rsid w:val="004C0779"/>
    <w:rsid w:val="004C099C"/>
    <w:rsid w:val="004C0C61"/>
    <w:rsid w:val="004C0C6D"/>
    <w:rsid w:val="004C0CEE"/>
    <w:rsid w:val="004C0DF5"/>
    <w:rsid w:val="004C0E66"/>
    <w:rsid w:val="004C0FE3"/>
    <w:rsid w:val="004C11DB"/>
    <w:rsid w:val="004C1724"/>
    <w:rsid w:val="004C1CF2"/>
    <w:rsid w:val="004C212C"/>
    <w:rsid w:val="004C2134"/>
    <w:rsid w:val="004C249F"/>
    <w:rsid w:val="004C253F"/>
    <w:rsid w:val="004C2760"/>
    <w:rsid w:val="004C2B8E"/>
    <w:rsid w:val="004C2DE2"/>
    <w:rsid w:val="004C2E31"/>
    <w:rsid w:val="004C387A"/>
    <w:rsid w:val="004C395A"/>
    <w:rsid w:val="004C3B35"/>
    <w:rsid w:val="004C3D8C"/>
    <w:rsid w:val="004C3E1D"/>
    <w:rsid w:val="004C3E55"/>
    <w:rsid w:val="004C3F30"/>
    <w:rsid w:val="004C400E"/>
    <w:rsid w:val="004C410F"/>
    <w:rsid w:val="004C44DC"/>
    <w:rsid w:val="004C470F"/>
    <w:rsid w:val="004C4A0C"/>
    <w:rsid w:val="004C4D21"/>
    <w:rsid w:val="004C4DED"/>
    <w:rsid w:val="004C4F0B"/>
    <w:rsid w:val="004C4FA7"/>
    <w:rsid w:val="004C536C"/>
    <w:rsid w:val="004C5A34"/>
    <w:rsid w:val="004C5B69"/>
    <w:rsid w:val="004C5C20"/>
    <w:rsid w:val="004C5DB4"/>
    <w:rsid w:val="004C5DC4"/>
    <w:rsid w:val="004C5F71"/>
    <w:rsid w:val="004C602A"/>
    <w:rsid w:val="004C60FD"/>
    <w:rsid w:val="004C6316"/>
    <w:rsid w:val="004C6843"/>
    <w:rsid w:val="004C68C3"/>
    <w:rsid w:val="004C6BD8"/>
    <w:rsid w:val="004C70FE"/>
    <w:rsid w:val="004C737D"/>
    <w:rsid w:val="004C7A19"/>
    <w:rsid w:val="004C7B46"/>
    <w:rsid w:val="004C7B4D"/>
    <w:rsid w:val="004C7DB9"/>
    <w:rsid w:val="004D03AA"/>
    <w:rsid w:val="004D096E"/>
    <w:rsid w:val="004D0C44"/>
    <w:rsid w:val="004D0CAE"/>
    <w:rsid w:val="004D0D15"/>
    <w:rsid w:val="004D0E14"/>
    <w:rsid w:val="004D11EC"/>
    <w:rsid w:val="004D1B31"/>
    <w:rsid w:val="004D2182"/>
    <w:rsid w:val="004D25B1"/>
    <w:rsid w:val="004D2647"/>
    <w:rsid w:val="004D29C8"/>
    <w:rsid w:val="004D2AF2"/>
    <w:rsid w:val="004D2B6A"/>
    <w:rsid w:val="004D31AA"/>
    <w:rsid w:val="004D31E4"/>
    <w:rsid w:val="004D3372"/>
    <w:rsid w:val="004D3E58"/>
    <w:rsid w:val="004D402B"/>
    <w:rsid w:val="004D4389"/>
    <w:rsid w:val="004D4441"/>
    <w:rsid w:val="004D4A1D"/>
    <w:rsid w:val="004D4B67"/>
    <w:rsid w:val="004D5032"/>
    <w:rsid w:val="004D507A"/>
    <w:rsid w:val="004D516C"/>
    <w:rsid w:val="004D518E"/>
    <w:rsid w:val="004D527F"/>
    <w:rsid w:val="004D5391"/>
    <w:rsid w:val="004D53DC"/>
    <w:rsid w:val="004D57D2"/>
    <w:rsid w:val="004D599F"/>
    <w:rsid w:val="004D5A72"/>
    <w:rsid w:val="004D61FF"/>
    <w:rsid w:val="004D6869"/>
    <w:rsid w:val="004D69E7"/>
    <w:rsid w:val="004D6B7B"/>
    <w:rsid w:val="004D7193"/>
    <w:rsid w:val="004D72C7"/>
    <w:rsid w:val="004D7407"/>
    <w:rsid w:val="004D7C3A"/>
    <w:rsid w:val="004D7F72"/>
    <w:rsid w:val="004D7F91"/>
    <w:rsid w:val="004E022F"/>
    <w:rsid w:val="004E04A1"/>
    <w:rsid w:val="004E0587"/>
    <w:rsid w:val="004E0AC3"/>
    <w:rsid w:val="004E0B73"/>
    <w:rsid w:val="004E0FFD"/>
    <w:rsid w:val="004E11FF"/>
    <w:rsid w:val="004E1484"/>
    <w:rsid w:val="004E1652"/>
    <w:rsid w:val="004E16BC"/>
    <w:rsid w:val="004E18A1"/>
    <w:rsid w:val="004E1994"/>
    <w:rsid w:val="004E1A11"/>
    <w:rsid w:val="004E1B43"/>
    <w:rsid w:val="004E2107"/>
    <w:rsid w:val="004E21FB"/>
    <w:rsid w:val="004E234F"/>
    <w:rsid w:val="004E2A29"/>
    <w:rsid w:val="004E2A46"/>
    <w:rsid w:val="004E2C6E"/>
    <w:rsid w:val="004E2DB5"/>
    <w:rsid w:val="004E2E10"/>
    <w:rsid w:val="004E2E22"/>
    <w:rsid w:val="004E311C"/>
    <w:rsid w:val="004E3404"/>
    <w:rsid w:val="004E34B9"/>
    <w:rsid w:val="004E388A"/>
    <w:rsid w:val="004E3891"/>
    <w:rsid w:val="004E3EDA"/>
    <w:rsid w:val="004E4543"/>
    <w:rsid w:val="004E4667"/>
    <w:rsid w:val="004E4840"/>
    <w:rsid w:val="004E4956"/>
    <w:rsid w:val="004E4B12"/>
    <w:rsid w:val="004E4C4B"/>
    <w:rsid w:val="004E4D28"/>
    <w:rsid w:val="004E4F78"/>
    <w:rsid w:val="004E5581"/>
    <w:rsid w:val="004E5B54"/>
    <w:rsid w:val="004E5CA8"/>
    <w:rsid w:val="004E600B"/>
    <w:rsid w:val="004E60A6"/>
    <w:rsid w:val="004E6737"/>
    <w:rsid w:val="004E69A6"/>
    <w:rsid w:val="004E6A2F"/>
    <w:rsid w:val="004E6A97"/>
    <w:rsid w:val="004E70AF"/>
    <w:rsid w:val="004E72F8"/>
    <w:rsid w:val="004E736E"/>
    <w:rsid w:val="004E770A"/>
    <w:rsid w:val="004E783C"/>
    <w:rsid w:val="004E79EE"/>
    <w:rsid w:val="004E7A40"/>
    <w:rsid w:val="004E7B59"/>
    <w:rsid w:val="004E7C06"/>
    <w:rsid w:val="004F038C"/>
    <w:rsid w:val="004F03B6"/>
    <w:rsid w:val="004F0803"/>
    <w:rsid w:val="004F083D"/>
    <w:rsid w:val="004F09D9"/>
    <w:rsid w:val="004F0C8A"/>
    <w:rsid w:val="004F0F04"/>
    <w:rsid w:val="004F1328"/>
    <w:rsid w:val="004F177C"/>
    <w:rsid w:val="004F1A1A"/>
    <w:rsid w:val="004F1A27"/>
    <w:rsid w:val="004F1B94"/>
    <w:rsid w:val="004F2888"/>
    <w:rsid w:val="004F2A80"/>
    <w:rsid w:val="004F2A91"/>
    <w:rsid w:val="004F2B39"/>
    <w:rsid w:val="004F2F82"/>
    <w:rsid w:val="004F34E3"/>
    <w:rsid w:val="004F37A5"/>
    <w:rsid w:val="004F3957"/>
    <w:rsid w:val="004F3CE7"/>
    <w:rsid w:val="004F3DA7"/>
    <w:rsid w:val="004F4099"/>
    <w:rsid w:val="004F41C1"/>
    <w:rsid w:val="004F41D1"/>
    <w:rsid w:val="004F4331"/>
    <w:rsid w:val="004F44F6"/>
    <w:rsid w:val="004F4710"/>
    <w:rsid w:val="004F474E"/>
    <w:rsid w:val="004F4755"/>
    <w:rsid w:val="004F476F"/>
    <w:rsid w:val="004F47DD"/>
    <w:rsid w:val="004F4818"/>
    <w:rsid w:val="004F484B"/>
    <w:rsid w:val="004F4D62"/>
    <w:rsid w:val="004F4D8F"/>
    <w:rsid w:val="004F4F30"/>
    <w:rsid w:val="004F4FFA"/>
    <w:rsid w:val="004F5306"/>
    <w:rsid w:val="004F53AE"/>
    <w:rsid w:val="004F57EC"/>
    <w:rsid w:val="004F5D85"/>
    <w:rsid w:val="004F6559"/>
    <w:rsid w:val="004F6999"/>
    <w:rsid w:val="004F6A5A"/>
    <w:rsid w:val="004F71F0"/>
    <w:rsid w:val="004F740C"/>
    <w:rsid w:val="004F744F"/>
    <w:rsid w:val="004F75CC"/>
    <w:rsid w:val="004F77FF"/>
    <w:rsid w:val="004F7A5E"/>
    <w:rsid w:val="004F7B95"/>
    <w:rsid w:val="004F7D19"/>
    <w:rsid w:val="0050030A"/>
    <w:rsid w:val="005003D0"/>
    <w:rsid w:val="00500438"/>
    <w:rsid w:val="005006B9"/>
    <w:rsid w:val="0050099F"/>
    <w:rsid w:val="00500B01"/>
    <w:rsid w:val="00500C62"/>
    <w:rsid w:val="00500CD2"/>
    <w:rsid w:val="00500EB0"/>
    <w:rsid w:val="0050154C"/>
    <w:rsid w:val="005015EF"/>
    <w:rsid w:val="00501BD9"/>
    <w:rsid w:val="00501CDD"/>
    <w:rsid w:val="0050209B"/>
    <w:rsid w:val="00502204"/>
    <w:rsid w:val="00502304"/>
    <w:rsid w:val="00502441"/>
    <w:rsid w:val="005026DF"/>
    <w:rsid w:val="00502874"/>
    <w:rsid w:val="00502F7D"/>
    <w:rsid w:val="00503557"/>
    <w:rsid w:val="0050368F"/>
    <w:rsid w:val="00503A3F"/>
    <w:rsid w:val="00503CE5"/>
    <w:rsid w:val="00503F0B"/>
    <w:rsid w:val="0050404B"/>
    <w:rsid w:val="0050410F"/>
    <w:rsid w:val="005042BF"/>
    <w:rsid w:val="00504523"/>
    <w:rsid w:val="0050497F"/>
    <w:rsid w:val="00504E41"/>
    <w:rsid w:val="00505034"/>
    <w:rsid w:val="0050528C"/>
    <w:rsid w:val="005052EF"/>
    <w:rsid w:val="00505712"/>
    <w:rsid w:val="00505AEA"/>
    <w:rsid w:val="00505B3C"/>
    <w:rsid w:val="00505C4F"/>
    <w:rsid w:val="00505F38"/>
    <w:rsid w:val="005060A2"/>
    <w:rsid w:val="00506417"/>
    <w:rsid w:val="00506BA6"/>
    <w:rsid w:val="00506D31"/>
    <w:rsid w:val="0050764E"/>
    <w:rsid w:val="005077E9"/>
    <w:rsid w:val="00507B2C"/>
    <w:rsid w:val="00507C08"/>
    <w:rsid w:val="00510093"/>
    <w:rsid w:val="005100D2"/>
    <w:rsid w:val="005102A7"/>
    <w:rsid w:val="005109CA"/>
    <w:rsid w:val="00510AE5"/>
    <w:rsid w:val="00510F0F"/>
    <w:rsid w:val="00511111"/>
    <w:rsid w:val="00511134"/>
    <w:rsid w:val="00511135"/>
    <w:rsid w:val="0051113E"/>
    <w:rsid w:val="00511206"/>
    <w:rsid w:val="00511340"/>
    <w:rsid w:val="00511355"/>
    <w:rsid w:val="005119CE"/>
    <w:rsid w:val="00511E6E"/>
    <w:rsid w:val="00512141"/>
    <w:rsid w:val="00512328"/>
    <w:rsid w:val="00512487"/>
    <w:rsid w:val="005124E4"/>
    <w:rsid w:val="0051253D"/>
    <w:rsid w:val="00512692"/>
    <w:rsid w:val="00512907"/>
    <w:rsid w:val="00512D84"/>
    <w:rsid w:val="005134F6"/>
    <w:rsid w:val="005137C1"/>
    <w:rsid w:val="00513BB9"/>
    <w:rsid w:val="00513E2B"/>
    <w:rsid w:val="00513E3B"/>
    <w:rsid w:val="00513EBA"/>
    <w:rsid w:val="00514163"/>
    <w:rsid w:val="00514330"/>
    <w:rsid w:val="0051453F"/>
    <w:rsid w:val="005149C6"/>
    <w:rsid w:val="005151C6"/>
    <w:rsid w:val="005151E2"/>
    <w:rsid w:val="005155CD"/>
    <w:rsid w:val="005156B4"/>
    <w:rsid w:val="00515735"/>
    <w:rsid w:val="0051584E"/>
    <w:rsid w:val="005161B8"/>
    <w:rsid w:val="00516741"/>
    <w:rsid w:val="0051695B"/>
    <w:rsid w:val="00516B80"/>
    <w:rsid w:val="00516D67"/>
    <w:rsid w:val="00516E5B"/>
    <w:rsid w:val="00517163"/>
    <w:rsid w:val="00517196"/>
    <w:rsid w:val="0051746C"/>
    <w:rsid w:val="0051749A"/>
    <w:rsid w:val="0051752B"/>
    <w:rsid w:val="00517658"/>
    <w:rsid w:val="005179BB"/>
    <w:rsid w:val="005179FE"/>
    <w:rsid w:val="00517B3D"/>
    <w:rsid w:val="00517BBB"/>
    <w:rsid w:val="00517D06"/>
    <w:rsid w:val="00517D16"/>
    <w:rsid w:val="00517FEB"/>
    <w:rsid w:val="005203D4"/>
    <w:rsid w:val="00520508"/>
    <w:rsid w:val="005207B6"/>
    <w:rsid w:val="00520B77"/>
    <w:rsid w:val="00521615"/>
    <w:rsid w:val="00521802"/>
    <w:rsid w:val="00521AB0"/>
    <w:rsid w:val="00521F16"/>
    <w:rsid w:val="0052219A"/>
    <w:rsid w:val="005222FD"/>
    <w:rsid w:val="0052277A"/>
    <w:rsid w:val="005228A8"/>
    <w:rsid w:val="00522F76"/>
    <w:rsid w:val="00523031"/>
    <w:rsid w:val="0052324D"/>
    <w:rsid w:val="0052343E"/>
    <w:rsid w:val="0052390E"/>
    <w:rsid w:val="005239E6"/>
    <w:rsid w:val="005239F9"/>
    <w:rsid w:val="00523BBE"/>
    <w:rsid w:val="00523BFD"/>
    <w:rsid w:val="00523E0F"/>
    <w:rsid w:val="005242F3"/>
    <w:rsid w:val="00524321"/>
    <w:rsid w:val="005246A2"/>
    <w:rsid w:val="00524C77"/>
    <w:rsid w:val="00524EE3"/>
    <w:rsid w:val="00525191"/>
    <w:rsid w:val="005251B5"/>
    <w:rsid w:val="005253F4"/>
    <w:rsid w:val="00525527"/>
    <w:rsid w:val="0052585A"/>
    <w:rsid w:val="00525CA4"/>
    <w:rsid w:val="00525F69"/>
    <w:rsid w:val="0052613C"/>
    <w:rsid w:val="005267DB"/>
    <w:rsid w:val="00526F04"/>
    <w:rsid w:val="0052740E"/>
    <w:rsid w:val="0052791E"/>
    <w:rsid w:val="005279F1"/>
    <w:rsid w:val="00527C36"/>
    <w:rsid w:val="00527F04"/>
    <w:rsid w:val="0053019C"/>
    <w:rsid w:val="005302A1"/>
    <w:rsid w:val="0053052E"/>
    <w:rsid w:val="00530862"/>
    <w:rsid w:val="00530B8D"/>
    <w:rsid w:val="00530F88"/>
    <w:rsid w:val="00530F91"/>
    <w:rsid w:val="00531179"/>
    <w:rsid w:val="00531347"/>
    <w:rsid w:val="00531E78"/>
    <w:rsid w:val="005322E0"/>
    <w:rsid w:val="005324B2"/>
    <w:rsid w:val="00532654"/>
    <w:rsid w:val="005326A0"/>
    <w:rsid w:val="005328C1"/>
    <w:rsid w:val="00532D2C"/>
    <w:rsid w:val="00532ED7"/>
    <w:rsid w:val="00532FE7"/>
    <w:rsid w:val="00533004"/>
    <w:rsid w:val="005330C4"/>
    <w:rsid w:val="005333C2"/>
    <w:rsid w:val="00533621"/>
    <w:rsid w:val="00533AEF"/>
    <w:rsid w:val="00533B06"/>
    <w:rsid w:val="00533DF5"/>
    <w:rsid w:val="00533F9F"/>
    <w:rsid w:val="0053407B"/>
    <w:rsid w:val="0053411B"/>
    <w:rsid w:val="00534411"/>
    <w:rsid w:val="005348D9"/>
    <w:rsid w:val="005349A3"/>
    <w:rsid w:val="00534B78"/>
    <w:rsid w:val="00534C10"/>
    <w:rsid w:val="00534E93"/>
    <w:rsid w:val="00535230"/>
    <w:rsid w:val="005354CC"/>
    <w:rsid w:val="005359D3"/>
    <w:rsid w:val="00535A6B"/>
    <w:rsid w:val="00535CDC"/>
    <w:rsid w:val="00535E23"/>
    <w:rsid w:val="00536134"/>
    <w:rsid w:val="0053620B"/>
    <w:rsid w:val="00536384"/>
    <w:rsid w:val="00536AC5"/>
    <w:rsid w:val="00536D5B"/>
    <w:rsid w:val="00537394"/>
    <w:rsid w:val="005373F2"/>
    <w:rsid w:val="00537846"/>
    <w:rsid w:val="0053788B"/>
    <w:rsid w:val="005379B3"/>
    <w:rsid w:val="00537B0B"/>
    <w:rsid w:val="00540350"/>
    <w:rsid w:val="00540633"/>
    <w:rsid w:val="00540658"/>
    <w:rsid w:val="00540659"/>
    <w:rsid w:val="005407F0"/>
    <w:rsid w:val="005409B6"/>
    <w:rsid w:val="00540DF8"/>
    <w:rsid w:val="005410E6"/>
    <w:rsid w:val="00541162"/>
    <w:rsid w:val="005411E4"/>
    <w:rsid w:val="00541481"/>
    <w:rsid w:val="005414A5"/>
    <w:rsid w:val="0054163C"/>
    <w:rsid w:val="00541D53"/>
    <w:rsid w:val="00541FA6"/>
    <w:rsid w:val="005423B7"/>
    <w:rsid w:val="005425D5"/>
    <w:rsid w:val="00542649"/>
    <w:rsid w:val="00542717"/>
    <w:rsid w:val="005427CB"/>
    <w:rsid w:val="00542888"/>
    <w:rsid w:val="005431B7"/>
    <w:rsid w:val="005434D2"/>
    <w:rsid w:val="005445B6"/>
    <w:rsid w:val="00544999"/>
    <w:rsid w:val="00544A7E"/>
    <w:rsid w:val="00544BD8"/>
    <w:rsid w:val="00544E66"/>
    <w:rsid w:val="00544EB2"/>
    <w:rsid w:val="005450E6"/>
    <w:rsid w:val="00545B72"/>
    <w:rsid w:val="00545E82"/>
    <w:rsid w:val="005462AB"/>
    <w:rsid w:val="0054653F"/>
    <w:rsid w:val="00546966"/>
    <w:rsid w:val="00546AC7"/>
    <w:rsid w:val="00546B96"/>
    <w:rsid w:val="00546E28"/>
    <w:rsid w:val="00546E46"/>
    <w:rsid w:val="00546FBB"/>
    <w:rsid w:val="0054745C"/>
    <w:rsid w:val="00547500"/>
    <w:rsid w:val="00547608"/>
    <w:rsid w:val="005476DD"/>
    <w:rsid w:val="00547700"/>
    <w:rsid w:val="005478D5"/>
    <w:rsid w:val="00547A91"/>
    <w:rsid w:val="00547C36"/>
    <w:rsid w:val="00547D88"/>
    <w:rsid w:val="00550052"/>
    <w:rsid w:val="005505D9"/>
    <w:rsid w:val="00550A72"/>
    <w:rsid w:val="00550B99"/>
    <w:rsid w:val="00550DE9"/>
    <w:rsid w:val="00550EBA"/>
    <w:rsid w:val="00550ED5"/>
    <w:rsid w:val="0055115C"/>
    <w:rsid w:val="005511DF"/>
    <w:rsid w:val="005511E6"/>
    <w:rsid w:val="0055123A"/>
    <w:rsid w:val="00551812"/>
    <w:rsid w:val="00551990"/>
    <w:rsid w:val="00551DA5"/>
    <w:rsid w:val="005520CD"/>
    <w:rsid w:val="005524AC"/>
    <w:rsid w:val="005525AA"/>
    <w:rsid w:val="00552787"/>
    <w:rsid w:val="005528BA"/>
    <w:rsid w:val="00552952"/>
    <w:rsid w:val="005529AD"/>
    <w:rsid w:val="00552D58"/>
    <w:rsid w:val="00552F24"/>
    <w:rsid w:val="00552F51"/>
    <w:rsid w:val="005531C4"/>
    <w:rsid w:val="005533C8"/>
    <w:rsid w:val="005535A1"/>
    <w:rsid w:val="00553816"/>
    <w:rsid w:val="00553A39"/>
    <w:rsid w:val="00553D00"/>
    <w:rsid w:val="00553E20"/>
    <w:rsid w:val="005541BD"/>
    <w:rsid w:val="0055424B"/>
    <w:rsid w:val="00554253"/>
    <w:rsid w:val="005545F8"/>
    <w:rsid w:val="00554916"/>
    <w:rsid w:val="00554E89"/>
    <w:rsid w:val="00555144"/>
    <w:rsid w:val="00555522"/>
    <w:rsid w:val="00555BEB"/>
    <w:rsid w:val="00555E50"/>
    <w:rsid w:val="00555F4A"/>
    <w:rsid w:val="00556082"/>
    <w:rsid w:val="005561F0"/>
    <w:rsid w:val="005562D8"/>
    <w:rsid w:val="005566DA"/>
    <w:rsid w:val="00556737"/>
    <w:rsid w:val="00556C2A"/>
    <w:rsid w:val="00556DC3"/>
    <w:rsid w:val="00557405"/>
    <w:rsid w:val="0055773E"/>
    <w:rsid w:val="0055786D"/>
    <w:rsid w:val="005578A9"/>
    <w:rsid w:val="00557DDE"/>
    <w:rsid w:val="00557EA5"/>
    <w:rsid w:val="00560444"/>
    <w:rsid w:val="005604F4"/>
    <w:rsid w:val="00560793"/>
    <w:rsid w:val="005607D1"/>
    <w:rsid w:val="00560BE5"/>
    <w:rsid w:val="00561026"/>
    <w:rsid w:val="005611B0"/>
    <w:rsid w:val="00561559"/>
    <w:rsid w:val="00562429"/>
    <w:rsid w:val="005625E2"/>
    <w:rsid w:val="00562ED2"/>
    <w:rsid w:val="00563165"/>
    <w:rsid w:val="00563320"/>
    <w:rsid w:val="005635E4"/>
    <w:rsid w:val="00563BB2"/>
    <w:rsid w:val="0056415B"/>
    <w:rsid w:val="005645D7"/>
    <w:rsid w:val="005650CC"/>
    <w:rsid w:val="005650EE"/>
    <w:rsid w:val="0056524F"/>
    <w:rsid w:val="00565554"/>
    <w:rsid w:val="005655A2"/>
    <w:rsid w:val="00565CD0"/>
    <w:rsid w:val="00565DE9"/>
    <w:rsid w:val="00565ED4"/>
    <w:rsid w:val="005664E4"/>
    <w:rsid w:val="005668F7"/>
    <w:rsid w:val="005669BB"/>
    <w:rsid w:val="00566AA4"/>
    <w:rsid w:val="00566AA5"/>
    <w:rsid w:val="00566E1D"/>
    <w:rsid w:val="00567277"/>
    <w:rsid w:val="005674B7"/>
    <w:rsid w:val="005674CD"/>
    <w:rsid w:val="00567564"/>
    <w:rsid w:val="00567760"/>
    <w:rsid w:val="00567AAC"/>
    <w:rsid w:val="00567AD3"/>
    <w:rsid w:val="00567B18"/>
    <w:rsid w:val="005701C3"/>
    <w:rsid w:val="00570291"/>
    <w:rsid w:val="005702F5"/>
    <w:rsid w:val="00570454"/>
    <w:rsid w:val="005704EF"/>
    <w:rsid w:val="005704FD"/>
    <w:rsid w:val="00570513"/>
    <w:rsid w:val="005705B1"/>
    <w:rsid w:val="005705CA"/>
    <w:rsid w:val="00570AB0"/>
    <w:rsid w:val="00570B33"/>
    <w:rsid w:val="00570D5A"/>
    <w:rsid w:val="00570EC2"/>
    <w:rsid w:val="00571016"/>
    <w:rsid w:val="00571074"/>
    <w:rsid w:val="005711A1"/>
    <w:rsid w:val="00571815"/>
    <w:rsid w:val="0057193F"/>
    <w:rsid w:val="005719EF"/>
    <w:rsid w:val="00571E17"/>
    <w:rsid w:val="005720FB"/>
    <w:rsid w:val="00572AC9"/>
    <w:rsid w:val="00572AF9"/>
    <w:rsid w:val="00572BD4"/>
    <w:rsid w:val="00572C06"/>
    <w:rsid w:val="00572D0A"/>
    <w:rsid w:val="00572D77"/>
    <w:rsid w:val="0057305C"/>
    <w:rsid w:val="005731D9"/>
    <w:rsid w:val="00573384"/>
    <w:rsid w:val="0057350F"/>
    <w:rsid w:val="0057394E"/>
    <w:rsid w:val="0057398E"/>
    <w:rsid w:val="005739B1"/>
    <w:rsid w:val="00574261"/>
    <w:rsid w:val="0057443A"/>
    <w:rsid w:val="005746F8"/>
    <w:rsid w:val="005748DC"/>
    <w:rsid w:val="005749C5"/>
    <w:rsid w:val="00574A8B"/>
    <w:rsid w:val="00574CDF"/>
    <w:rsid w:val="00574D64"/>
    <w:rsid w:val="00574E4E"/>
    <w:rsid w:val="00575A20"/>
    <w:rsid w:val="005760EC"/>
    <w:rsid w:val="0057665C"/>
    <w:rsid w:val="00576A9B"/>
    <w:rsid w:val="00576B60"/>
    <w:rsid w:val="00576C22"/>
    <w:rsid w:val="00576E3F"/>
    <w:rsid w:val="005770EB"/>
    <w:rsid w:val="00577490"/>
    <w:rsid w:val="005774AA"/>
    <w:rsid w:val="005777DD"/>
    <w:rsid w:val="00577878"/>
    <w:rsid w:val="00577A6F"/>
    <w:rsid w:val="00577B43"/>
    <w:rsid w:val="00577CB6"/>
    <w:rsid w:val="00577DB5"/>
    <w:rsid w:val="00577FDB"/>
    <w:rsid w:val="00580434"/>
    <w:rsid w:val="0058086E"/>
    <w:rsid w:val="005808FA"/>
    <w:rsid w:val="00580997"/>
    <w:rsid w:val="00580AE6"/>
    <w:rsid w:val="00580D1D"/>
    <w:rsid w:val="005811FD"/>
    <w:rsid w:val="0058163F"/>
    <w:rsid w:val="00581A77"/>
    <w:rsid w:val="00581BB0"/>
    <w:rsid w:val="00582044"/>
    <w:rsid w:val="00582095"/>
    <w:rsid w:val="005821CB"/>
    <w:rsid w:val="005823C8"/>
    <w:rsid w:val="005825DA"/>
    <w:rsid w:val="00582E44"/>
    <w:rsid w:val="005830CB"/>
    <w:rsid w:val="00583188"/>
    <w:rsid w:val="0058325B"/>
    <w:rsid w:val="00583658"/>
    <w:rsid w:val="00583788"/>
    <w:rsid w:val="00583A42"/>
    <w:rsid w:val="00583DE1"/>
    <w:rsid w:val="00583E29"/>
    <w:rsid w:val="00584001"/>
    <w:rsid w:val="005841A1"/>
    <w:rsid w:val="00584809"/>
    <w:rsid w:val="00584A99"/>
    <w:rsid w:val="00584BB3"/>
    <w:rsid w:val="00584C55"/>
    <w:rsid w:val="00584CDA"/>
    <w:rsid w:val="00584E23"/>
    <w:rsid w:val="00584ED7"/>
    <w:rsid w:val="00585866"/>
    <w:rsid w:val="00585DCC"/>
    <w:rsid w:val="00585F3B"/>
    <w:rsid w:val="005861D7"/>
    <w:rsid w:val="00586484"/>
    <w:rsid w:val="005865D3"/>
    <w:rsid w:val="005866B8"/>
    <w:rsid w:val="0058678B"/>
    <w:rsid w:val="00586925"/>
    <w:rsid w:val="00586A8F"/>
    <w:rsid w:val="00586E6E"/>
    <w:rsid w:val="00586E86"/>
    <w:rsid w:val="00586EAC"/>
    <w:rsid w:val="00587091"/>
    <w:rsid w:val="005873BB"/>
    <w:rsid w:val="00587811"/>
    <w:rsid w:val="005879A8"/>
    <w:rsid w:val="00587F73"/>
    <w:rsid w:val="00590120"/>
    <w:rsid w:val="00590269"/>
    <w:rsid w:val="005902D2"/>
    <w:rsid w:val="005904EE"/>
    <w:rsid w:val="005906CE"/>
    <w:rsid w:val="0059079C"/>
    <w:rsid w:val="00590835"/>
    <w:rsid w:val="005908FA"/>
    <w:rsid w:val="0059097F"/>
    <w:rsid w:val="00590A80"/>
    <w:rsid w:val="00590C54"/>
    <w:rsid w:val="00590F87"/>
    <w:rsid w:val="0059102E"/>
    <w:rsid w:val="0059116C"/>
    <w:rsid w:val="0059135C"/>
    <w:rsid w:val="005914F2"/>
    <w:rsid w:val="00591533"/>
    <w:rsid w:val="00591AD2"/>
    <w:rsid w:val="00591C97"/>
    <w:rsid w:val="0059205D"/>
    <w:rsid w:val="0059214B"/>
    <w:rsid w:val="005921F1"/>
    <w:rsid w:val="00592285"/>
    <w:rsid w:val="0059268F"/>
    <w:rsid w:val="005926E0"/>
    <w:rsid w:val="0059276B"/>
    <w:rsid w:val="00592A56"/>
    <w:rsid w:val="00592DAB"/>
    <w:rsid w:val="00592DBF"/>
    <w:rsid w:val="00592F86"/>
    <w:rsid w:val="0059369F"/>
    <w:rsid w:val="00593786"/>
    <w:rsid w:val="00593C9E"/>
    <w:rsid w:val="00593E88"/>
    <w:rsid w:val="00593F93"/>
    <w:rsid w:val="0059401B"/>
    <w:rsid w:val="00594089"/>
    <w:rsid w:val="005940DB"/>
    <w:rsid w:val="005941A6"/>
    <w:rsid w:val="005944DB"/>
    <w:rsid w:val="005947C8"/>
    <w:rsid w:val="0059498F"/>
    <w:rsid w:val="00594D68"/>
    <w:rsid w:val="0059506F"/>
    <w:rsid w:val="00595294"/>
    <w:rsid w:val="00595DB4"/>
    <w:rsid w:val="0059608C"/>
    <w:rsid w:val="00596349"/>
    <w:rsid w:val="005966E6"/>
    <w:rsid w:val="005968D6"/>
    <w:rsid w:val="00596B43"/>
    <w:rsid w:val="00596BD1"/>
    <w:rsid w:val="00596EF1"/>
    <w:rsid w:val="00597002"/>
    <w:rsid w:val="005970BA"/>
    <w:rsid w:val="00597469"/>
    <w:rsid w:val="00597759"/>
    <w:rsid w:val="005A0155"/>
    <w:rsid w:val="005A01D6"/>
    <w:rsid w:val="005A02B9"/>
    <w:rsid w:val="005A0D0B"/>
    <w:rsid w:val="005A0D2C"/>
    <w:rsid w:val="005A117E"/>
    <w:rsid w:val="005A11CC"/>
    <w:rsid w:val="005A13DA"/>
    <w:rsid w:val="005A1564"/>
    <w:rsid w:val="005A1E1A"/>
    <w:rsid w:val="005A203B"/>
    <w:rsid w:val="005A20C4"/>
    <w:rsid w:val="005A21E5"/>
    <w:rsid w:val="005A24D1"/>
    <w:rsid w:val="005A2937"/>
    <w:rsid w:val="005A2C09"/>
    <w:rsid w:val="005A2D7E"/>
    <w:rsid w:val="005A2DD0"/>
    <w:rsid w:val="005A32EF"/>
    <w:rsid w:val="005A3BE6"/>
    <w:rsid w:val="005A3C24"/>
    <w:rsid w:val="005A3D5D"/>
    <w:rsid w:val="005A408B"/>
    <w:rsid w:val="005A41BC"/>
    <w:rsid w:val="005A422A"/>
    <w:rsid w:val="005A4247"/>
    <w:rsid w:val="005A4315"/>
    <w:rsid w:val="005A43F0"/>
    <w:rsid w:val="005A46D8"/>
    <w:rsid w:val="005A48CF"/>
    <w:rsid w:val="005A4CFD"/>
    <w:rsid w:val="005A5117"/>
    <w:rsid w:val="005A55D2"/>
    <w:rsid w:val="005A5622"/>
    <w:rsid w:val="005A5B6C"/>
    <w:rsid w:val="005A5C18"/>
    <w:rsid w:val="005A6455"/>
    <w:rsid w:val="005A6958"/>
    <w:rsid w:val="005A6A40"/>
    <w:rsid w:val="005A6C65"/>
    <w:rsid w:val="005A6D07"/>
    <w:rsid w:val="005A6FBC"/>
    <w:rsid w:val="005A7034"/>
    <w:rsid w:val="005A7A38"/>
    <w:rsid w:val="005B09A7"/>
    <w:rsid w:val="005B09DC"/>
    <w:rsid w:val="005B0C41"/>
    <w:rsid w:val="005B1019"/>
    <w:rsid w:val="005B1287"/>
    <w:rsid w:val="005B1535"/>
    <w:rsid w:val="005B166B"/>
    <w:rsid w:val="005B18BC"/>
    <w:rsid w:val="005B19BF"/>
    <w:rsid w:val="005B1BBF"/>
    <w:rsid w:val="005B1BDE"/>
    <w:rsid w:val="005B1CE6"/>
    <w:rsid w:val="005B1FFE"/>
    <w:rsid w:val="005B2014"/>
    <w:rsid w:val="005B204F"/>
    <w:rsid w:val="005B2183"/>
    <w:rsid w:val="005B234F"/>
    <w:rsid w:val="005B23FD"/>
    <w:rsid w:val="005B2589"/>
    <w:rsid w:val="005B258B"/>
    <w:rsid w:val="005B2659"/>
    <w:rsid w:val="005B27F1"/>
    <w:rsid w:val="005B28B8"/>
    <w:rsid w:val="005B2BE3"/>
    <w:rsid w:val="005B2E07"/>
    <w:rsid w:val="005B303D"/>
    <w:rsid w:val="005B3272"/>
    <w:rsid w:val="005B3421"/>
    <w:rsid w:val="005B351C"/>
    <w:rsid w:val="005B3595"/>
    <w:rsid w:val="005B3E7E"/>
    <w:rsid w:val="005B3EE4"/>
    <w:rsid w:val="005B3F6F"/>
    <w:rsid w:val="005B42B0"/>
    <w:rsid w:val="005B434E"/>
    <w:rsid w:val="005B4664"/>
    <w:rsid w:val="005B4950"/>
    <w:rsid w:val="005B521D"/>
    <w:rsid w:val="005B5841"/>
    <w:rsid w:val="005B59DD"/>
    <w:rsid w:val="005B5E6D"/>
    <w:rsid w:val="005B5FD1"/>
    <w:rsid w:val="005B6074"/>
    <w:rsid w:val="005B611D"/>
    <w:rsid w:val="005B6180"/>
    <w:rsid w:val="005B6358"/>
    <w:rsid w:val="005B6399"/>
    <w:rsid w:val="005B658C"/>
    <w:rsid w:val="005B6776"/>
    <w:rsid w:val="005B6976"/>
    <w:rsid w:val="005B6E7A"/>
    <w:rsid w:val="005B6F14"/>
    <w:rsid w:val="005B70D8"/>
    <w:rsid w:val="005B7144"/>
    <w:rsid w:val="005B71D7"/>
    <w:rsid w:val="005B73CF"/>
    <w:rsid w:val="005B73D7"/>
    <w:rsid w:val="005B7661"/>
    <w:rsid w:val="005B7A79"/>
    <w:rsid w:val="005B7AC1"/>
    <w:rsid w:val="005B7C3E"/>
    <w:rsid w:val="005C031C"/>
    <w:rsid w:val="005C0BAE"/>
    <w:rsid w:val="005C0BEC"/>
    <w:rsid w:val="005C0F33"/>
    <w:rsid w:val="005C11A2"/>
    <w:rsid w:val="005C1446"/>
    <w:rsid w:val="005C14EB"/>
    <w:rsid w:val="005C172A"/>
    <w:rsid w:val="005C1813"/>
    <w:rsid w:val="005C189A"/>
    <w:rsid w:val="005C1C01"/>
    <w:rsid w:val="005C1D41"/>
    <w:rsid w:val="005C1EEA"/>
    <w:rsid w:val="005C2133"/>
    <w:rsid w:val="005C21DE"/>
    <w:rsid w:val="005C2460"/>
    <w:rsid w:val="005C2544"/>
    <w:rsid w:val="005C2A11"/>
    <w:rsid w:val="005C2A7A"/>
    <w:rsid w:val="005C2C38"/>
    <w:rsid w:val="005C31B0"/>
    <w:rsid w:val="005C355F"/>
    <w:rsid w:val="005C380F"/>
    <w:rsid w:val="005C3BA6"/>
    <w:rsid w:val="005C3BBB"/>
    <w:rsid w:val="005C3CFF"/>
    <w:rsid w:val="005C3D2C"/>
    <w:rsid w:val="005C3DD9"/>
    <w:rsid w:val="005C3E0D"/>
    <w:rsid w:val="005C3FBB"/>
    <w:rsid w:val="005C4137"/>
    <w:rsid w:val="005C442A"/>
    <w:rsid w:val="005C459A"/>
    <w:rsid w:val="005C45D2"/>
    <w:rsid w:val="005C463A"/>
    <w:rsid w:val="005C4740"/>
    <w:rsid w:val="005C486F"/>
    <w:rsid w:val="005C4A68"/>
    <w:rsid w:val="005C4C51"/>
    <w:rsid w:val="005C4F58"/>
    <w:rsid w:val="005C568E"/>
    <w:rsid w:val="005C57C1"/>
    <w:rsid w:val="005C5D5E"/>
    <w:rsid w:val="005C5FAB"/>
    <w:rsid w:val="005C5FC4"/>
    <w:rsid w:val="005C60C5"/>
    <w:rsid w:val="005C6195"/>
    <w:rsid w:val="005C6545"/>
    <w:rsid w:val="005C6B81"/>
    <w:rsid w:val="005C7047"/>
    <w:rsid w:val="005C7074"/>
    <w:rsid w:val="005C720D"/>
    <w:rsid w:val="005C76A2"/>
    <w:rsid w:val="005C76B8"/>
    <w:rsid w:val="005C77B3"/>
    <w:rsid w:val="005C7892"/>
    <w:rsid w:val="005C7984"/>
    <w:rsid w:val="005C79BF"/>
    <w:rsid w:val="005C79DF"/>
    <w:rsid w:val="005C7A9B"/>
    <w:rsid w:val="005C7B2E"/>
    <w:rsid w:val="005C7BDD"/>
    <w:rsid w:val="005C7F00"/>
    <w:rsid w:val="005D000E"/>
    <w:rsid w:val="005D00E9"/>
    <w:rsid w:val="005D02C4"/>
    <w:rsid w:val="005D0684"/>
    <w:rsid w:val="005D0E74"/>
    <w:rsid w:val="005D0EE6"/>
    <w:rsid w:val="005D0F34"/>
    <w:rsid w:val="005D0FA8"/>
    <w:rsid w:val="005D0FD2"/>
    <w:rsid w:val="005D113D"/>
    <w:rsid w:val="005D13E4"/>
    <w:rsid w:val="005D145C"/>
    <w:rsid w:val="005D1641"/>
    <w:rsid w:val="005D186B"/>
    <w:rsid w:val="005D18CC"/>
    <w:rsid w:val="005D194B"/>
    <w:rsid w:val="005D218B"/>
    <w:rsid w:val="005D2314"/>
    <w:rsid w:val="005D24D7"/>
    <w:rsid w:val="005D2F0A"/>
    <w:rsid w:val="005D37B8"/>
    <w:rsid w:val="005D3AF0"/>
    <w:rsid w:val="005D43D5"/>
    <w:rsid w:val="005D4447"/>
    <w:rsid w:val="005D4573"/>
    <w:rsid w:val="005D4687"/>
    <w:rsid w:val="005D489C"/>
    <w:rsid w:val="005D48A7"/>
    <w:rsid w:val="005D48D8"/>
    <w:rsid w:val="005D4907"/>
    <w:rsid w:val="005D4A6F"/>
    <w:rsid w:val="005D4AD4"/>
    <w:rsid w:val="005D4CAD"/>
    <w:rsid w:val="005D4CE3"/>
    <w:rsid w:val="005D52F2"/>
    <w:rsid w:val="005D54FB"/>
    <w:rsid w:val="005D5578"/>
    <w:rsid w:val="005D559A"/>
    <w:rsid w:val="005D55C8"/>
    <w:rsid w:val="005D5752"/>
    <w:rsid w:val="005D593F"/>
    <w:rsid w:val="005D5E0B"/>
    <w:rsid w:val="005D618A"/>
    <w:rsid w:val="005D61A6"/>
    <w:rsid w:val="005D6218"/>
    <w:rsid w:val="005D635C"/>
    <w:rsid w:val="005D637C"/>
    <w:rsid w:val="005D6B84"/>
    <w:rsid w:val="005D7214"/>
    <w:rsid w:val="005D74AE"/>
    <w:rsid w:val="005D75C9"/>
    <w:rsid w:val="005D78A6"/>
    <w:rsid w:val="005E04EF"/>
    <w:rsid w:val="005E0576"/>
    <w:rsid w:val="005E079F"/>
    <w:rsid w:val="005E07AD"/>
    <w:rsid w:val="005E0984"/>
    <w:rsid w:val="005E0C90"/>
    <w:rsid w:val="005E0D2C"/>
    <w:rsid w:val="005E0DFC"/>
    <w:rsid w:val="005E1120"/>
    <w:rsid w:val="005E1859"/>
    <w:rsid w:val="005E1DC2"/>
    <w:rsid w:val="005E1E4F"/>
    <w:rsid w:val="005E21D0"/>
    <w:rsid w:val="005E23F1"/>
    <w:rsid w:val="005E2428"/>
    <w:rsid w:val="005E276F"/>
    <w:rsid w:val="005E2BED"/>
    <w:rsid w:val="005E2CD1"/>
    <w:rsid w:val="005E2F60"/>
    <w:rsid w:val="005E31B0"/>
    <w:rsid w:val="005E3418"/>
    <w:rsid w:val="005E3515"/>
    <w:rsid w:val="005E375F"/>
    <w:rsid w:val="005E386C"/>
    <w:rsid w:val="005E394B"/>
    <w:rsid w:val="005E3B35"/>
    <w:rsid w:val="005E3C91"/>
    <w:rsid w:val="005E3FA3"/>
    <w:rsid w:val="005E4156"/>
    <w:rsid w:val="005E43DE"/>
    <w:rsid w:val="005E46B4"/>
    <w:rsid w:val="005E4789"/>
    <w:rsid w:val="005E4807"/>
    <w:rsid w:val="005E4BBA"/>
    <w:rsid w:val="005E4F60"/>
    <w:rsid w:val="005E52B6"/>
    <w:rsid w:val="005E5501"/>
    <w:rsid w:val="005E59E9"/>
    <w:rsid w:val="005E5BE7"/>
    <w:rsid w:val="005E6552"/>
    <w:rsid w:val="005E68F9"/>
    <w:rsid w:val="005E69CA"/>
    <w:rsid w:val="005E6B8A"/>
    <w:rsid w:val="005E6E0A"/>
    <w:rsid w:val="005E6E59"/>
    <w:rsid w:val="005E6F0D"/>
    <w:rsid w:val="005E7537"/>
    <w:rsid w:val="005E7736"/>
    <w:rsid w:val="005E78F8"/>
    <w:rsid w:val="005E7A88"/>
    <w:rsid w:val="005E7AA3"/>
    <w:rsid w:val="005E7AF7"/>
    <w:rsid w:val="005E7BD7"/>
    <w:rsid w:val="005E7C64"/>
    <w:rsid w:val="005E7D1D"/>
    <w:rsid w:val="005E7D40"/>
    <w:rsid w:val="005F020C"/>
    <w:rsid w:val="005F05B2"/>
    <w:rsid w:val="005F068D"/>
    <w:rsid w:val="005F0694"/>
    <w:rsid w:val="005F0964"/>
    <w:rsid w:val="005F09A1"/>
    <w:rsid w:val="005F0CDF"/>
    <w:rsid w:val="005F0F2A"/>
    <w:rsid w:val="005F0FB7"/>
    <w:rsid w:val="005F123D"/>
    <w:rsid w:val="005F146D"/>
    <w:rsid w:val="005F185D"/>
    <w:rsid w:val="005F1A65"/>
    <w:rsid w:val="005F1AF5"/>
    <w:rsid w:val="005F2022"/>
    <w:rsid w:val="005F207B"/>
    <w:rsid w:val="005F222D"/>
    <w:rsid w:val="005F2489"/>
    <w:rsid w:val="005F25C5"/>
    <w:rsid w:val="005F28C6"/>
    <w:rsid w:val="005F2A28"/>
    <w:rsid w:val="005F2C05"/>
    <w:rsid w:val="005F2C39"/>
    <w:rsid w:val="005F2C7C"/>
    <w:rsid w:val="005F2FF1"/>
    <w:rsid w:val="005F3120"/>
    <w:rsid w:val="005F31C6"/>
    <w:rsid w:val="005F321B"/>
    <w:rsid w:val="005F3488"/>
    <w:rsid w:val="005F3517"/>
    <w:rsid w:val="005F35BD"/>
    <w:rsid w:val="005F3847"/>
    <w:rsid w:val="005F3BB7"/>
    <w:rsid w:val="005F3FBA"/>
    <w:rsid w:val="005F4128"/>
    <w:rsid w:val="005F4322"/>
    <w:rsid w:val="005F46E8"/>
    <w:rsid w:val="005F47CC"/>
    <w:rsid w:val="005F4869"/>
    <w:rsid w:val="005F4A8E"/>
    <w:rsid w:val="005F51A7"/>
    <w:rsid w:val="005F534C"/>
    <w:rsid w:val="005F53C4"/>
    <w:rsid w:val="005F5558"/>
    <w:rsid w:val="005F55CE"/>
    <w:rsid w:val="005F5C76"/>
    <w:rsid w:val="005F5E4C"/>
    <w:rsid w:val="005F5EC3"/>
    <w:rsid w:val="005F5F5E"/>
    <w:rsid w:val="005F5FB1"/>
    <w:rsid w:val="005F62CE"/>
    <w:rsid w:val="005F65FA"/>
    <w:rsid w:val="005F6850"/>
    <w:rsid w:val="005F6BAA"/>
    <w:rsid w:val="005F6C1F"/>
    <w:rsid w:val="005F6F70"/>
    <w:rsid w:val="005F705D"/>
    <w:rsid w:val="005F7197"/>
    <w:rsid w:val="005F7513"/>
    <w:rsid w:val="005F792E"/>
    <w:rsid w:val="005F7B45"/>
    <w:rsid w:val="005F7D19"/>
    <w:rsid w:val="005F7DDA"/>
    <w:rsid w:val="005F7F3F"/>
    <w:rsid w:val="005F7F47"/>
    <w:rsid w:val="006002E2"/>
    <w:rsid w:val="00600757"/>
    <w:rsid w:val="00600BF7"/>
    <w:rsid w:val="00600C37"/>
    <w:rsid w:val="00600D20"/>
    <w:rsid w:val="00600E8B"/>
    <w:rsid w:val="00600F5E"/>
    <w:rsid w:val="0060107E"/>
    <w:rsid w:val="00601306"/>
    <w:rsid w:val="00601495"/>
    <w:rsid w:val="006018B0"/>
    <w:rsid w:val="00601B89"/>
    <w:rsid w:val="00601CC8"/>
    <w:rsid w:val="00601E07"/>
    <w:rsid w:val="00601E4A"/>
    <w:rsid w:val="0060202E"/>
    <w:rsid w:val="00602155"/>
    <w:rsid w:val="006022B8"/>
    <w:rsid w:val="00602460"/>
    <w:rsid w:val="006024B3"/>
    <w:rsid w:val="006027B0"/>
    <w:rsid w:val="00602897"/>
    <w:rsid w:val="00602BF8"/>
    <w:rsid w:val="0060346B"/>
    <w:rsid w:val="006035A6"/>
    <w:rsid w:val="0060360F"/>
    <w:rsid w:val="006036E0"/>
    <w:rsid w:val="006036F7"/>
    <w:rsid w:val="006039DA"/>
    <w:rsid w:val="00603BA1"/>
    <w:rsid w:val="00603C59"/>
    <w:rsid w:val="00603D6D"/>
    <w:rsid w:val="00603E67"/>
    <w:rsid w:val="00603FB5"/>
    <w:rsid w:val="00604161"/>
    <w:rsid w:val="006044BC"/>
    <w:rsid w:val="00604636"/>
    <w:rsid w:val="006046A3"/>
    <w:rsid w:val="00604729"/>
    <w:rsid w:val="00604CDD"/>
    <w:rsid w:val="00604DAF"/>
    <w:rsid w:val="00604F01"/>
    <w:rsid w:val="0060509C"/>
    <w:rsid w:val="0060545F"/>
    <w:rsid w:val="006056C4"/>
    <w:rsid w:val="006058C0"/>
    <w:rsid w:val="00605B2A"/>
    <w:rsid w:val="00605BA8"/>
    <w:rsid w:val="00605C45"/>
    <w:rsid w:val="00605C99"/>
    <w:rsid w:val="00605D61"/>
    <w:rsid w:val="00605E97"/>
    <w:rsid w:val="00605FD5"/>
    <w:rsid w:val="006065A9"/>
    <w:rsid w:val="006067B1"/>
    <w:rsid w:val="00606855"/>
    <w:rsid w:val="0060697C"/>
    <w:rsid w:val="00606C7C"/>
    <w:rsid w:val="0060722B"/>
    <w:rsid w:val="00607A95"/>
    <w:rsid w:val="00607DA3"/>
    <w:rsid w:val="00607F71"/>
    <w:rsid w:val="00610591"/>
    <w:rsid w:val="00610FAB"/>
    <w:rsid w:val="00611229"/>
    <w:rsid w:val="006114C2"/>
    <w:rsid w:val="00611610"/>
    <w:rsid w:val="006118D3"/>
    <w:rsid w:val="00611ADB"/>
    <w:rsid w:val="00611C94"/>
    <w:rsid w:val="00611FFE"/>
    <w:rsid w:val="00612044"/>
    <w:rsid w:val="00612222"/>
    <w:rsid w:val="006123CD"/>
    <w:rsid w:val="00612645"/>
    <w:rsid w:val="006127E9"/>
    <w:rsid w:val="00612A1A"/>
    <w:rsid w:val="00612A7B"/>
    <w:rsid w:val="00612B83"/>
    <w:rsid w:val="00612E3C"/>
    <w:rsid w:val="00613195"/>
    <w:rsid w:val="00613274"/>
    <w:rsid w:val="00613290"/>
    <w:rsid w:val="0061353F"/>
    <w:rsid w:val="006137AA"/>
    <w:rsid w:val="00613D78"/>
    <w:rsid w:val="00614060"/>
    <w:rsid w:val="006147E6"/>
    <w:rsid w:val="006149F9"/>
    <w:rsid w:val="00615418"/>
    <w:rsid w:val="0061572D"/>
    <w:rsid w:val="00615AE5"/>
    <w:rsid w:val="00615E20"/>
    <w:rsid w:val="00616274"/>
    <w:rsid w:val="006169C4"/>
    <w:rsid w:val="00616AB4"/>
    <w:rsid w:val="00616DB7"/>
    <w:rsid w:val="006171D5"/>
    <w:rsid w:val="006200D8"/>
    <w:rsid w:val="006203B3"/>
    <w:rsid w:val="0062067A"/>
    <w:rsid w:val="006206A1"/>
    <w:rsid w:val="006207C1"/>
    <w:rsid w:val="0062083D"/>
    <w:rsid w:val="006209B6"/>
    <w:rsid w:val="00620C33"/>
    <w:rsid w:val="00620D1A"/>
    <w:rsid w:val="00621031"/>
    <w:rsid w:val="006211CA"/>
    <w:rsid w:val="0062152A"/>
    <w:rsid w:val="00621810"/>
    <w:rsid w:val="00621823"/>
    <w:rsid w:val="00622215"/>
    <w:rsid w:val="0062229D"/>
    <w:rsid w:val="006224A5"/>
    <w:rsid w:val="006226B1"/>
    <w:rsid w:val="00622E1F"/>
    <w:rsid w:val="00623164"/>
    <w:rsid w:val="006232D0"/>
    <w:rsid w:val="006235EC"/>
    <w:rsid w:val="00623955"/>
    <w:rsid w:val="00623B5F"/>
    <w:rsid w:val="00623CD9"/>
    <w:rsid w:val="00623CEF"/>
    <w:rsid w:val="00623D29"/>
    <w:rsid w:val="00623D87"/>
    <w:rsid w:val="00623F9C"/>
    <w:rsid w:val="00624092"/>
    <w:rsid w:val="0062411F"/>
    <w:rsid w:val="00624298"/>
    <w:rsid w:val="006244DE"/>
    <w:rsid w:val="0062476D"/>
    <w:rsid w:val="006247F5"/>
    <w:rsid w:val="00624842"/>
    <w:rsid w:val="00624AE0"/>
    <w:rsid w:val="00624D17"/>
    <w:rsid w:val="0062574D"/>
    <w:rsid w:val="006259FE"/>
    <w:rsid w:val="00625A6E"/>
    <w:rsid w:val="00625D81"/>
    <w:rsid w:val="00625EA4"/>
    <w:rsid w:val="00626133"/>
    <w:rsid w:val="00626446"/>
    <w:rsid w:val="00626DAD"/>
    <w:rsid w:val="006270C6"/>
    <w:rsid w:val="00627346"/>
    <w:rsid w:val="00630089"/>
    <w:rsid w:val="00630444"/>
    <w:rsid w:val="0063080A"/>
    <w:rsid w:val="006309D1"/>
    <w:rsid w:val="00630C93"/>
    <w:rsid w:val="00630D80"/>
    <w:rsid w:val="00630DF8"/>
    <w:rsid w:val="00630DF9"/>
    <w:rsid w:val="006311AD"/>
    <w:rsid w:val="006312EE"/>
    <w:rsid w:val="006315BB"/>
    <w:rsid w:val="0063167F"/>
    <w:rsid w:val="0063174F"/>
    <w:rsid w:val="006317A2"/>
    <w:rsid w:val="006318FF"/>
    <w:rsid w:val="00631B7E"/>
    <w:rsid w:val="006320DD"/>
    <w:rsid w:val="006320FD"/>
    <w:rsid w:val="0063217D"/>
    <w:rsid w:val="006323B3"/>
    <w:rsid w:val="00632485"/>
    <w:rsid w:val="0063292C"/>
    <w:rsid w:val="006332E0"/>
    <w:rsid w:val="0063336D"/>
    <w:rsid w:val="0063363E"/>
    <w:rsid w:val="00633683"/>
    <w:rsid w:val="00633A8D"/>
    <w:rsid w:val="00633B71"/>
    <w:rsid w:val="00633D33"/>
    <w:rsid w:val="00634154"/>
    <w:rsid w:val="006342BF"/>
    <w:rsid w:val="006346AF"/>
    <w:rsid w:val="006346E5"/>
    <w:rsid w:val="0063491A"/>
    <w:rsid w:val="00634AA7"/>
    <w:rsid w:val="00634BDE"/>
    <w:rsid w:val="00634C1B"/>
    <w:rsid w:val="00634EE1"/>
    <w:rsid w:val="00634EF5"/>
    <w:rsid w:val="00634FC6"/>
    <w:rsid w:val="00634FC8"/>
    <w:rsid w:val="006353C2"/>
    <w:rsid w:val="00635497"/>
    <w:rsid w:val="00635691"/>
    <w:rsid w:val="0063576B"/>
    <w:rsid w:val="00635B3E"/>
    <w:rsid w:val="00635F39"/>
    <w:rsid w:val="00635FA0"/>
    <w:rsid w:val="00635FD9"/>
    <w:rsid w:val="0063620D"/>
    <w:rsid w:val="00636511"/>
    <w:rsid w:val="0063674F"/>
    <w:rsid w:val="00636B15"/>
    <w:rsid w:val="00637389"/>
    <w:rsid w:val="0063746A"/>
    <w:rsid w:val="006374B2"/>
    <w:rsid w:val="006378AA"/>
    <w:rsid w:val="006402AA"/>
    <w:rsid w:val="00640577"/>
    <w:rsid w:val="00640CA8"/>
    <w:rsid w:val="006413F6"/>
    <w:rsid w:val="006419E7"/>
    <w:rsid w:val="00641BD6"/>
    <w:rsid w:val="00641E67"/>
    <w:rsid w:val="00641F49"/>
    <w:rsid w:val="006421B0"/>
    <w:rsid w:val="006422BC"/>
    <w:rsid w:val="0064265A"/>
    <w:rsid w:val="0064273A"/>
    <w:rsid w:val="00642AF1"/>
    <w:rsid w:val="00642D1D"/>
    <w:rsid w:val="00642E1B"/>
    <w:rsid w:val="0064301C"/>
    <w:rsid w:val="00643136"/>
    <w:rsid w:val="00643367"/>
    <w:rsid w:val="00643784"/>
    <w:rsid w:val="006437EE"/>
    <w:rsid w:val="00643D6C"/>
    <w:rsid w:val="00643EB2"/>
    <w:rsid w:val="0064415E"/>
    <w:rsid w:val="00644BB2"/>
    <w:rsid w:val="00644D4F"/>
    <w:rsid w:val="006450EC"/>
    <w:rsid w:val="0064521B"/>
    <w:rsid w:val="00645293"/>
    <w:rsid w:val="0064548F"/>
    <w:rsid w:val="006455CE"/>
    <w:rsid w:val="00645B84"/>
    <w:rsid w:val="006460CD"/>
    <w:rsid w:val="00646177"/>
    <w:rsid w:val="006461EF"/>
    <w:rsid w:val="0064634A"/>
    <w:rsid w:val="00646482"/>
    <w:rsid w:val="00646542"/>
    <w:rsid w:val="006466A2"/>
    <w:rsid w:val="006466BC"/>
    <w:rsid w:val="00646752"/>
    <w:rsid w:val="00646991"/>
    <w:rsid w:val="00646A9D"/>
    <w:rsid w:val="00646C4B"/>
    <w:rsid w:val="00646D61"/>
    <w:rsid w:val="006479B0"/>
    <w:rsid w:val="00647A67"/>
    <w:rsid w:val="00647F09"/>
    <w:rsid w:val="00647F4E"/>
    <w:rsid w:val="0065036A"/>
    <w:rsid w:val="006506D0"/>
    <w:rsid w:val="00650754"/>
    <w:rsid w:val="00650784"/>
    <w:rsid w:val="00650813"/>
    <w:rsid w:val="00650864"/>
    <w:rsid w:val="00650C95"/>
    <w:rsid w:val="00650D32"/>
    <w:rsid w:val="00650F13"/>
    <w:rsid w:val="00650F8E"/>
    <w:rsid w:val="00651015"/>
    <w:rsid w:val="006512EB"/>
    <w:rsid w:val="006514A8"/>
    <w:rsid w:val="006515E9"/>
    <w:rsid w:val="00651847"/>
    <w:rsid w:val="00651999"/>
    <w:rsid w:val="00651D79"/>
    <w:rsid w:val="00651D97"/>
    <w:rsid w:val="006521C0"/>
    <w:rsid w:val="00652D13"/>
    <w:rsid w:val="00652DE4"/>
    <w:rsid w:val="00652EFC"/>
    <w:rsid w:val="00653029"/>
    <w:rsid w:val="00653559"/>
    <w:rsid w:val="0065362F"/>
    <w:rsid w:val="0065369A"/>
    <w:rsid w:val="006537FB"/>
    <w:rsid w:val="00653832"/>
    <w:rsid w:val="006539CB"/>
    <w:rsid w:val="00653C47"/>
    <w:rsid w:val="00653ED1"/>
    <w:rsid w:val="00654E4C"/>
    <w:rsid w:val="00654EEE"/>
    <w:rsid w:val="0065539A"/>
    <w:rsid w:val="00655408"/>
    <w:rsid w:val="00655426"/>
    <w:rsid w:val="00655765"/>
    <w:rsid w:val="006558A6"/>
    <w:rsid w:val="00655C1F"/>
    <w:rsid w:val="00655C72"/>
    <w:rsid w:val="00655CC6"/>
    <w:rsid w:val="006560B7"/>
    <w:rsid w:val="0065641B"/>
    <w:rsid w:val="006564EC"/>
    <w:rsid w:val="0065651D"/>
    <w:rsid w:val="00656F36"/>
    <w:rsid w:val="00656FEF"/>
    <w:rsid w:val="00657138"/>
    <w:rsid w:val="006573CD"/>
    <w:rsid w:val="0065787D"/>
    <w:rsid w:val="00657ADC"/>
    <w:rsid w:val="00657C68"/>
    <w:rsid w:val="00657C83"/>
    <w:rsid w:val="0066032F"/>
    <w:rsid w:val="006606C3"/>
    <w:rsid w:val="006606DC"/>
    <w:rsid w:val="00660AF3"/>
    <w:rsid w:val="00660CF1"/>
    <w:rsid w:val="00660E98"/>
    <w:rsid w:val="00660ED5"/>
    <w:rsid w:val="006610B0"/>
    <w:rsid w:val="0066124F"/>
    <w:rsid w:val="006617A9"/>
    <w:rsid w:val="006617AD"/>
    <w:rsid w:val="00661903"/>
    <w:rsid w:val="0066195F"/>
    <w:rsid w:val="00661DC5"/>
    <w:rsid w:val="00662609"/>
    <w:rsid w:val="00662C9F"/>
    <w:rsid w:val="00662CA9"/>
    <w:rsid w:val="00663041"/>
    <w:rsid w:val="0066330F"/>
    <w:rsid w:val="006636D9"/>
    <w:rsid w:val="006638A5"/>
    <w:rsid w:val="00663A13"/>
    <w:rsid w:val="00663AA2"/>
    <w:rsid w:val="00663C23"/>
    <w:rsid w:val="00663DF6"/>
    <w:rsid w:val="00663EE2"/>
    <w:rsid w:val="00663F09"/>
    <w:rsid w:val="0066423E"/>
    <w:rsid w:val="0066455A"/>
    <w:rsid w:val="0066483D"/>
    <w:rsid w:val="00664872"/>
    <w:rsid w:val="00664F82"/>
    <w:rsid w:val="00665195"/>
    <w:rsid w:val="00665A5E"/>
    <w:rsid w:val="00665AFE"/>
    <w:rsid w:val="00665C69"/>
    <w:rsid w:val="00665E61"/>
    <w:rsid w:val="006660C8"/>
    <w:rsid w:val="00666639"/>
    <w:rsid w:val="0066665C"/>
    <w:rsid w:val="00666797"/>
    <w:rsid w:val="006667A1"/>
    <w:rsid w:val="006668CE"/>
    <w:rsid w:val="00666A47"/>
    <w:rsid w:val="00666EB9"/>
    <w:rsid w:val="00667397"/>
    <w:rsid w:val="006676E3"/>
    <w:rsid w:val="006677CB"/>
    <w:rsid w:val="00667809"/>
    <w:rsid w:val="00667884"/>
    <w:rsid w:val="00670006"/>
    <w:rsid w:val="00670450"/>
    <w:rsid w:val="006708E6"/>
    <w:rsid w:val="00670BCF"/>
    <w:rsid w:val="00670C3D"/>
    <w:rsid w:val="006712E2"/>
    <w:rsid w:val="00671354"/>
    <w:rsid w:val="0067154B"/>
    <w:rsid w:val="006715E3"/>
    <w:rsid w:val="00671706"/>
    <w:rsid w:val="00671869"/>
    <w:rsid w:val="006718CA"/>
    <w:rsid w:val="006719AC"/>
    <w:rsid w:val="00671A8B"/>
    <w:rsid w:val="00671B43"/>
    <w:rsid w:val="00671E66"/>
    <w:rsid w:val="00672059"/>
    <w:rsid w:val="00672151"/>
    <w:rsid w:val="00672200"/>
    <w:rsid w:val="006723EE"/>
    <w:rsid w:val="006724AA"/>
    <w:rsid w:val="00672853"/>
    <w:rsid w:val="006728E8"/>
    <w:rsid w:val="00672A82"/>
    <w:rsid w:val="00672AA8"/>
    <w:rsid w:val="00672BC6"/>
    <w:rsid w:val="00673A57"/>
    <w:rsid w:val="00673C19"/>
    <w:rsid w:val="00673C86"/>
    <w:rsid w:val="006746DB"/>
    <w:rsid w:val="006747F0"/>
    <w:rsid w:val="00674816"/>
    <w:rsid w:val="00674A88"/>
    <w:rsid w:val="00674BF6"/>
    <w:rsid w:val="00676005"/>
    <w:rsid w:val="00676335"/>
    <w:rsid w:val="006764F0"/>
    <w:rsid w:val="006767F2"/>
    <w:rsid w:val="006768E5"/>
    <w:rsid w:val="00676900"/>
    <w:rsid w:val="00676961"/>
    <w:rsid w:val="00676A98"/>
    <w:rsid w:val="00676F7C"/>
    <w:rsid w:val="00676FFB"/>
    <w:rsid w:val="006772C6"/>
    <w:rsid w:val="006772ED"/>
    <w:rsid w:val="00677531"/>
    <w:rsid w:val="00677656"/>
    <w:rsid w:val="006777BE"/>
    <w:rsid w:val="0067789A"/>
    <w:rsid w:val="0067795B"/>
    <w:rsid w:val="006804ED"/>
    <w:rsid w:val="00680B4E"/>
    <w:rsid w:val="00680CAC"/>
    <w:rsid w:val="0068113C"/>
    <w:rsid w:val="0068115C"/>
    <w:rsid w:val="00681676"/>
    <w:rsid w:val="00681690"/>
    <w:rsid w:val="006816CA"/>
    <w:rsid w:val="00681766"/>
    <w:rsid w:val="0068198B"/>
    <w:rsid w:val="00681A29"/>
    <w:rsid w:val="00681B18"/>
    <w:rsid w:val="00681C3A"/>
    <w:rsid w:val="00681F12"/>
    <w:rsid w:val="00681FA4"/>
    <w:rsid w:val="006820E1"/>
    <w:rsid w:val="00682410"/>
    <w:rsid w:val="006825AC"/>
    <w:rsid w:val="006825D1"/>
    <w:rsid w:val="00682A46"/>
    <w:rsid w:val="0068303E"/>
    <w:rsid w:val="00683165"/>
    <w:rsid w:val="00683200"/>
    <w:rsid w:val="0068338B"/>
    <w:rsid w:val="0068385C"/>
    <w:rsid w:val="00683B0C"/>
    <w:rsid w:val="00684583"/>
    <w:rsid w:val="00684756"/>
    <w:rsid w:val="0068496B"/>
    <w:rsid w:val="00684B05"/>
    <w:rsid w:val="00684BCA"/>
    <w:rsid w:val="00684BF2"/>
    <w:rsid w:val="0068533F"/>
    <w:rsid w:val="00685816"/>
    <w:rsid w:val="00685998"/>
    <w:rsid w:val="00685A8F"/>
    <w:rsid w:val="00685ACB"/>
    <w:rsid w:val="00685C68"/>
    <w:rsid w:val="00686143"/>
    <w:rsid w:val="0068642C"/>
    <w:rsid w:val="006865F3"/>
    <w:rsid w:val="006868DF"/>
    <w:rsid w:val="00686C0C"/>
    <w:rsid w:val="00687142"/>
    <w:rsid w:val="0068723A"/>
    <w:rsid w:val="006873E5"/>
    <w:rsid w:val="0068763F"/>
    <w:rsid w:val="00687713"/>
    <w:rsid w:val="00687B1E"/>
    <w:rsid w:val="00687EAA"/>
    <w:rsid w:val="006902C3"/>
    <w:rsid w:val="0069034D"/>
    <w:rsid w:val="0069040A"/>
    <w:rsid w:val="006904D1"/>
    <w:rsid w:val="006905E0"/>
    <w:rsid w:val="00690709"/>
    <w:rsid w:val="006907E5"/>
    <w:rsid w:val="00690BE2"/>
    <w:rsid w:val="00690BF2"/>
    <w:rsid w:val="00690DC0"/>
    <w:rsid w:val="00690F95"/>
    <w:rsid w:val="00691093"/>
    <w:rsid w:val="0069121B"/>
    <w:rsid w:val="006912D0"/>
    <w:rsid w:val="006915CD"/>
    <w:rsid w:val="00691684"/>
    <w:rsid w:val="0069178F"/>
    <w:rsid w:val="00691944"/>
    <w:rsid w:val="006919CD"/>
    <w:rsid w:val="006920A4"/>
    <w:rsid w:val="00692295"/>
    <w:rsid w:val="0069244D"/>
    <w:rsid w:val="006929ED"/>
    <w:rsid w:val="00692A27"/>
    <w:rsid w:val="00692EA1"/>
    <w:rsid w:val="00693027"/>
    <w:rsid w:val="0069349E"/>
    <w:rsid w:val="006934B5"/>
    <w:rsid w:val="006935F6"/>
    <w:rsid w:val="00693646"/>
    <w:rsid w:val="0069382C"/>
    <w:rsid w:val="006938C2"/>
    <w:rsid w:val="006938CE"/>
    <w:rsid w:val="00694278"/>
    <w:rsid w:val="00694697"/>
    <w:rsid w:val="00694943"/>
    <w:rsid w:val="00694F2A"/>
    <w:rsid w:val="00694F8F"/>
    <w:rsid w:val="00694FD1"/>
    <w:rsid w:val="00695341"/>
    <w:rsid w:val="00695981"/>
    <w:rsid w:val="00695AFA"/>
    <w:rsid w:val="00695B6B"/>
    <w:rsid w:val="006960BC"/>
    <w:rsid w:val="006961DF"/>
    <w:rsid w:val="0069679A"/>
    <w:rsid w:val="00696CEC"/>
    <w:rsid w:val="00696D08"/>
    <w:rsid w:val="00696EB3"/>
    <w:rsid w:val="00697035"/>
    <w:rsid w:val="0069717C"/>
    <w:rsid w:val="006972EF"/>
    <w:rsid w:val="00697475"/>
    <w:rsid w:val="006974D9"/>
    <w:rsid w:val="00697504"/>
    <w:rsid w:val="006975C0"/>
    <w:rsid w:val="00697F90"/>
    <w:rsid w:val="006A098E"/>
    <w:rsid w:val="006A0AB1"/>
    <w:rsid w:val="006A0EFD"/>
    <w:rsid w:val="006A0F06"/>
    <w:rsid w:val="006A1071"/>
    <w:rsid w:val="006A15F0"/>
    <w:rsid w:val="006A1E81"/>
    <w:rsid w:val="006A1FC4"/>
    <w:rsid w:val="006A212C"/>
    <w:rsid w:val="006A235B"/>
    <w:rsid w:val="006A23BB"/>
    <w:rsid w:val="006A2547"/>
    <w:rsid w:val="006A25AE"/>
    <w:rsid w:val="006A273A"/>
    <w:rsid w:val="006A29F4"/>
    <w:rsid w:val="006A2CF9"/>
    <w:rsid w:val="006A2F08"/>
    <w:rsid w:val="006A3094"/>
    <w:rsid w:val="006A31DC"/>
    <w:rsid w:val="006A32ED"/>
    <w:rsid w:val="006A389F"/>
    <w:rsid w:val="006A3967"/>
    <w:rsid w:val="006A39C1"/>
    <w:rsid w:val="006A3D6B"/>
    <w:rsid w:val="006A3EA5"/>
    <w:rsid w:val="006A44D7"/>
    <w:rsid w:val="006A4579"/>
    <w:rsid w:val="006A47AA"/>
    <w:rsid w:val="006A49CE"/>
    <w:rsid w:val="006A4B9B"/>
    <w:rsid w:val="006A4CCB"/>
    <w:rsid w:val="006A4CE2"/>
    <w:rsid w:val="006A513B"/>
    <w:rsid w:val="006A52C1"/>
    <w:rsid w:val="006A5331"/>
    <w:rsid w:val="006A556C"/>
    <w:rsid w:val="006A55FE"/>
    <w:rsid w:val="006A5691"/>
    <w:rsid w:val="006A5714"/>
    <w:rsid w:val="006A593C"/>
    <w:rsid w:val="006A5A64"/>
    <w:rsid w:val="006A5C08"/>
    <w:rsid w:val="006A5E3A"/>
    <w:rsid w:val="006A6593"/>
    <w:rsid w:val="006A6662"/>
    <w:rsid w:val="006A684E"/>
    <w:rsid w:val="006A69ED"/>
    <w:rsid w:val="006A69FE"/>
    <w:rsid w:val="006A6DEE"/>
    <w:rsid w:val="006A7091"/>
    <w:rsid w:val="006A747F"/>
    <w:rsid w:val="006A7BE6"/>
    <w:rsid w:val="006A7D1E"/>
    <w:rsid w:val="006A7E4E"/>
    <w:rsid w:val="006B014E"/>
    <w:rsid w:val="006B018A"/>
    <w:rsid w:val="006B0711"/>
    <w:rsid w:val="006B0A82"/>
    <w:rsid w:val="006B0B33"/>
    <w:rsid w:val="006B0D38"/>
    <w:rsid w:val="006B0DC5"/>
    <w:rsid w:val="006B0FC4"/>
    <w:rsid w:val="006B120B"/>
    <w:rsid w:val="006B1358"/>
    <w:rsid w:val="006B1482"/>
    <w:rsid w:val="006B14F1"/>
    <w:rsid w:val="006B153C"/>
    <w:rsid w:val="006B18C5"/>
    <w:rsid w:val="006B1AD9"/>
    <w:rsid w:val="006B1C71"/>
    <w:rsid w:val="006B1D2C"/>
    <w:rsid w:val="006B1DFA"/>
    <w:rsid w:val="006B1EAA"/>
    <w:rsid w:val="006B2071"/>
    <w:rsid w:val="006B2267"/>
    <w:rsid w:val="006B2447"/>
    <w:rsid w:val="006B2480"/>
    <w:rsid w:val="006B263C"/>
    <w:rsid w:val="006B27A4"/>
    <w:rsid w:val="006B282C"/>
    <w:rsid w:val="006B2AFF"/>
    <w:rsid w:val="006B3263"/>
    <w:rsid w:val="006B3F4B"/>
    <w:rsid w:val="006B4263"/>
    <w:rsid w:val="006B45E6"/>
    <w:rsid w:val="006B474A"/>
    <w:rsid w:val="006B4A82"/>
    <w:rsid w:val="006B4AF5"/>
    <w:rsid w:val="006B4BE6"/>
    <w:rsid w:val="006B4C2C"/>
    <w:rsid w:val="006B4C8D"/>
    <w:rsid w:val="006B5196"/>
    <w:rsid w:val="006B52F8"/>
    <w:rsid w:val="006B5432"/>
    <w:rsid w:val="006B56E2"/>
    <w:rsid w:val="006B580B"/>
    <w:rsid w:val="006B585E"/>
    <w:rsid w:val="006B5B39"/>
    <w:rsid w:val="006B5C10"/>
    <w:rsid w:val="006B5CC9"/>
    <w:rsid w:val="006B6030"/>
    <w:rsid w:val="006B6177"/>
    <w:rsid w:val="006B61DB"/>
    <w:rsid w:val="006B63E8"/>
    <w:rsid w:val="006B647C"/>
    <w:rsid w:val="006B6568"/>
    <w:rsid w:val="006B67B6"/>
    <w:rsid w:val="006B7216"/>
    <w:rsid w:val="006B781D"/>
    <w:rsid w:val="006B7913"/>
    <w:rsid w:val="006B7C33"/>
    <w:rsid w:val="006B7D9B"/>
    <w:rsid w:val="006B7EA5"/>
    <w:rsid w:val="006B7FDB"/>
    <w:rsid w:val="006C01F9"/>
    <w:rsid w:val="006C05E5"/>
    <w:rsid w:val="006C0778"/>
    <w:rsid w:val="006C0B86"/>
    <w:rsid w:val="006C0D32"/>
    <w:rsid w:val="006C0F69"/>
    <w:rsid w:val="006C120D"/>
    <w:rsid w:val="006C14F2"/>
    <w:rsid w:val="006C15D5"/>
    <w:rsid w:val="006C1808"/>
    <w:rsid w:val="006C1848"/>
    <w:rsid w:val="006C18CE"/>
    <w:rsid w:val="006C1A66"/>
    <w:rsid w:val="006C1A73"/>
    <w:rsid w:val="006C1BAF"/>
    <w:rsid w:val="006C1CDE"/>
    <w:rsid w:val="006C1E4A"/>
    <w:rsid w:val="006C1E4E"/>
    <w:rsid w:val="006C1EFD"/>
    <w:rsid w:val="006C203B"/>
    <w:rsid w:val="006C22E1"/>
    <w:rsid w:val="006C29EE"/>
    <w:rsid w:val="006C2CB6"/>
    <w:rsid w:val="006C2EC1"/>
    <w:rsid w:val="006C3108"/>
    <w:rsid w:val="006C33EC"/>
    <w:rsid w:val="006C3616"/>
    <w:rsid w:val="006C3779"/>
    <w:rsid w:val="006C3796"/>
    <w:rsid w:val="006C38CF"/>
    <w:rsid w:val="006C3A72"/>
    <w:rsid w:val="006C3B8C"/>
    <w:rsid w:val="006C4234"/>
    <w:rsid w:val="006C4244"/>
    <w:rsid w:val="006C455D"/>
    <w:rsid w:val="006C45BA"/>
    <w:rsid w:val="006C47C2"/>
    <w:rsid w:val="006C496F"/>
    <w:rsid w:val="006C49BF"/>
    <w:rsid w:val="006C49C6"/>
    <w:rsid w:val="006C49FB"/>
    <w:rsid w:val="006C4A52"/>
    <w:rsid w:val="006C4ACB"/>
    <w:rsid w:val="006C4D3C"/>
    <w:rsid w:val="006C4D42"/>
    <w:rsid w:val="006C50C3"/>
    <w:rsid w:val="006C5261"/>
    <w:rsid w:val="006C52C2"/>
    <w:rsid w:val="006C591C"/>
    <w:rsid w:val="006C595A"/>
    <w:rsid w:val="006C5F5F"/>
    <w:rsid w:val="006C61C3"/>
    <w:rsid w:val="006C660D"/>
    <w:rsid w:val="006C6663"/>
    <w:rsid w:val="006C68C8"/>
    <w:rsid w:val="006C6B19"/>
    <w:rsid w:val="006C6DBB"/>
    <w:rsid w:val="006C7522"/>
    <w:rsid w:val="006C754D"/>
    <w:rsid w:val="006C762E"/>
    <w:rsid w:val="006D052A"/>
    <w:rsid w:val="006D086E"/>
    <w:rsid w:val="006D0BDF"/>
    <w:rsid w:val="006D174E"/>
    <w:rsid w:val="006D1ACA"/>
    <w:rsid w:val="006D1DCE"/>
    <w:rsid w:val="006D1E76"/>
    <w:rsid w:val="006D2042"/>
    <w:rsid w:val="006D215B"/>
    <w:rsid w:val="006D2173"/>
    <w:rsid w:val="006D2548"/>
    <w:rsid w:val="006D2766"/>
    <w:rsid w:val="006D2C2D"/>
    <w:rsid w:val="006D382A"/>
    <w:rsid w:val="006D3D5C"/>
    <w:rsid w:val="006D3D6D"/>
    <w:rsid w:val="006D3E42"/>
    <w:rsid w:val="006D3EF5"/>
    <w:rsid w:val="006D3F83"/>
    <w:rsid w:val="006D3FA3"/>
    <w:rsid w:val="006D4224"/>
    <w:rsid w:val="006D446B"/>
    <w:rsid w:val="006D446D"/>
    <w:rsid w:val="006D44D9"/>
    <w:rsid w:val="006D4833"/>
    <w:rsid w:val="006D4E26"/>
    <w:rsid w:val="006D502D"/>
    <w:rsid w:val="006D529D"/>
    <w:rsid w:val="006D5659"/>
    <w:rsid w:val="006D5829"/>
    <w:rsid w:val="006D5A76"/>
    <w:rsid w:val="006D61A3"/>
    <w:rsid w:val="006D6382"/>
    <w:rsid w:val="006D66DF"/>
    <w:rsid w:val="006D69E0"/>
    <w:rsid w:val="006D6A5D"/>
    <w:rsid w:val="006D6F90"/>
    <w:rsid w:val="006D70D5"/>
    <w:rsid w:val="006D721A"/>
    <w:rsid w:val="006D7A62"/>
    <w:rsid w:val="006D7BC3"/>
    <w:rsid w:val="006D7E8A"/>
    <w:rsid w:val="006E03DA"/>
    <w:rsid w:val="006E05CC"/>
    <w:rsid w:val="006E07A8"/>
    <w:rsid w:val="006E08EB"/>
    <w:rsid w:val="006E0B11"/>
    <w:rsid w:val="006E0FA0"/>
    <w:rsid w:val="006E10B6"/>
    <w:rsid w:val="006E16BB"/>
    <w:rsid w:val="006E1C4D"/>
    <w:rsid w:val="006E1D34"/>
    <w:rsid w:val="006E206C"/>
    <w:rsid w:val="006E250A"/>
    <w:rsid w:val="006E298A"/>
    <w:rsid w:val="006E2BB6"/>
    <w:rsid w:val="006E2F24"/>
    <w:rsid w:val="006E2F26"/>
    <w:rsid w:val="006E30F4"/>
    <w:rsid w:val="006E3157"/>
    <w:rsid w:val="006E3190"/>
    <w:rsid w:val="006E33F2"/>
    <w:rsid w:val="006E345B"/>
    <w:rsid w:val="006E3A25"/>
    <w:rsid w:val="006E3C26"/>
    <w:rsid w:val="006E3EC1"/>
    <w:rsid w:val="006E42DE"/>
    <w:rsid w:val="006E4874"/>
    <w:rsid w:val="006E4A29"/>
    <w:rsid w:val="006E4ADA"/>
    <w:rsid w:val="006E4BFF"/>
    <w:rsid w:val="006E4E10"/>
    <w:rsid w:val="006E4F90"/>
    <w:rsid w:val="006E533F"/>
    <w:rsid w:val="006E57E0"/>
    <w:rsid w:val="006E5853"/>
    <w:rsid w:val="006E59B2"/>
    <w:rsid w:val="006E5ED4"/>
    <w:rsid w:val="006E6ADF"/>
    <w:rsid w:val="006E6D75"/>
    <w:rsid w:val="006E6FE5"/>
    <w:rsid w:val="006E7026"/>
    <w:rsid w:val="006E7193"/>
    <w:rsid w:val="006E731C"/>
    <w:rsid w:val="006E743D"/>
    <w:rsid w:val="006E744D"/>
    <w:rsid w:val="006E76D2"/>
    <w:rsid w:val="006E7755"/>
    <w:rsid w:val="006E7C5D"/>
    <w:rsid w:val="006E7C95"/>
    <w:rsid w:val="006F06EA"/>
    <w:rsid w:val="006F073C"/>
    <w:rsid w:val="006F0740"/>
    <w:rsid w:val="006F0E9A"/>
    <w:rsid w:val="006F10F2"/>
    <w:rsid w:val="006F1314"/>
    <w:rsid w:val="006F1406"/>
    <w:rsid w:val="006F17F7"/>
    <w:rsid w:val="006F190C"/>
    <w:rsid w:val="006F19E1"/>
    <w:rsid w:val="006F1A30"/>
    <w:rsid w:val="006F1A46"/>
    <w:rsid w:val="006F1DD1"/>
    <w:rsid w:val="006F20D9"/>
    <w:rsid w:val="006F22E3"/>
    <w:rsid w:val="006F2870"/>
    <w:rsid w:val="006F2929"/>
    <w:rsid w:val="006F2954"/>
    <w:rsid w:val="006F2A19"/>
    <w:rsid w:val="006F374D"/>
    <w:rsid w:val="006F379C"/>
    <w:rsid w:val="006F3B0F"/>
    <w:rsid w:val="006F3C1E"/>
    <w:rsid w:val="006F3DE8"/>
    <w:rsid w:val="006F4089"/>
    <w:rsid w:val="006F427E"/>
    <w:rsid w:val="006F42A5"/>
    <w:rsid w:val="006F47B0"/>
    <w:rsid w:val="006F4BB0"/>
    <w:rsid w:val="006F4E01"/>
    <w:rsid w:val="006F4EFA"/>
    <w:rsid w:val="006F5283"/>
    <w:rsid w:val="006F565F"/>
    <w:rsid w:val="006F582B"/>
    <w:rsid w:val="006F59BB"/>
    <w:rsid w:val="006F5BE0"/>
    <w:rsid w:val="006F5D15"/>
    <w:rsid w:val="006F5D20"/>
    <w:rsid w:val="006F6051"/>
    <w:rsid w:val="006F635E"/>
    <w:rsid w:val="006F64EC"/>
    <w:rsid w:val="006F66A7"/>
    <w:rsid w:val="006F697B"/>
    <w:rsid w:val="006F69DA"/>
    <w:rsid w:val="006F6C4D"/>
    <w:rsid w:val="006F703E"/>
    <w:rsid w:val="006F711D"/>
    <w:rsid w:val="006F71F5"/>
    <w:rsid w:val="006F73CE"/>
    <w:rsid w:val="006F7636"/>
    <w:rsid w:val="006F7685"/>
    <w:rsid w:val="006F7939"/>
    <w:rsid w:val="006F7ADB"/>
    <w:rsid w:val="006F7CDE"/>
    <w:rsid w:val="006F7D34"/>
    <w:rsid w:val="0070000C"/>
    <w:rsid w:val="00700180"/>
    <w:rsid w:val="007002DC"/>
    <w:rsid w:val="0070034C"/>
    <w:rsid w:val="00700487"/>
    <w:rsid w:val="00700509"/>
    <w:rsid w:val="007007FA"/>
    <w:rsid w:val="00700C25"/>
    <w:rsid w:val="00700C34"/>
    <w:rsid w:val="00700EB4"/>
    <w:rsid w:val="00700FED"/>
    <w:rsid w:val="0070112D"/>
    <w:rsid w:val="007013AE"/>
    <w:rsid w:val="00701572"/>
    <w:rsid w:val="00701739"/>
    <w:rsid w:val="00701939"/>
    <w:rsid w:val="00701B8E"/>
    <w:rsid w:val="00701C76"/>
    <w:rsid w:val="00701F32"/>
    <w:rsid w:val="0070206D"/>
    <w:rsid w:val="0070225B"/>
    <w:rsid w:val="00702447"/>
    <w:rsid w:val="0070245C"/>
    <w:rsid w:val="0070251A"/>
    <w:rsid w:val="0070251C"/>
    <w:rsid w:val="007027BC"/>
    <w:rsid w:val="00702953"/>
    <w:rsid w:val="00702B35"/>
    <w:rsid w:val="00702D85"/>
    <w:rsid w:val="00702F8F"/>
    <w:rsid w:val="0070303B"/>
    <w:rsid w:val="007030AD"/>
    <w:rsid w:val="007031E8"/>
    <w:rsid w:val="0070354C"/>
    <w:rsid w:val="0070362E"/>
    <w:rsid w:val="007038B6"/>
    <w:rsid w:val="00703DA8"/>
    <w:rsid w:val="00703E46"/>
    <w:rsid w:val="00704080"/>
    <w:rsid w:val="0070443D"/>
    <w:rsid w:val="007048C4"/>
    <w:rsid w:val="00704A65"/>
    <w:rsid w:val="00704B25"/>
    <w:rsid w:val="00704E20"/>
    <w:rsid w:val="00704EDC"/>
    <w:rsid w:val="0070521F"/>
    <w:rsid w:val="0070583F"/>
    <w:rsid w:val="00705B38"/>
    <w:rsid w:val="00705D22"/>
    <w:rsid w:val="00705D51"/>
    <w:rsid w:val="00705DA9"/>
    <w:rsid w:val="007067DB"/>
    <w:rsid w:val="00706A5B"/>
    <w:rsid w:val="00706D87"/>
    <w:rsid w:val="007070F8"/>
    <w:rsid w:val="00707162"/>
    <w:rsid w:val="007071AF"/>
    <w:rsid w:val="00707A86"/>
    <w:rsid w:val="00707ADA"/>
    <w:rsid w:val="00707B11"/>
    <w:rsid w:val="00707BF6"/>
    <w:rsid w:val="00707C6C"/>
    <w:rsid w:val="00707D53"/>
    <w:rsid w:val="00707DEE"/>
    <w:rsid w:val="00710163"/>
    <w:rsid w:val="0071052E"/>
    <w:rsid w:val="00710DB7"/>
    <w:rsid w:val="00710DC6"/>
    <w:rsid w:val="00710E03"/>
    <w:rsid w:val="00710FCC"/>
    <w:rsid w:val="007111CE"/>
    <w:rsid w:val="007111DA"/>
    <w:rsid w:val="007113FA"/>
    <w:rsid w:val="00711642"/>
    <w:rsid w:val="007116C1"/>
    <w:rsid w:val="00711833"/>
    <w:rsid w:val="00711B5E"/>
    <w:rsid w:val="00711DC1"/>
    <w:rsid w:val="00711E9B"/>
    <w:rsid w:val="0071204A"/>
    <w:rsid w:val="00712096"/>
    <w:rsid w:val="007121BD"/>
    <w:rsid w:val="0071281E"/>
    <w:rsid w:val="00712B5F"/>
    <w:rsid w:val="00712D13"/>
    <w:rsid w:val="00712D16"/>
    <w:rsid w:val="00712F82"/>
    <w:rsid w:val="0071305F"/>
    <w:rsid w:val="00713184"/>
    <w:rsid w:val="007132C3"/>
    <w:rsid w:val="0071345A"/>
    <w:rsid w:val="007135C1"/>
    <w:rsid w:val="00713665"/>
    <w:rsid w:val="0071374C"/>
    <w:rsid w:val="0071384E"/>
    <w:rsid w:val="00713A8E"/>
    <w:rsid w:val="00713B6B"/>
    <w:rsid w:val="00713CE0"/>
    <w:rsid w:val="0071400C"/>
    <w:rsid w:val="00714295"/>
    <w:rsid w:val="007142EC"/>
    <w:rsid w:val="0071484C"/>
    <w:rsid w:val="00714B14"/>
    <w:rsid w:val="00714E41"/>
    <w:rsid w:val="00715047"/>
    <w:rsid w:val="00715166"/>
    <w:rsid w:val="0071536C"/>
    <w:rsid w:val="00715828"/>
    <w:rsid w:val="00715C86"/>
    <w:rsid w:val="00715E59"/>
    <w:rsid w:val="00715F6D"/>
    <w:rsid w:val="007162B9"/>
    <w:rsid w:val="00716728"/>
    <w:rsid w:val="00716BA2"/>
    <w:rsid w:val="00716CE5"/>
    <w:rsid w:val="00716F15"/>
    <w:rsid w:val="00717052"/>
    <w:rsid w:val="0071705D"/>
    <w:rsid w:val="00717219"/>
    <w:rsid w:val="00717729"/>
    <w:rsid w:val="007178C8"/>
    <w:rsid w:val="00717933"/>
    <w:rsid w:val="00717C20"/>
    <w:rsid w:val="00717D93"/>
    <w:rsid w:val="00717F45"/>
    <w:rsid w:val="00720063"/>
    <w:rsid w:val="007200B1"/>
    <w:rsid w:val="00720139"/>
    <w:rsid w:val="00720644"/>
    <w:rsid w:val="0072081E"/>
    <w:rsid w:val="00720A01"/>
    <w:rsid w:val="00720A10"/>
    <w:rsid w:val="00720A18"/>
    <w:rsid w:val="00720B23"/>
    <w:rsid w:val="00720B2F"/>
    <w:rsid w:val="00720DC9"/>
    <w:rsid w:val="0072128C"/>
    <w:rsid w:val="007213D4"/>
    <w:rsid w:val="00721407"/>
    <w:rsid w:val="00721412"/>
    <w:rsid w:val="0072148E"/>
    <w:rsid w:val="0072191E"/>
    <w:rsid w:val="00721D97"/>
    <w:rsid w:val="0072228F"/>
    <w:rsid w:val="00722990"/>
    <w:rsid w:val="00722B95"/>
    <w:rsid w:val="00722D73"/>
    <w:rsid w:val="00722D8D"/>
    <w:rsid w:val="007231C9"/>
    <w:rsid w:val="007232FE"/>
    <w:rsid w:val="00723520"/>
    <w:rsid w:val="007236C0"/>
    <w:rsid w:val="0072386D"/>
    <w:rsid w:val="00724572"/>
    <w:rsid w:val="00724AB9"/>
    <w:rsid w:val="0072569F"/>
    <w:rsid w:val="0072588C"/>
    <w:rsid w:val="007258B5"/>
    <w:rsid w:val="00725D08"/>
    <w:rsid w:val="00725F02"/>
    <w:rsid w:val="00726004"/>
    <w:rsid w:val="007260A4"/>
    <w:rsid w:val="00726475"/>
    <w:rsid w:val="00726563"/>
    <w:rsid w:val="00726721"/>
    <w:rsid w:val="00726D52"/>
    <w:rsid w:val="00726DCE"/>
    <w:rsid w:val="007272D0"/>
    <w:rsid w:val="007275C7"/>
    <w:rsid w:val="0072781B"/>
    <w:rsid w:val="00727910"/>
    <w:rsid w:val="00727DC2"/>
    <w:rsid w:val="007307E4"/>
    <w:rsid w:val="00730BA4"/>
    <w:rsid w:val="00730D8F"/>
    <w:rsid w:val="0073103D"/>
    <w:rsid w:val="00731241"/>
    <w:rsid w:val="00731267"/>
    <w:rsid w:val="0073155A"/>
    <w:rsid w:val="00731597"/>
    <w:rsid w:val="00731681"/>
    <w:rsid w:val="007317C7"/>
    <w:rsid w:val="00731A2C"/>
    <w:rsid w:val="00731F87"/>
    <w:rsid w:val="007321E6"/>
    <w:rsid w:val="00732213"/>
    <w:rsid w:val="007326DD"/>
    <w:rsid w:val="00732FD3"/>
    <w:rsid w:val="00733031"/>
    <w:rsid w:val="00733215"/>
    <w:rsid w:val="0073328F"/>
    <w:rsid w:val="00733471"/>
    <w:rsid w:val="0073360D"/>
    <w:rsid w:val="0073365D"/>
    <w:rsid w:val="00733705"/>
    <w:rsid w:val="00733721"/>
    <w:rsid w:val="00733C1B"/>
    <w:rsid w:val="00733F17"/>
    <w:rsid w:val="0073423F"/>
    <w:rsid w:val="0073435A"/>
    <w:rsid w:val="00734747"/>
    <w:rsid w:val="00734913"/>
    <w:rsid w:val="00734A8F"/>
    <w:rsid w:val="00734B0A"/>
    <w:rsid w:val="00734B1C"/>
    <w:rsid w:val="00734D17"/>
    <w:rsid w:val="00734F9A"/>
    <w:rsid w:val="0073518A"/>
    <w:rsid w:val="0073585F"/>
    <w:rsid w:val="007358CC"/>
    <w:rsid w:val="00735974"/>
    <w:rsid w:val="00735C3A"/>
    <w:rsid w:val="00735D19"/>
    <w:rsid w:val="00736093"/>
    <w:rsid w:val="007360F0"/>
    <w:rsid w:val="00736110"/>
    <w:rsid w:val="007362F5"/>
    <w:rsid w:val="00736444"/>
    <w:rsid w:val="00736C9D"/>
    <w:rsid w:val="00736DAE"/>
    <w:rsid w:val="00736E01"/>
    <w:rsid w:val="007371C9"/>
    <w:rsid w:val="00737262"/>
    <w:rsid w:val="0073742D"/>
    <w:rsid w:val="007376F8"/>
    <w:rsid w:val="00737B45"/>
    <w:rsid w:val="00737C5B"/>
    <w:rsid w:val="00737CCC"/>
    <w:rsid w:val="007400A9"/>
    <w:rsid w:val="00740363"/>
    <w:rsid w:val="00740569"/>
    <w:rsid w:val="00740612"/>
    <w:rsid w:val="0074086F"/>
    <w:rsid w:val="00740AFA"/>
    <w:rsid w:val="00740B8F"/>
    <w:rsid w:val="00740C28"/>
    <w:rsid w:val="00740E68"/>
    <w:rsid w:val="00740E95"/>
    <w:rsid w:val="00740F7D"/>
    <w:rsid w:val="007418E5"/>
    <w:rsid w:val="00741E90"/>
    <w:rsid w:val="00741F83"/>
    <w:rsid w:val="00742285"/>
    <w:rsid w:val="007422CD"/>
    <w:rsid w:val="00742363"/>
    <w:rsid w:val="0074288C"/>
    <w:rsid w:val="00742EE7"/>
    <w:rsid w:val="0074303C"/>
    <w:rsid w:val="00743222"/>
    <w:rsid w:val="007432D4"/>
    <w:rsid w:val="007433EB"/>
    <w:rsid w:val="0074371A"/>
    <w:rsid w:val="00743836"/>
    <w:rsid w:val="00743961"/>
    <w:rsid w:val="007439D7"/>
    <w:rsid w:val="007439EB"/>
    <w:rsid w:val="00743E20"/>
    <w:rsid w:val="00744335"/>
    <w:rsid w:val="00744891"/>
    <w:rsid w:val="007449EA"/>
    <w:rsid w:val="00744CF4"/>
    <w:rsid w:val="00744F35"/>
    <w:rsid w:val="0074529F"/>
    <w:rsid w:val="0074544E"/>
    <w:rsid w:val="00745481"/>
    <w:rsid w:val="00745497"/>
    <w:rsid w:val="007456D5"/>
    <w:rsid w:val="00745DBE"/>
    <w:rsid w:val="00745E61"/>
    <w:rsid w:val="00745EA2"/>
    <w:rsid w:val="00745FD9"/>
    <w:rsid w:val="00746117"/>
    <w:rsid w:val="00746188"/>
    <w:rsid w:val="007464AB"/>
    <w:rsid w:val="007465E4"/>
    <w:rsid w:val="00746AC2"/>
    <w:rsid w:val="00746BCD"/>
    <w:rsid w:val="00746C10"/>
    <w:rsid w:val="00746CA4"/>
    <w:rsid w:val="007470AF"/>
    <w:rsid w:val="00747190"/>
    <w:rsid w:val="007471B5"/>
    <w:rsid w:val="007473C8"/>
    <w:rsid w:val="007479C7"/>
    <w:rsid w:val="00747BB2"/>
    <w:rsid w:val="00747EC6"/>
    <w:rsid w:val="00747F10"/>
    <w:rsid w:val="007501E0"/>
    <w:rsid w:val="007508A4"/>
    <w:rsid w:val="00750B46"/>
    <w:rsid w:val="00751069"/>
    <w:rsid w:val="00751128"/>
    <w:rsid w:val="007512AF"/>
    <w:rsid w:val="007513C7"/>
    <w:rsid w:val="00751505"/>
    <w:rsid w:val="007516CC"/>
    <w:rsid w:val="0075174E"/>
    <w:rsid w:val="00751A67"/>
    <w:rsid w:val="00751B58"/>
    <w:rsid w:val="00751B8F"/>
    <w:rsid w:val="00751BEE"/>
    <w:rsid w:val="00751F54"/>
    <w:rsid w:val="0075211A"/>
    <w:rsid w:val="007524A6"/>
    <w:rsid w:val="00752808"/>
    <w:rsid w:val="0075293B"/>
    <w:rsid w:val="00752AB8"/>
    <w:rsid w:val="00752B33"/>
    <w:rsid w:val="00752D73"/>
    <w:rsid w:val="007531EF"/>
    <w:rsid w:val="00753264"/>
    <w:rsid w:val="00753496"/>
    <w:rsid w:val="00753642"/>
    <w:rsid w:val="007536D6"/>
    <w:rsid w:val="007544F8"/>
    <w:rsid w:val="0075481B"/>
    <w:rsid w:val="0075551E"/>
    <w:rsid w:val="007555AF"/>
    <w:rsid w:val="00755C90"/>
    <w:rsid w:val="00755CB0"/>
    <w:rsid w:val="00755DDF"/>
    <w:rsid w:val="007563CD"/>
    <w:rsid w:val="007564B7"/>
    <w:rsid w:val="007565C9"/>
    <w:rsid w:val="00756684"/>
    <w:rsid w:val="00756940"/>
    <w:rsid w:val="00756A4B"/>
    <w:rsid w:val="00756CA8"/>
    <w:rsid w:val="00757626"/>
    <w:rsid w:val="007577C8"/>
    <w:rsid w:val="00757818"/>
    <w:rsid w:val="00757871"/>
    <w:rsid w:val="007579AF"/>
    <w:rsid w:val="00757CEE"/>
    <w:rsid w:val="007601F0"/>
    <w:rsid w:val="0076042D"/>
    <w:rsid w:val="007604A4"/>
    <w:rsid w:val="00760834"/>
    <w:rsid w:val="00760AB4"/>
    <w:rsid w:val="00760AC9"/>
    <w:rsid w:val="00760BD5"/>
    <w:rsid w:val="00760DEC"/>
    <w:rsid w:val="00761808"/>
    <w:rsid w:val="00761854"/>
    <w:rsid w:val="007618AE"/>
    <w:rsid w:val="00761B57"/>
    <w:rsid w:val="00761B7D"/>
    <w:rsid w:val="00761E25"/>
    <w:rsid w:val="00761E44"/>
    <w:rsid w:val="00761E77"/>
    <w:rsid w:val="00762072"/>
    <w:rsid w:val="007620DB"/>
    <w:rsid w:val="007623C5"/>
    <w:rsid w:val="00762627"/>
    <w:rsid w:val="00762644"/>
    <w:rsid w:val="00762710"/>
    <w:rsid w:val="007627CD"/>
    <w:rsid w:val="00762BBF"/>
    <w:rsid w:val="007632D4"/>
    <w:rsid w:val="007638E9"/>
    <w:rsid w:val="007638F1"/>
    <w:rsid w:val="007641D4"/>
    <w:rsid w:val="007641FD"/>
    <w:rsid w:val="00764271"/>
    <w:rsid w:val="00764374"/>
    <w:rsid w:val="007644E0"/>
    <w:rsid w:val="00764F18"/>
    <w:rsid w:val="00765181"/>
    <w:rsid w:val="00765184"/>
    <w:rsid w:val="00765495"/>
    <w:rsid w:val="007655F4"/>
    <w:rsid w:val="0076561B"/>
    <w:rsid w:val="00765F3E"/>
    <w:rsid w:val="00765FBA"/>
    <w:rsid w:val="007661C6"/>
    <w:rsid w:val="007663AA"/>
    <w:rsid w:val="00766629"/>
    <w:rsid w:val="0076671F"/>
    <w:rsid w:val="007668DB"/>
    <w:rsid w:val="0076690B"/>
    <w:rsid w:val="00766EB2"/>
    <w:rsid w:val="0076781F"/>
    <w:rsid w:val="00767855"/>
    <w:rsid w:val="007679A9"/>
    <w:rsid w:val="00767B3E"/>
    <w:rsid w:val="00767B8C"/>
    <w:rsid w:val="00767E2F"/>
    <w:rsid w:val="00767FE1"/>
    <w:rsid w:val="007705A2"/>
    <w:rsid w:val="00770681"/>
    <w:rsid w:val="00770739"/>
    <w:rsid w:val="00770A31"/>
    <w:rsid w:val="00771360"/>
    <w:rsid w:val="007714FC"/>
    <w:rsid w:val="00771612"/>
    <w:rsid w:val="007717C4"/>
    <w:rsid w:val="00771995"/>
    <w:rsid w:val="00771B49"/>
    <w:rsid w:val="00771C40"/>
    <w:rsid w:val="00771CE2"/>
    <w:rsid w:val="0077233F"/>
    <w:rsid w:val="00772466"/>
    <w:rsid w:val="007725A8"/>
    <w:rsid w:val="0077270E"/>
    <w:rsid w:val="00772764"/>
    <w:rsid w:val="00772EE9"/>
    <w:rsid w:val="00773193"/>
    <w:rsid w:val="00773552"/>
    <w:rsid w:val="00773594"/>
    <w:rsid w:val="0077387D"/>
    <w:rsid w:val="00773939"/>
    <w:rsid w:val="007739B4"/>
    <w:rsid w:val="00773A12"/>
    <w:rsid w:val="00773DC4"/>
    <w:rsid w:val="00774036"/>
    <w:rsid w:val="007743E5"/>
    <w:rsid w:val="00774486"/>
    <w:rsid w:val="0077475E"/>
    <w:rsid w:val="007748B3"/>
    <w:rsid w:val="00774997"/>
    <w:rsid w:val="00774B6F"/>
    <w:rsid w:val="00774DCB"/>
    <w:rsid w:val="0077525A"/>
    <w:rsid w:val="0077576D"/>
    <w:rsid w:val="00775883"/>
    <w:rsid w:val="00775A16"/>
    <w:rsid w:val="00775D34"/>
    <w:rsid w:val="007760BC"/>
    <w:rsid w:val="007761E2"/>
    <w:rsid w:val="007762C5"/>
    <w:rsid w:val="007768FF"/>
    <w:rsid w:val="007769BD"/>
    <w:rsid w:val="007774AC"/>
    <w:rsid w:val="00777794"/>
    <w:rsid w:val="007779AC"/>
    <w:rsid w:val="00777A0A"/>
    <w:rsid w:val="00777CF9"/>
    <w:rsid w:val="00777D83"/>
    <w:rsid w:val="00777F0F"/>
    <w:rsid w:val="00780402"/>
    <w:rsid w:val="007807AC"/>
    <w:rsid w:val="0078097F"/>
    <w:rsid w:val="00780CBA"/>
    <w:rsid w:val="0078105E"/>
    <w:rsid w:val="00781963"/>
    <w:rsid w:val="007821B3"/>
    <w:rsid w:val="0078253F"/>
    <w:rsid w:val="00782990"/>
    <w:rsid w:val="00782BE5"/>
    <w:rsid w:val="00782FCD"/>
    <w:rsid w:val="007834DB"/>
    <w:rsid w:val="00783B3F"/>
    <w:rsid w:val="00783F79"/>
    <w:rsid w:val="007840D2"/>
    <w:rsid w:val="007841DB"/>
    <w:rsid w:val="007845E4"/>
    <w:rsid w:val="007846BD"/>
    <w:rsid w:val="007849B5"/>
    <w:rsid w:val="00784F4D"/>
    <w:rsid w:val="007850A8"/>
    <w:rsid w:val="00785385"/>
    <w:rsid w:val="007853CC"/>
    <w:rsid w:val="00785426"/>
    <w:rsid w:val="007854B0"/>
    <w:rsid w:val="00785871"/>
    <w:rsid w:val="00785CDE"/>
    <w:rsid w:val="00785CDF"/>
    <w:rsid w:val="00785F7C"/>
    <w:rsid w:val="00786116"/>
    <w:rsid w:val="00786136"/>
    <w:rsid w:val="007861C5"/>
    <w:rsid w:val="00786556"/>
    <w:rsid w:val="007865E8"/>
    <w:rsid w:val="00786B1D"/>
    <w:rsid w:val="00786B51"/>
    <w:rsid w:val="00786D00"/>
    <w:rsid w:val="00786F69"/>
    <w:rsid w:val="00786FE2"/>
    <w:rsid w:val="00786FF7"/>
    <w:rsid w:val="007870F7"/>
    <w:rsid w:val="00787159"/>
    <w:rsid w:val="00787501"/>
    <w:rsid w:val="0078761A"/>
    <w:rsid w:val="007877D6"/>
    <w:rsid w:val="007877F1"/>
    <w:rsid w:val="00787872"/>
    <w:rsid w:val="00787B35"/>
    <w:rsid w:val="00787D62"/>
    <w:rsid w:val="00787EED"/>
    <w:rsid w:val="00787F51"/>
    <w:rsid w:val="007901D7"/>
    <w:rsid w:val="007904D5"/>
    <w:rsid w:val="00790551"/>
    <w:rsid w:val="007906D2"/>
    <w:rsid w:val="0079096F"/>
    <w:rsid w:val="007909F6"/>
    <w:rsid w:val="00790B9E"/>
    <w:rsid w:val="00790CA6"/>
    <w:rsid w:val="00790E29"/>
    <w:rsid w:val="00790FC3"/>
    <w:rsid w:val="00791A91"/>
    <w:rsid w:val="00791F21"/>
    <w:rsid w:val="00792067"/>
    <w:rsid w:val="00792549"/>
    <w:rsid w:val="00792574"/>
    <w:rsid w:val="007926C8"/>
    <w:rsid w:val="00792CA3"/>
    <w:rsid w:val="00792DDE"/>
    <w:rsid w:val="00793364"/>
    <w:rsid w:val="00793564"/>
    <w:rsid w:val="00793812"/>
    <w:rsid w:val="00793844"/>
    <w:rsid w:val="007938BA"/>
    <w:rsid w:val="00793EEE"/>
    <w:rsid w:val="007942FC"/>
    <w:rsid w:val="007943FE"/>
    <w:rsid w:val="007945B9"/>
    <w:rsid w:val="007945FD"/>
    <w:rsid w:val="00794622"/>
    <w:rsid w:val="007946AF"/>
    <w:rsid w:val="00794783"/>
    <w:rsid w:val="00794A55"/>
    <w:rsid w:val="00794F58"/>
    <w:rsid w:val="0079519D"/>
    <w:rsid w:val="00795262"/>
    <w:rsid w:val="00795512"/>
    <w:rsid w:val="00795701"/>
    <w:rsid w:val="00795756"/>
    <w:rsid w:val="00795774"/>
    <w:rsid w:val="00795877"/>
    <w:rsid w:val="0079621C"/>
    <w:rsid w:val="0079625E"/>
    <w:rsid w:val="007962E8"/>
    <w:rsid w:val="007963A4"/>
    <w:rsid w:val="007964AE"/>
    <w:rsid w:val="0079655B"/>
    <w:rsid w:val="007966EB"/>
    <w:rsid w:val="007971DF"/>
    <w:rsid w:val="007974F9"/>
    <w:rsid w:val="00797628"/>
    <w:rsid w:val="007977D0"/>
    <w:rsid w:val="007978EE"/>
    <w:rsid w:val="00797910"/>
    <w:rsid w:val="00797BD7"/>
    <w:rsid w:val="00797CDD"/>
    <w:rsid w:val="00797F84"/>
    <w:rsid w:val="00797FEA"/>
    <w:rsid w:val="007A0383"/>
    <w:rsid w:val="007A064C"/>
    <w:rsid w:val="007A06BC"/>
    <w:rsid w:val="007A08AB"/>
    <w:rsid w:val="007A096D"/>
    <w:rsid w:val="007A0ABB"/>
    <w:rsid w:val="007A0F6C"/>
    <w:rsid w:val="007A124E"/>
    <w:rsid w:val="007A12D1"/>
    <w:rsid w:val="007A1302"/>
    <w:rsid w:val="007A146C"/>
    <w:rsid w:val="007A14F6"/>
    <w:rsid w:val="007A1715"/>
    <w:rsid w:val="007A1ED0"/>
    <w:rsid w:val="007A2008"/>
    <w:rsid w:val="007A2456"/>
    <w:rsid w:val="007A29E1"/>
    <w:rsid w:val="007A2EBB"/>
    <w:rsid w:val="007A2F69"/>
    <w:rsid w:val="007A339A"/>
    <w:rsid w:val="007A3543"/>
    <w:rsid w:val="007A3789"/>
    <w:rsid w:val="007A3893"/>
    <w:rsid w:val="007A399E"/>
    <w:rsid w:val="007A41A7"/>
    <w:rsid w:val="007A445E"/>
    <w:rsid w:val="007A44F8"/>
    <w:rsid w:val="007A453E"/>
    <w:rsid w:val="007A45E9"/>
    <w:rsid w:val="007A478B"/>
    <w:rsid w:val="007A491E"/>
    <w:rsid w:val="007A49C9"/>
    <w:rsid w:val="007A4C13"/>
    <w:rsid w:val="007A4CD3"/>
    <w:rsid w:val="007A4EC7"/>
    <w:rsid w:val="007A4ECE"/>
    <w:rsid w:val="007A4F0D"/>
    <w:rsid w:val="007A4F12"/>
    <w:rsid w:val="007A4FFB"/>
    <w:rsid w:val="007A53E7"/>
    <w:rsid w:val="007A5497"/>
    <w:rsid w:val="007A5943"/>
    <w:rsid w:val="007A5D76"/>
    <w:rsid w:val="007A60AE"/>
    <w:rsid w:val="007A620A"/>
    <w:rsid w:val="007A643B"/>
    <w:rsid w:val="007A645A"/>
    <w:rsid w:val="007A6469"/>
    <w:rsid w:val="007A692D"/>
    <w:rsid w:val="007A6AC2"/>
    <w:rsid w:val="007A6C05"/>
    <w:rsid w:val="007A6D2A"/>
    <w:rsid w:val="007A75EC"/>
    <w:rsid w:val="007A7853"/>
    <w:rsid w:val="007A787B"/>
    <w:rsid w:val="007A79CA"/>
    <w:rsid w:val="007A7A3B"/>
    <w:rsid w:val="007A7D67"/>
    <w:rsid w:val="007A7DF6"/>
    <w:rsid w:val="007A7EA0"/>
    <w:rsid w:val="007B003B"/>
    <w:rsid w:val="007B007D"/>
    <w:rsid w:val="007B0318"/>
    <w:rsid w:val="007B031A"/>
    <w:rsid w:val="007B05A9"/>
    <w:rsid w:val="007B060B"/>
    <w:rsid w:val="007B06F1"/>
    <w:rsid w:val="007B0717"/>
    <w:rsid w:val="007B0D07"/>
    <w:rsid w:val="007B10FB"/>
    <w:rsid w:val="007B13E7"/>
    <w:rsid w:val="007B16A1"/>
    <w:rsid w:val="007B173E"/>
    <w:rsid w:val="007B1933"/>
    <w:rsid w:val="007B1954"/>
    <w:rsid w:val="007B1B0E"/>
    <w:rsid w:val="007B25F6"/>
    <w:rsid w:val="007B2A1C"/>
    <w:rsid w:val="007B2BD5"/>
    <w:rsid w:val="007B2D39"/>
    <w:rsid w:val="007B2D80"/>
    <w:rsid w:val="007B2EA8"/>
    <w:rsid w:val="007B32E7"/>
    <w:rsid w:val="007B351E"/>
    <w:rsid w:val="007B36C4"/>
    <w:rsid w:val="007B3918"/>
    <w:rsid w:val="007B3B85"/>
    <w:rsid w:val="007B3C59"/>
    <w:rsid w:val="007B4859"/>
    <w:rsid w:val="007B4AF4"/>
    <w:rsid w:val="007B4D5E"/>
    <w:rsid w:val="007B4E89"/>
    <w:rsid w:val="007B4F18"/>
    <w:rsid w:val="007B5112"/>
    <w:rsid w:val="007B571A"/>
    <w:rsid w:val="007B59E9"/>
    <w:rsid w:val="007B5AF6"/>
    <w:rsid w:val="007B5C72"/>
    <w:rsid w:val="007B6456"/>
    <w:rsid w:val="007B6AD6"/>
    <w:rsid w:val="007B70FC"/>
    <w:rsid w:val="007B7295"/>
    <w:rsid w:val="007B7712"/>
    <w:rsid w:val="007B79E2"/>
    <w:rsid w:val="007B7BCB"/>
    <w:rsid w:val="007C0208"/>
    <w:rsid w:val="007C02FA"/>
    <w:rsid w:val="007C0492"/>
    <w:rsid w:val="007C062A"/>
    <w:rsid w:val="007C09C2"/>
    <w:rsid w:val="007C0B5A"/>
    <w:rsid w:val="007C0E29"/>
    <w:rsid w:val="007C1339"/>
    <w:rsid w:val="007C14F1"/>
    <w:rsid w:val="007C17AD"/>
    <w:rsid w:val="007C1A9C"/>
    <w:rsid w:val="007C1C73"/>
    <w:rsid w:val="007C1D3E"/>
    <w:rsid w:val="007C1E64"/>
    <w:rsid w:val="007C227F"/>
    <w:rsid w:val="007C2586"/>
    <w:rsid w:val="007C2718"/>
    <w:rsid w:val="007C29D5"/>
    <w:rsid w:val="007C2DFF"/>
    <w:rsid w:val="007C342A"/>
    <w:rsid w:val="007C37CD"/>
    <w:rsid w:val="007C39C5"/>
    <w:rsid w:val="007C3C74"/>
    <w:rsid w:val="007C3E23"/>
    <w:rsid w:val="007C3FA3"/>
    <w:rsid w:val="007C3FCC"/>
    <w:rsid w:val="007C4004"/>
    <w:rsid w:val="007C4018"/>
    <w:rsid w:val="007C42A3"/>
    <w:rsid w:val="007C44C5"/>
    <w:rsid w:val="007C460C"/>
    <w:rsid w:val="007C4737"/>
    <w:rsid w:val="007C4803"/>
    <w:rsid w:val="007C4A4F"/>
    <w:rsid w:val="007C4FD9"/>
    <w:rsid w:val="007C5206"/>
    <w:rsid w:val="007C534E"/>
    <w:rsid w:val="007C553C"/>
    <w:rsid w:val="007C6183"/>
    <w:rsid w:val="007C64DD"/>
    <w:rsid w:val="007C6B58"/>
    <w:rsid w:val="007C6B89"/>
    <w:rsid w:val="007C7061"/>
    <w:rsid w:val="007C756E"/>
    <w:rsid w:val="007C78D8"/>
    <w:rsid w:val="007C7B8F"/>
    <w:rsid w:val="007C7D33"/>
    <w:rsid w:val="007C7DA2"/>
    <w:rsid w:val="007C7FE4"/>
    <w:rsid w:val="007D00BC"/>
    <w:rsid w:val="007D00C4"/>
    <w:rsid w:val="007D00E3"/>
    <w:rsid w:val="007D02B1"/>
    <w:rsid w:val="007D0E43"/>
    <w:rsid w:val="007D0FE9"/>
    <w:rsid w:val="007D0FEF"/>
    <w:rsid w:val="007D1352"/>
    <w:rsid w:val="007D17F3"/>
    <w:rsid w:val="007D1981"/>
    <w:rsid w:val="007D1E0C"/>
    <w:rsid w:val="007D1EE6"/>
    <w:rsid w:val="007D203D"/>
    <w:rsid w:val="007D284D"/>
    <w:rsid w:val="007D2958"/>
    <w:rsid w:val="007D29A3"/>
    <w:rsid w:val="007D2DC5"/>
    <w:rsid w:val="007D33F2"/>
    <w:rsid w:val="007D35A1"/>
    <w:rsid w:val="007D36E3"/>
    <w:rsid w:val="007D378A"/>
    <w:rsid w:val="007D3B48"/>
    <w:rsid w:val="007D4012"/>
    <w:rsid w:val="007D436B"/>
    <w:rsid w:val="007D47C9"/>
    <w:rsid w:val="007D4E6D"/>
    <w:rsid w:val="007D4F07"/>
    <w:rsid w:val="007D4F8D"/>
    <w:rsid w:val="007D5016"/>
    <w:rsid w:val="007D526A"/>
    <w:rsid w:val="007D5872"/>
    <w:rsid w:val="007D60A9"/>
    <w:rsid w:val="007D619A"/>
    <w:rsid w:val="007D65BB"/>
    <w:rsid w:val="007D6B27"/>
    <w:rsid w:val="007D6BD9"/>
    <w:rsid w:val="007D6D6A"/>
    <w:rsid w:val="007D6EC9"/>
    <w:rsid w:val="007D743F"/>
    <w:rsid w:val="007D7639"/>
    <w:rsid w:val="007D78BC"/>
    <w:rsid w:val="007D79AD"/>
    <w:rsid w:val="007E0332"/>
    <w:rsid w:val="007E04D7"/>
    <w:rsid w:val="007E04E7"/>
    <w:rsid w:val="007E079C"/>
    <w:rsid w:val="007E07C0"/>
    <w:rsid w:val="007E0D9E"/>
    <w:rsid w:val="007E0ECF"/>
    <w:rsid w:val="007E116C"/>
    <w:rsid w:val="007E11EE"/>
    <w:rsid w:val="007E13EF"/>
    <w:rsid w:val="007E17B4"/>
    <w:rsid w:val="007E17FD"/>
    <w:rsid w:val="007E18EA"/>
    <w:rsid w:val="007E1CC4"/>
    <w:rsid w:val="007E25CF"/>
    <w:rsid w:val="007E260B"/>
    <w:rsid w:val="007E271F"/>
    <w:rsid w:val="007E283C"/>
    <w:rsid w:val="007E2B2B"/>
    <w:rsid w:val="007E3506"/>
    <w:rsid w:val="007E3591"/>
    <w:rsid w:val="007E3620"/>
    <w:rsid w:val="007E3987"/>
    <w:rsid w:val="007E3996"/>
    <w:rsid w:val="007E3BC0"/>
    <w:rsid w:val="007E3C9A"/>
    <w:rsid w:val="007E3D06"/>
    <w:rsid w:val="007E3DEE"/>
    <w:rsid w:val="007E4676"/>
    <w:rsid w:val="007E46C4"/>
    <w:rsid w:val="007E47A8"/>
    <w:rsid w:val="007E4844"/>
    <w:rsid w:val="007E4902"/>
    <w:rsid w:val="007E4CC4"/>
    <w:rsid w:val="007E4D80"/>
    <w:rsid w:val="007E517E"/>
    <w:rsid w:val="007E51DC"/>
    <w:rsid w:val="007E543D"/>
    <w:rsid w:val="007E55BD"/>
    <w:rsid w:val="007E59A3"/>
    <w:rsid w:val="007E5D61"/>
    <w:rsid w:val="007E5E4F"/>
    <w:rsid w:val="007E5F38"/>
    <w:rsid w:val="007E603F"/>
    <w:rsid w:val="007E66DF"/>
    <w:rsid w:val="007E695B"/>
    <w:rsid w:val="007E6A7E"/>
    <w:rsid w:val="007E6DC3"/>
    <w:rsid w:val="007E6DD1"/>
    <w:rsid w:val="007E717D"/>
    <w:rsid w:val="007E736C"/>
    <w:rsid w:val="007E743F"/>
    <w:rsid w:val="007E7722"/>
    <w:rsid w:val="007E7C68"/>
    <w:rsid w:val="007E7CE6"/>
    <w:rsid w:val="007F0012"/>
    <w:rsid w:val="007F02B4"/>
    <w:rsid w:val="007F0544"/>
    <w:rsid w:val="007F0695"/>
    <w:rsid w:val="007F0929"/>
    <w:rsid w:val="007F0B31"/>
    <w:rsid w:val="007F0D25"/>
    <w:rsid w:val="007F162F"/>
    <w:rsid w:val="007F1CC8"/>
    <w:rsid w:val="007F1F60"/>
    <w:rsid w:val="007F20DD"/>
    <w:rsid w:val="007F2797"/>
    <w:rsid w:val="007F2D45"/>
    <w:rsid w:val="007F2E0D"/>
    <w:rsid w:val="007F2FD7"/>
    <w:rsid w:val="007F310B"/>
    <w:rsid w:val="007F396D"/>
    <w:rsid w:val="007F3F93"/>
    <w:rsid w:val="007F4329"/>
    <w:rsid w:val="007F4641"/>
    <w:rsid w:val="007F478E"/>
    <w:rsid w:val="007F4C16"/>
    <w:rsid w:val="007F4C39"/>
    <w:rsid w:val="007F4E02"/>
    <w:rsid w:val="007F512F"/>
    <w:rsid w:val="007F51FF"/>
    <w:rsid w:val="007F5570"/>
    <w:rsid w:val="007F5A68"/>
    <w:rsid w:val="007F5A7F"/>
    <w:rsid w:val="007F5B4E"/>
    <w:rsid w:val="007F5E33"/>
    <w:rsid w:val="007F5ED4"/>
    <w:rsid w:val="007F6723"/>
    <w:rsid w:val="007F6A30"/>
    <w:rsid w:val="007F7264"/>
    <w:rsid w:val="007F7782"/>
    <w:rsid w:val="007F7B6D"/>
    <w:rsid w:val="007F7B84"/>
    <w:rsid w:val="007F7CFD"/>
    <w:rsid w:val="007F7D09"/>
    <w:rsid w:val="007F7D81"/>
    <w:rsid w:val="00800836"/>
    <w:rsid w:val="00800C19"/>
    <w:rsid w:val="00800D16"/>
    <w:rsid w:val="0080102E"/>
    <w:rsid w:val="00801091"/>
    <w:rsid w:val="008015B9"/>
    <w:rsid w:val="00801663"/>
    <w:rsid w:val="0080167A"/>
    <w:rsid w:val="00801E73"/>
    <w:rsid w:val="00801F1D"/>
    <w:rsid w:val="008024B8"/>
    <w:rsid w:val="008026B1"/>
    <w:rsid w:val="0080274D"/>
    <w:rsid w:val="00802B24"/>
    <w:rsid w:val="00802E84"/>
    <w:rsid w:val="00802EB8"/>
    <w:rsid w:val="00803156"/>
    <w:rsid w:val="00803570"/>
    <w:rsid w:val="0080379E"/>
    <w:rsid w:val="00803988"/>
    <w:rsid w:val="00803B10"/>
    <w:rsid w:val="00803C64"/>
    <w:rsid w:val="00803DF6"/>
    <w:rsid w:val="008041E7"/>
    <w:rsid w:val="008043F0"/>
    <w:rsid w:val="008045E8"/>
    <w:rsid w:val="0080493E"/>
    <w:rsid w:val="00805197"/>
    <w:rsid w:val="008051DC"/>
    <w:rsid w:val="00805376"/>
    <w:rsid w:val="00805461"/>
    <w:rsid w:val="0080583F"/>
    <w:rsid w:val="0080585C"/>
    <w:rsid w:val="00805878"/>
    <w:rsid w:val="008059E9"/>
    <w:rsid w:val="00805A32"/>
    <w:rsid w:val="00805C1E"/>
    <w:rsid w:val="00805D42"/>
    <w:rsid w:val="00805DA7"/>
    <w:rsid w:val="00806148"/>
    <w:rsid w:val="008061FD"/>
    <w:rsid w:val="008064C7"/>
    <w:rsid w:val="00806716"/>
    <w:rsid w:val="008068D6"/>
    <w:rsid w:val="00806FA4"/>
    <w:rsid w:val="00807384"/>
    <w:rsid w:val="00807549"/>
    <w:rsid w:val="00807885"/>
    <w:rsid w:val="00807960"/>
    <w:rsid w:val="00807A69"/>
    <w:rsid w:val="00807F62"/>
    <w:rsid w:val="0081038B"/>
    <w:rsid w:val="008104B0"/>
    <w:rsid w:val="00810660"/>
    <w:rsid w:val="00810BBC"/>
    <w:rsid w:val="00810F13"/>
    <w:rsid w:val="00811061"/>
    <w:rsid w:val="0081113D"/>
    <w:rsid w:val="0081180B"/>
    <w:rsid w:val="00811B95"/>
    <w:rsid w:val="00811CFE"/>
    <w:rsid w:val="00811D28"/>
    <w:rsid w:val="00811E4A"/>
    <w:rsid w:val="00811EED"/>
    <w:rsid w:val="00811F3F"/>
    <w:rsid w:val="00812094"/>
    <w:rsid w:val="008120C0"/>
    <w:rsid w:val="0081248B"/>
    <w:rsid w:val="0081256C"/>
    <w:rsid w:val="008126D2"/>
    <w:rsid w:val="00812818"/>
    <w:rsid w:val="00812D01"/>
    <w:rsid w:val="0081317B"/>
    <w:rsid w:val="008132C5"/>
    <w:rsid w:val="008134AD"/>
    <w:rsid w:val="00813550"/>
    <w:rsid w:val="008136F4"/>
    <w:rsid w:val="008137CA"/>
    <w:rsid w:val="00813A32"/>
    <w:rsid w:val="00813B53"/>
    <w:rsid w:val="00813BD1"/>
    <w:rsid w:val="00813D71"/>
    <w:rsid w:val="00813EE9"/>
    <w:rsid w:val="008141DF"/>
    <w:rsid w:val="00814256"/>
    <w:rsid w:val="00814836"/>
    <w:rsid w:val="008148F3"/>
    <w:rsid w:val="00814B0F"/>
    <w:rsid w:val="00814B93"/>
    <w:rsid w:val="008154C0"/>
    <w:rsid w:val="00815838"/>
    <w:rsid w:val="00815883"/>
    <w:rsid w:val="00815A67"/>
    <w:rsid w:val="00815D24"/>
    <w:rsid w:val="0081646A"/>
    <w:rsid w:val="0081691A"/>
    <w:rsid w:val="008169C7"/>
    <w:rsid w:val="00816D94"/>
    <w:rsid w:val="00816DEB"/>
    <w:rsid w:val="008179FA"/>
    <w:rsid w:val="00817AA6"/>
    <w:rsid w:val="00817B09"/>
    <w:rsid w:val="00817BE5"/>
    <w:rsid w:val="00817CF1"/>
    <w:rsid w:val="00817D0A"/>
    <w:rsid w:val="00817E88"/>
    <w:rsid w:val="00817EAB"/>
    <w:rsid w:val="00820157"/>
    <w:rsid w:val="00820258"/>
    <w:rsid w:val="00820484"/>
    <w:rsid w:val="00820512"/>
    <w:rsid w:val="0082096B"/>
    <w:rsid w:val="008209CA"/>
    <w:rsid w:val="00820AD9"/>
    <w:rsid w:val="00820B58"/>
    <w:rsid w:val="00820B6D"/>
    <w:rsid w:val="00820D51"/>
    <w:rsid w:val="0082125E"/>
    <w:rsid w:val="008213A9"/>
    <w:rsid w:val="0082165B"/>
    <w:rsid w:val="0082178A"/>
    <w:rsid w:val="008218C6"/>
    <w:rsid w:val="0082190F"/>
    <w:rsid w:val="00821A5B"/>
    <w:rsid w:val="00821AD3"/>
    <w:rsid w:val="00821AE0"/>
    <w:rsid w:val="00821D7D"/>
    <w:rsid w:val="0082203A"/>
    <w:rsid w:val="008223CB"/>
    <w:rsid w:val="00822BD3"/>
    <w:rsid w:val="00822D7A"/>
    <w:rsid w:val="0082306E"/>
    <w:rsid w:val="008231D9"/>
    <w:rsid w:val="0082321E"/>
    <w:rsid w:val="00823366"/>
    <w:rsid w:val="00823836"/>
    <w:rsid w:val="008239CD"/>
    <w:rsid w:val="00823BC6"/>
    <w:rsid w:val="00823E2A"/>
    <w:rsid w:val="00823F87"/>
    <w:rsid w:val="008240DA"/>
    <w:rsid w:val="008247D5"/>
    <w:rsid w:val="008249DB"/>
    <w:rsid w:val="00824DDA"/>
    <w:rsid w:val="00824EF1"/>
    <w:rsid w:val="0082505D"/>
    <w:rsid w:val="0082535C"/>
    <w:rsid w:val="0082545D"/>
    <w:rsid w:val="00825946"/>
    <w:rsid w:val="00825A37"/>
    <w:rsid w:val="00825B9E"/>
    <w:rsid w:val="00825CA3"/>
    <w:rsid w:val="00825D9D"/>
    <w:rsid w:val="00825F2D"/>
    <w:rsid w:val="00826144"/>
    <w:rsid w:val="008261E2"/>
    <w:rsid w:val="008261FA"/>
    <w:rsid w:val="008268E5"/>
    <w:rsid w:val="00826D3B"/>
    <w:rsid w:val="00826E76"/>
    <w:rsid w:val="00826FB4"/>
    <w:rsid w:val="008270D2"/>
    <w:rsid w:val="008270F8"/>
    <w:rsid w:val="008271CD"/>
    <w:rsid w:val="0082753F"/>
    <w:rsid w:val="00827581"/>
    <w:rsid w:val="00827887"/>
    <w:rsid w:val="0082796C"/>
    <w:rsid w:val="00827A9B"/>
    <w:rsid w:val="00827AC8"/>
    <w:rsid w:val="00827FC8"/>
    <w:rsid w:val="0083037A"/>
    <w:rsid w:val="008303A4"/>
    <w:rsid w:val="008303DA"/>
    <w:rsid w:val="0083070B"/>
    <w:rsid w:val="0083084A"/>
    <w:rsid w:val="00830A5C"/>
    <w:rsid w:val="00830C0A"/>
    <w:rsid w:val="00830CEB"/>
    <w:rsid w:val="00830DD6"/>
    <w:rsid w:val="00831075"/>
    <w:rsid w:val="008310A0"/>
    <w:rsid w:val="00831131"/>
    <w:rsid w:val="008319F4"/>
    <w:rsid w:val="00831C2D"/>
    <w:rsid w:val="00831DB6"/>
    <w:rsid w:val="00832182"/>
    <w:rsid w:val="00832319"/>
    <w:rsid w:val="008324C2"/>
    <w:rsid w:val="008325A7"/>
    <w:rsid w:val="008326DE"/>
    <w:rsid w:val="008327CD"/>
    <w:rsid w:val="00832AB0"/>
    <w:rsid w:val="00832B90"/>
    <w:rsid w:val="00832BBF"/>
    <w:rsid w:val="00832F06"/>
    <w:rsid w:val="008332E2"/>
    <w:rsid w:val="00833381"/>
    <w:rsid w:val="0083355A"/>
    <w:rsid w:val="008337C6"/>
    <w:rsid w:val="00833ACA"/>
    <w:rsid w:val="00833AEC"/>
    <w:rsid w:val="00833C05"/>
    <w:rsid w:val="00833E17"/>
    <w:rsid w:val="0083401E"/>
    <w:rsid w:val="0083402C"/>
    <w:rsid w:val="00834221"/>
    <w:rsid w:val="0083424A"/>
    <w:rsid w:val="00834508"/>
    <w:rsid w:val="0083461B"/>
    <w:rsid w:val="008346A0"/>
    <w:rsid w:val="008347CC"/>
    <w:rsid w:val="0083485D"/>
    <w:rsid w:val="00834947"/>
    <w:rsid w:val="008349FE"/>
    <w:rsid w:val="00834B0D"/>
    <w:rsid w:val="00834D51"/>
    <w:rsid w:val="008350A9"/>
    <w:rsid w:val="00835235"/>
    <w:rsid w:val="0083542B"/>
    <w:rsid w:val="008354A9"/>
    <w:rsid w:val="0083573A"/>
    <w:rsid w:val="008357C1"/>
    <w:rsid w:val="00835920"/>
    <w:rsid w:val="00835A5E"/>
    <w:rsid w:val="00835AAA"/>
    <w:rsid w:val="00835B0A"/>
    <w:rsid w:val="00835D3D"/>
    <w:rsid w:val="00835F01"/>
    <w:rsid w:val="0083615C"/>
    <w:rsid w:val="0083618D"/>
    <w:rsid w:val="00836211"/>
    <w:rsid w:val="008362F4"/>
    <w:rsid w:val="00836583"/>
    <w:rsid w:val="00836629"/>
    <w:rsid w:val="008369A9"/>
    <w:rsid w:val="00836A36"/>
    <w:rsid w:val="00837204"/>
    <w:rsid w:val="00837219"/>
    <w:rsid w:val="008372B6"/>
    <w:rsid w:val="008373C6"/>
    <w:rsid w:val="00837D7D"/>
    <w:rsid w:val="008402F2"/>
    <w:rsid w:val="008405D1"/>
    <w:rsid w:val="0084072E"/>
    <w:rsid w:val="00840B61"/>
    <w:rsid w:val="00840C8A"/>
    <w:rsid w:val="00840D35"/>
    <w:rsid w:val="00840F53"/>
    <w:rsid w:val="008416B4"/>
    <w:rsid w:val="00841A15"/>
    <w:rsid w:val="00841A1E"/>
    <w:rsid w:val="00841E10"/>
    <w:rsid w:val="00842070"/>
    <w:rsid w:val="0084229B"/>
    <w:rsid w:val="008422B3"/>
    <w:rsid w:val="00842DDC"/>
    <w:rsid w:val="00842E4E"/>
    <w:rsid w:val="00842ED0"/>
    <w:rsid w:val="0084308F"/>
    <w:rsid w:val="008430F9"/>
    <w:rsid w:val="00843192"/>
    <w:rsid w:val="00843942"/>
    <w:rsid w:val="0084396F"/>
    <w:rsid w:val="00843E0A"/>
    <w:rsid w:val="0084426A"/>
    <w:rsid w:val="00844421"/>
    <w:rsid w:val="00844548"/>
    <w:rsid w:val="00844618"/>
    <w:rsid w:val="00844806"/>
    <w:rsid w:val="0084486A"/>
    <w:rsid w:val="00844B06"/>
    <w:rsid w:val="00844B5F"/>
    <w:rsid w:val="00844BDC"/>
    <w:rsid w:val="00844C0E"/>
    <w:rsid w:val="00844F31"/>
    <w:rsid w:val="008453A4"/>
    <w:rsid w:val="00845485"/>
    <w:rsid w:val="008457DE"/>
    <w:rsid w:val="00845931"/>
    <w:rsid w:val="00845C5D"/>
    <w:rsid w:val="00845E5F"/>
    <w:rsid w:val="00845F73"/>
    <w:rsid w:val="008465CC"/>
    <w:rsid w:val="00846BFF"/>
    <w:rsid w:val="008473B0"/>
    <w:rsid w:val="00847657"/>
    <w:rsid w:val="008477A0"/>
    <w:rsid w:val="008478B9"/>
    <w:rsid w:val="008478EA"/>
    <w:rsid w:val="00847962"/>
    <w:rsid w:val="00847A96"/>
    <w:rsid w:val="00847AEC"/>
    <w:rsid w:val="00850256"/>
    <w:rsid w:val="00850272"/>
    <w:rsid w:val="008502BE"/>
    <w:rsid w:val="008503FD"/>
    <w:rsid w:val="0085052B"/>
    <w:rsid w:val="008506F6"/>
    <w:rsid w:val="008509FA"/>
    <w:rsid w:val="00850A3A"/>
    <w:rsid w:val="00850BA2"/>
    <w:rsid w:val="00850BAD"/>
    <w:rsid w:val="00850BDE"/>
    <w:rsid w:val="00850D92"/>
    <w:rsid w:val="00850EAF"/>
    <w:rsid w:val="00851295"/>
    <w:rsid w:val="0085136A"/>
    <w:rsid w:val="00851502"/>
    <w:rsid w:val="00851543"/>
    <w:rsid w:val="00851728"/>
    <w:rsid w:val="0085184C"/>
    <w:rsid w:val="008518AF"/>
    <w:rsid w:val="00851942"/>
    <w:rsid w:val="00851CBB"/>
    <w:rsid w:val="00851E0A"/>
    <w:rsid w:val="0085209C"/>
    <w:rsid w:val="0085226E"/>
    <w:rsid w:val="0085235E"/>
    <w:rsid w:val="008523C5"/>
    <w:rsid w:val="008526A3"/>
    <w:rsid w:val="00852794"/>
    <w:rsid w:val="00852A06"/>
    <w:rsid w:val="00852A50"/>
    <w:rsid w:val="00852BAB"/>
    <w:rsid w:val="00852CA2"/>
    <w:rsid w:val="00852DF7"/>
    <w:rsid w:val="00852F02"/>
    <w:rsid w:val="00853800"/>
    <w:rsid w:val="00853974"/>
    <w:rsid w:val="00853C54"/>
    <w:rsid w:val="00853C94"/>
    <w:rsid w:val="008540FC"/>
    <w:rsid w:val="0085442B"/>
    <w:rsid w:val="0085468E"/>
    <w:rsid w:val="00854A97"/>
    <w:rsid w:val="00854E1C"/>
    <w:rsid w:val="00855212"/>
    <w:rsid w:val="008556CE"/>
    <w:rsid w:val="0085583B"/>
    <w:rsid w:val="00855851"/>
    <w:rsid w:val="008558CA"/>
    <w:rsid w:val="0085591F"/>
    <w:rsid w:val="0085595F"/>
    <w:rsid w:val="00855CB7"/>
    <w:rsid w:val="00856490"/>
    <w:rsid w:val="008565B7"/>
    <w:rsid w:val="00856726"/>
    <w:rsid w:val="00856DB2"/>
    <w:rsid w:val="00856E4C"/>
    <w:rsid w:val="008574E4"/>
    <w:rsid w:val="008575B2"/>
    <w:rsid w:val="00857A75"/>
    <w:rsid w:val="00857B61"/>
    <w:rsid w:val="00857F2B"/>
    <w:rsid w:val="00860050"/>
    <w:rsid w:val="00860638"/>
    <w:rsid w:val="008609E6"/>
    <w:rsid w:val="00860D24"/>
    <w:rsid w:val="00861133"/>
    <w:rsid w:val="00861155"/>
    <w:rsid w:val="0086116B"/>
    <w:rsid w:val="00861649"/>
    <w:rsid w:val="00861B71"/>
    <w:rsid w:val="00861CB1"/>
    <w:rsid w:val="0086241A"/>
    <w:rsid w:val="0086244F"/>
    <w:rsid w:val="00862897"/>
    <w:rsid w:val="00862AB8"/>
    <w:rsid w:val="00862C15"/>
    <w:rsid w:val="00862D4D"/>
    <w:rsid w:val="00862FB1"/>
    <w:rsid w:val="008631E7"/>
    <w:rsid w:val="008635D1"/>
    <w:rsid w:val="008638C4"/>
    <w:rsid w:val="008639F1"/>
    <w:rsid w:val="00863E67"/>
    <w:rsid w:val="00863F16"/>
    <w:rsid w:val="008644BA"/>
    <w:rsid w:val="0086458F"/>
    <w:rsid w:val="00864615"/>
    <w:rsid w:val="0086463C"/>
    <w:rsid w:val="00864A35"/>
    <w:rsid w:val="00864B14"/>
    <w:rsid w:val="00864D24"/>
    <w:rsid w:val="00864FD9"/>
    <w:rsid w:val="008651D9"/>
    <w:rsid w:val="00865415"/>
    <w:rsid w:val="00865416"/>
    <w:rsid w:val="00865432"/>
    <w:rsid w:val="008654A5"/>
    <w:rsid w:val="0086579A"/>
    <w:rsid w:val="00865856"/>
    <w:rsid w:val="00865A62"/>
    <w:rsid w:val="00865F7A"/>
    <w:rsid w:val="0086623A"/>
    <w:rsid w:val="008664AB"/>
    <w:rsid w:val="008665B8"/>
    <w:rsid w:val="00866B8D"/>
    <w:rsid w:val="00866C5E"/>
    <w:rsid w:val="00866D97"/>
    <w:rsid w:val="00867236"/>
    <w:rsid w:val="00867362"/>
    <w:rsid w:val="0086757F"/>
    <w:rsid w:val="0086767B"/>
    <w:rsid w:val="00867742"/>
    <w:rsid w:val="00867984"/>
    <w:rsid w:val="0087006E"/>
    <w:rsid w:val="0087007C"/>
    <w:rsid w:val="008705C1"/>
    <w:rsid w:val="00870843"/>
    <w:rsid w:val="00870D47"/>
    <w:rsid w:val="00870E4B"/>
    <w:rsid w:val="0087131D"/>
    <w:rsid w:val="0087169E"/>
    <w:rsid w:val="00871F63"/>
    <w:rsid w:val="008724E1"/>
    <w:rsid w:val="008725C7"/>
    <w:rsid w:val="00872792"/>
    <w:rsid w:val="00872A77"/>
    <w:rsid w:val="00872A87"/>
    <w:rsid w:val="00872F43"/>
    <w:rsid w:val="00873444"/>
    <w:rsid w:val="008734BF"/>
    <w:rsid w:val="008738A2"/>
    <w:rsid w:val="00873BC0"/>
    <w:rsid w:val="00873C6A"/>
    <w:rsid w:val="00873DF7"/>
    <w:rsid w:val="0087417C"/>
    <w:rsid w:val="008742F1"/>
    <w:rsid w:val="008748A3"/>
    <w:rsid w:val="00874AA2"/>
    <w:rsid w:val="00875007"/>
    <w:rsid w:val="00875153"/>
    <w:rsid w:val="008751DE"/>
    <w:rsid w:val="0087526B"/>
    <w:rsid w:val="00875428"/>
    <w:rsid w:val="008756A2"/>
    <w:rsid w:val="008757A0"/>
    <w:rsid w:val="00875812"/>
    <w:rsid w:val="00875A7D"/>
    <w:rsid w:val="00875B66"/>
    <w:rsid w:val="00875B93"/>
    <w:rsid w:val="00875BB1"/>
    <w:rsid w:val="00875EC3"/>
    <w:rsid w:val="0087645B"/>
    <w:rsid w:val="008765BC"/>
    <w:rsid w:val="008765F6"/>
    <w:rsid w:val="0087687A"/>
    <w:rsid w:val="00876951"/>
    <w:rsid w:val="00876A7E"/>
    <w:rsid w:val="00876BF5"/>
    <w:rsid w:val="00877284"/>
    <w:rsid w:val="00877361"/>
    <w:rsid w:val="00877777"/>
    <w:rsid w:val="00877970"/>
    <w:rsid w:val="00877E28"/>
    <w:rsid w:val="00877F71"/>
    <w:rsid w:val="00880025"/>
    <w:rsid w:val="008801E1"/>
    <w:rsid w:val="00880282"/>
    <w:rsid w:val="0088050F"/>
    <w:rsid w:val="00880BAA"/>
    <w:rsid w:val="00880DB8"/>
    <w:rsid w:val="00880FAE"/>
    <w:rsid w:val="008811AE"/>
    <w:rsid w:val="00881285"/>
    <w:rsid w:val="00881427"/>
    <w:rsid w:val="0088152E"/>
    <w:rsid w:val="008818B6"/>
    <w:rsid w:val="00881A7A"/>
    <w:rsid w:val="00881D25"/>
    <w:rsid w:val="00881F25"/>
    <w:rsid w:val="00882045"/>
    <w:rsid w:val="008820B6"/>
    <w:rsid w:val="0088233C"/>
    <w:rsid w:val="0088239B"/>
    <w:rsid w:val="0088246A"/>
    <w:rsid w:val="00882589"/>
    <w:rsid w:val="008827BA"/>
    <w:rsid w:val="00882825"/>
    <w:rsid w:val="0088282F"/>
    <w:rsid w:val="008828D3"/>
    <w:rsid w:val="00882CA2"/>
    <w:rsid w:val="00882F36"/>
    <w:rsid w:val="008835C9"/>
    <w:rsid w:val="0088368F"/>
    <w:rsid w:val="0088369F"/>
    <w:rsid w:val="00883918"/>
    <w:rsid w:val="00883971"/>
    <w:rsid w:val="00883B5D"/>
    <w:rsid w:val="00883CDC"/>
    <w:rsid w:val="00883D98"/>
    <w:rsid w:val="00884042"/>
    <w:rsid w:val="00884057"/>
    <w:rsid w:val="00884F7C"/>
    <w:rsid w:val="008854A2"/>
    <w:rsid w:val="0088550B"/>
    <w:rsid w:val="008857D2"/>
    <w:rsid w:val="008861D6"/>
    <w:rsid w:val="008862D3"/>
    <w:rsid w:val="00886E31"/>
    <w:rsid w:val="00886EAA"/>
    <w:rsid w:val="00887407"/>
    <w:rsid w:val="00887511"/>
    <w:rsid w:val="0088771A"/>
    <w:rsid w:val="008877B6"/>
    <w:rsid w:val="008877E1"/>
    <w:rsid w:val="00887821"/>
    <w:rsid w:val="00887A81"/>
    <w:rsid w:val="00887BD7"/>
    <w:rsid w:val="00887F4A"/>
    <w:rsid w:val="008904FB"/>
    <w:rsid w:val="00890564"/>
    <w:rsid w:val="00890899"/>
    <w:rsid w:val="00890B01"/>
    <w:rsid w:val="00890BC9"/>
    <w:rsid w:val="00890C7E"/>
    <w:rsid w:val="00890F57"/>
    <w:rsid w:val="00891562"/>
    <w:rsid w:val="00891586"/>
    <w:rsid w:val="008915A7"/>
    <w:rsid w:val="00891813"/>
    <w:rsid w:val="00891D83"/>
    <w:rsid w:val="00891DA0"/>
    <w:rsid w:val="00891DCE"/>
    <w:rsid w:val="0089210D"/>
    <w:rsid w:val="008921B7"/>
    <w:rsid w:val="008921EC"/>
    <w:rsid w:val="00892256"/>
    <w:rsid w:val="00892732"/>
    <w:rsid w:val="00892862"/>
    <w:rsid w:val="00892CEE"/>
    <w:rsid w:val="00892D51"/>
    <w:rsid w:val="00892EB8"/>
    <w:rsid w:val="00893081"/>
    <w:rsid w:val="00893256"/>
    <w:rsid w:val="0089327A"/>
    <w:rsid w:val="008933AC"/>
    <w:rsid w:val="00893509"/>
    <w:rsid w:val="00893722"/>
    <w:rsid w:val="00893BF7"/>
    <w:rsid w:val="008940F9"/>
    <w:rsid w:val="008941F1"/>
    <w:rsid w:val="00894203"/>
    <w:rsid w:val="0089441F"/>
    <w:rsid w:val="0089442C"/>
    <w:rsid w:val="008948EE"/>
    <w:rsid w:val="0089505D"/>
    <w:rsid w:val="00895256"/>
    <w:rsid w:val="0089528B"/>
    <w:rsid w:val="008952B0"/>
    <w:rsid w:val="0089582F"/>
    <w:rsid w:val="00895A6F"/>
    <w:rsid w:val="00895B96"/>
    <w:rsid w:val="00895CC7"/>
    <w:rsid w:val="00895DB9"/>
    <w:rsid w:val="008961B4"/>
    <w:rsid w:val="00896B9C"/>
    <w:rsid w:val="00896F81"/>
    <w:rsid w:val="00897250"/>
    <w:rsid w:val="00897476"/>
    <w:rsid w:val="00897726"/>
    <w:rsid w:val="00897A00"/>
    <w:rsid w:val="00897ACB"/>
    <w:rsid w:val="00897ADA"/>
    <w:rsid w:val="00897C8B"/>
    <w:rsid w:val="00897F81"/>
    <w:rsid w:val="00897FE5"/>
    <w:rsid w:val="008A016C"/>
    <w:rsid w:val="008A01A2"/>
    <w:rsid w:val="008A01AF"/>
    <w:rsid w:val="008A044E"/>
    <w:rsid w:val="008A0635"/>
    <w:rsid w:val="008A0AD1"/>
    <w:rsid w:val="008A0ADB"/>
    <w:rsid w:val="008A11FB"/>
    <w:rsid w:val="008A13EC"/>
    <w:rsid w:val="008A14FA"/>
    <w:rsid w:val="008A15E7"/>
    <w:rsid w:val="008A1681"/>
    <w:rsid w:val="008A1691"/>
    <w:rsid w:val="008A1CB1"/>
    <w:rsid w:val="008A208C"/>
    <w:rsid w:val="008A21EA"/>
    <w:rsid w:val="008A2362"/>
    <w:rsid w:val="008A23B0"/>
    <w:rsid w:val="008A2704"/>
    <w:rsid w:val="008A2983"/>
    <w:rsid w:val="008A2AE5"/>
    <w:rsid w:val="008A2D3D"/>
    <w:rsid w:val="008A30C5"/>
    <w:rsid w:val="008A31C8"/>
    <w:rsid w:val="008A355F"/>
    <w:rsid w:val="008A35EF"/>
    <w:rsid w:val="008A3722"/>
    <w:rsid w:val="008A39F8"/>
    <w:rsid w:val="008A3C29"/>
    <w:rsid w:val="008A3C96"/>
    <w:rsid w:val="008A422A"/>
    <w:rsid w:val="008A431A"/>
    <w:rsid w:val="008A43D0"/>
    <w:rsid w:val="008A458E"/>
    <w:rsid w:val="008A4608"/>
    <w:rsid w:val="008A485D"/>
    <w:rsid w:val="008A49A2"/>
    <w:rsid w:val="008A4ACD"/>
    <w:rsid w:val="008A4B51"/>
    <w:rsid w:val="008A59BB"/>
    <w:rsid w:val="008A606B"/>
    <w:rsid w:val="008A627B"/>
    <w:rsid w:val="008A7044"/>
    <w:rsid w:val="008A71F5"/>
    <w:rsid w:val="008A78BB"/>
    <w:rsid w:val="008A78FE"/>
    <w:rsid w:val="008A7B65"/>
    <w:rsid w:val="008A7BD5"/>
    <w:rsid w:val="008A7C13"/>
    <w:rsid w:val="008B00A8"/>
    <w:rsid w:val="008B00DF"/>
    <w:rsid w:val="008B010E"/>
    <w:rsid w:val="008B03E8"/>
    <w:rsid w:val="008B0504"/>
    <w:rsid w:val="008B0617"/>
    <w:rsid w:val="008B08A6"/>
    <w:rsid w:val="008B0AE2"/>
    <w:rsid w:val="008B0CCE"/>
    <w:rsid w:val="008B0D51"/>
    <w:rsid w:val="008B0EA0"/>
    <w:rsid w:val="008B142D"/>
    <w:rsid w:val="008B15D2"/>
    <w:rsid w:val="008B1708"/>
    <w:rsid w:val="008B1AE8"/>
    <w:rsid w:val="008B2394"/>
    <w:rsid w:val="008B24EB"/>
    <w:rsid w:val="008B26CE"/>
    <w:rsid w:val="008B2BD6"/>
    <w:rsid w:val="008B320B"/>
    <w:rsid w:val="008B35D3"/>
    <w:rsid w:val="008B3694"/>
    <w:rsid w:val="008B3BB0"/>
    <w:rsid w:val="008B40C5"/>
    <w:rsid w:val="008B456F"/>
    <w:rsid w:val="008B45FF"/>
    <w:rsid w:val="008B46CE"/>
    <w:rsid w:val="008B499C"/>
    <w:rsid w:val="008B4B1A"/>
    <w:rsid w:val="008B4E66"/>
    <w:rsid w:val="008B51A9"/>
    <w:rsid w:val="008B58D1"/>
    <w:rsid w:val="008B5923"/>
    <w:rsid w:val="008B5D55"/>
    <w:rsid w:val="008B5E41"/>
    <w:rsid w:val="008B6309"/>
    <w:rsid w:val="008B64DA"/>
    <w:rsid w:val="008B6773"/>
    <w:rsid w:val="008B6AA8"/>
    <w:rsid w:val="008B6C81"/>
    <w:rsid w:val="008B6EF7"/>
    <w:rsid w:val="008B728F"/>
    <w:rsid w:val="008B76CB"/>
    <w:rsid w:val="008B779D"/>
    <w:rsid w:val="008B7818"/>
    <w:rsid w:val="008B7B4A"/>
    <w:rsid w:val="008C000B"/>
    <w:rsid w:val="008C0013"/>
    <w:rsid w:val="008C009E"/>
    <w:rsid w:val="008C05CF"/>
    <w:rsid w:val="008C0727"/>
    <w:rsid w:val="008C08AA"/>
    <w:rsid w:val="008C0F35"/>
    <w:rsid w:val="008C19AC"/>
    <w:rsid w:val="008C1ABC"/>
    <w:rsid w:val="008C1C5A"/>
    <w:rsid w:val="008C23E6"/>
    <w:rsid w:val="008C2479"/>
    <w:rsid w:val="008C26BB"/>
    <w:rsid w:val="008C2B6B"/>
    <w:rsid w:val="008C3013"/>
    <w:rsid w:val="008C3219"/>
    <w:rsid w:val="008C3776"/>
    <w:rsid w:val="008C390F"/>
    <w:rsid w:val="008C3A0D"/>
    <w:rsid w:val="008C3AD9"/>
    <w:rsid w:val="008C3CD4"/>
    <w:rsid w:val="008C3D71"/>
    <w:rsid w:val="008C3E3F"/>
    <w:rsid w:val="008C401D"/>
    <w:rsid w:val="008C4067"/>
    <w:rsid w:val="008C4381"/>
    <w:rsid w:val="008C45F1"/>
    <w:rsid w:val="008C4BD6"/>
    <w:rsid w:val="008C4CC0"/>
    <w:rsid w:val="008C4D0D"/>
    <w:rsid w:val="008C555E"/>
    <w:rsid w:val="008C597A"/>
    <w:rsid w:val="008C5BB4"/>
    <w:rsid w:val="008C5BF2"/>
    <w:rsid w:val="008C5FF8"/>
    <w:rsid w:val="008C60BB"/>
    <w:rsid w:val="008C620B"/>
    <w:rsid w:val="008C622A"/>
    <w:rsid w:val="008C62B3"/>
    <w:rsid w:val="008C64F1"/>
    <w:rsid w:val="008C67F4"/>
    <w:rsid w:val="008C6E2A"/>
    <w:rsid w:val="008C6EB8"/>
    <w:rsid w:val="008C73FC"/>
    <w:rsid w:val="008C7844"/>
    <w:rsid w:val="008D0953"/>
    <w:rsid w:val="008D0B8B"/>
    <w:rsid w:val="008D176A"/>
    <w:rsid w:val="008D186A"/>
    <w:rsid w:val="008D224D"/>
    <w:rsid w:val="008D242D"/>
    <w:rsid w:val="008D2DC6"/>
    <w:rsid w:val="008D2FED"/>
    <w:rsid w:val="008D311B"/>
    <w:rsid w:val="008D329C"/>
    <w:rsid w:val="008D39A5"/>
    <w:rsid w:val="008D39C2"/>
    <w:rsid w:val="008D3A92"/>
    <w:rsid w:val="008D3BEB"/>
    <w:rsid w:val="008D3E20"/>
    <w:rsid w:val="008D4202"/>
    <w:rsid w:val="008D4662"/>
    <w:rsid w:val="008D472C"/>
    <w:rsid w:val="008D47D5"/>
    <w:rsid w:val="008D4959"/>
    <w:rsid w:val="008D49B9"/>
    <w:rsid w:val="008D4AA6"/>
    <w:rsid w:val="008D513C"/>
    <w:rsid w:val="008D5150"/>
    <w:rsid w:val="008D522E"/>
    <w:rsid w:val="008D5392"/>
    <w:rsid w:val="008D53E7"/>
    <w:rsid w:val="008D551D"/>
    <w:rsid w:val="008D5657"/>
    <w:rsid w:val="008D568B"/>
    <w:rsid w:val="008D58AE"/>
    <w:rsid w:val="008D5952"/>
    <w:rsid w:val="008D59BB"/>
    <w:rsid w:val="008D59E0"/>
    <w:rsid w:val="008D5B28"/>
    <w:rsid w:val="008D5B85"/>
    <w:rsid w:val="008D5F30"/>
    <w:rsid w:val="008D612F"/>
    <w:rsid w:val="008D626D"/>
    <w:rsid w:val="008D648D"/>
    <w:rsid w:val="008D65AD"/>
    <w:rsid w:val="008D6E01"/>
    <w:rsid w:val="008D70B2"/>
    <w:rsid w:val="008D7206"/>
    <w:rsid w:val="008D73B4"/>
    <w:rsid w:val="008D779F"/>
    <w:rsid w:val="008D7A8F"/>
    <w:rsid w:val="008D7B5D"/>
    <w:rsid w:val="008D7BA9"/>
    <w:rsid w:val="008D7CC5"/>
    <w:rsid w:val="008D7FC9"/>
    <w:rsid w:val="008E0093"/>
    <w:rsid w:val="008E039F"/>
    <w:rsid w:val="008E03FC"/>
    <w:rsid w:val="008E06E0"/>
    <w:rsid w:val="008E0712"/>
    <w:rsid w:val="008E0774"/>
    <w:rsid w:val="008E0A5B"/>
    <w:rsid w:val="008E0CC6"/>
    <w:rsid w:val="008E0D5D"/>
    <w:rsid w:val="008E123B"/>
    <w:rsid w:val="008E124B"/>
    <w:rsid w:val="008E1409"/>
    <w:rsid w:val="008E146C"/>
    <w:rsid w:val="008E1510"/>
    <w:rsid w:val="008E159E"/>
    <w:rsid w:val="008E1A52"/>
    <w:rsid w:val="008E1CDD"/>
    <w:rsid w:val="008E1E1C"/>
    <w:rsid w:val="008E2136"/>
    <w:rsid w:val="008E21F7"/>
    <w:rsid w:val="008E2225"/>
    <w:rsid w:val="008E2603"/>
    <w:rsid w:val="008E2A83"/>
    <w:rsid w:val="008E37EF"/>
    <w:rsid w:val="008E3CAF"/>
    <w:rsid w:val="008E42A7"/>
    <w:rsid w:val="008E446C"/>
    <w:rsid w:val="008E453D"/>
    <w:rsid w:val="008E45C9"/>
    <w:rsid w:val="008E468D"/>
    <w:rsid w:val="008E490C"/>
    <w:rsid w:val="008E4AE7"/>
    <w:rsid w:val="008E4D07"/>
    <w:rsid w:val="008E4DD8"/>
    <w:rsid w:val="008E56AF"/>
    <w:rsid w:val="008E56EE"/>
    <w:rsid w:val="008E5838"/>
    <w:rsid w:val="008E5E02"/>
    <w:rsid w:val="008E60C6"/>
    <w:rsid w:val="008E646F"/>
    <w:rsid w:val="008E654A"/>
    <w:rsid w:val="008E6856"/>
    <w:rsid w:val="008E68C5"/>
    <w:rsid w:val="008E6C63"/>
    <w:rsid w:val="008E7258"/>
    <w:rsid w:val="008E7710"/>
    <w:rsid w:val="008E7AA0"/>
    <w:rsid w:val="008E7BA9"/>
    <w:rsid w:val="008E7C77"/>
    <w:rsid w:val="008F021D"/>
    <w:rsid w:val="008F04F7"/>
    <w:rsid w:val="008F0887"/>
    <w:rsid w:val="008F09E0"/>
    <w:rsid w:val="008F0E3C"/>
    <w:rsid w:val="008F14FB"/>
    <w:rsid w:val="008F171D"/>
    <w:rsid w:val="008F1B38"/>
    <w:rsid w:val="008F1D6B"/>
    <w:rsid w:val="008F2014"/>
    <w:rsid w:val="008F22B4"/>
    <w:rsid w:val="008F2876"/>
    <w:rsid w:val="008F28D2"/>
    <w:rsid w:val="008F2EAC"/>
    <w:rsid w:val="008F321F"/>
    <w:rsid w:val="008F32DF"/>
    <w:rsid w:val="008F332B"/>
    <w:rsid w:val="008F35E0"/>
    <w:rsid w:val="008F36E8"/>
    <w:rsid w:val="008F37BE"/>
    <w:rsid w:val="008F397B"/>
    <w:rsid w:val="008F3980"/>
    <w:rsid w:val="008F39FA"/>
    <w:rsid w:val="008F3E29"/>
    <w:rsid w:val="008F4089"/>
    <w:rsid w:val="008F439B"/>
    <w:rsid w:val="008F46C0"/>
    <w:rsid w:val="008F4B25"/>
    <w:rsid w:val="008F4C19"/>
    <w:rsid w:val="008F5774"/>
    <w:rsid w:val="008F5786"/>
    <w:rsid w:val="008F5C46"/>
    <w:rsid w:val="008F5C98"/>
    <w:rsid w:val="008F6313"/>
    <w:rsid w:val="008F6561"/>
    <w:rsid w:val="008F6837"/>
    <w:rsid w:val="008F6845"/>
    <w:rsid w:val="008F6C62"/>
    <w:rsid w:val="008F6F16"/>
    <w:rsid w:val="008F706E"/>
    <w:rsid w:val="008F70B4"/>
    <w:rsid w:val="008F7759"/>
    <w:rsid w:val="008F7831"/>
    <w:rsid w:val="008F7D99"/>
    <w:rsid w:val="00900077"/>
    <w:rsid w:val="009001F1"/>
    <w:rsid w:val="00900421"/>
    <w:rsid w:val="009006C0"/>
    <w:rsid w:val="00900824"/>
    <w:rsid w:val="00900ACC"/>
    <w:rsid w:val="00900CE1"/>
    <w:rsid w:val="0090123E"/>
    <w:rsid w:val="0090194C"/>
    <w:rsid w:val="00901D5E"/>
    <w:rsid w:val="00901D88"/>
    <w:rsid w:val="009021D9"/>
    <w:rsid w:val="0090262A"/>
    <w:rsid w:val="009027B5"/>
    <w:rsid w:val="009028FE"/>
    <w:rsid w:val="00902A6F"/>
    <w:rsid w:val="00902AA2"/>
    <w:rsid w:val="00902E6C"/>
    <w:rsid w:val="00902FBD"/>
    <w:rsid w:val="009031D0"/>
    <w:rsid w:val="009032B3"/>
    <w:rsid w:val="00903618"/>
    <w:rsid w:val="00903A43"/>
    <w:rsid w:val="00903B7A"/>
    <w:rsid w:val="00903B93"/>
    <w:rsid w:val="00904185"/>
    <w:rsid w:val="009041FF"/>
    <w:rsid w:val="00904561"/>
    <w:rsid w:val="009047B9"/>
    <w:rsid w:val="00904A41"/>
    <w:rsid w:val="00904ADA"/>
    <w:rsid w:val="00904CC5"/>
    <w:rsid w:val="00904E1E"/>
    <w:rsid w:val="009052DC"/>
    <w:rsid w:val="00905343"/>
    <w:rsid w:val="00905775"/>
    <w:rsid w:val="00905A79"/>
    <w:rsid w:val="00905CFA"/>
    <w:rsid w:val="0090606A"/>
    <w:rsid w:val="009060B8"/>
    <w:rsid w:val="00906263"/>
    <w:rsid w:val="009064C6"/>
    <w:rsid w:val="00906971"/>
    <w:rsid w:val="00906A7E"/>
    <w:rsid w:val="00906B00"/>
    <w:rsid w:val="00906BFC"/>
    <w:rsid w:val="00906D6E"/>
    <w:rsid w:val="00906DD6"/>
    <w:rsid w:val="00906DDF"/>
    <w:rsid w:val="009073C4"/>
    <w:rsid w:val="00907636"/>
    <w:rsid w:val="00907948"/>
    <w:rsid w:val="00907C84"/>
    <w:rsid w:val="00907DB4"/>
    <w:rsid w:val="00907F7C"/>
    <w:rsid w:val="00910538"/>
    <w:rsid w:val="009105BA"/>
    <w:rsid w:val="00910678"/>
    <w:rsid w:val="00910B40"/>
    <w:rsid w:val="009112B5"/>
    <w:rsid w:val="00911327"/>
    <w:rsid w:val="0091141B"/>
    <w:rsid w:val="009114B8"/>
    <w:rsid w:val="00911500"/>
    <w:rsid w:val="0091160D"/>
    <w:rsid w:val="009118A3"/>
    <w:rsid w:val="00911929"/>
    <w:rsid w:val="0091193C"/>
    <w:rsid w:val="00911A6D"/>
    <w:rsid w:val="00911B6C"/>
    <w:rsid w:val="00912041"/>
    <w:rsid w:val="009125D9"/>
    <w:rsid w:val="009126A9"/>
    <w:rsid w:val="009126B5"/>
    <w:rsid w:val="009129BA"/>
    <w:rsid w:val="00912A88"/>
    <w:rsid w:val="00912C27"/>
    <w:rsid w:val="0091317D"/>
    <w:rsid w:val="0091352F"/>
    <w:rsid w:val="0091353A"/>
    <w:rsid w:val="009135BF"/>
    <w:rsid w:val="009137EA"/>
    <w:rsid w:val="00913B13"/>
    <w:rsid w:val="00914359"/>
    <w:rsid w:val="00914535"/>
    <w:rsid w:val="0091453C"/>
    <w:rsid w:val="00914B0D"/>
    <w:rsid w:val="009150B4"/>
    <w:rsid w:val="00915116"/>
    <w:rsid w:val="009152CA"/>
    <w:rsid w:val="009156CE"/>
    <w:rsid w:val="009157C6"/>
    <w:rsid w:val="00915EE0"/>
    <w:rsid w:val="00915F1D"/>
    <w:rsid w:val="00916015"/>
    <w:rsid w:val="00916090"/>
    <w:rsid w:val="009163A5"/>
    <w:rsid w:val="00916420"/>
    <w:rsid w:val="0091646E"/>
    <w:rsid w:val="0091651C"/>
    <w:rsid w:val="009166D3"/>
    <w:rsid w:val="00916ACA"/>
    <w:rsid w:val="00916C54"/>
    <w:rsid w:val="00916D8F"/>
    <w:rsid w:val="009174CE"/>
    <w:rsid w:val="009176EB"/>
    <w:rsid w:val="00917C08"/>
    <w:rsid w:val="0092026D"/>
    <w:rsid w:val="00920375"/>
    <w:rsid w:val="00920827"/>
    <w:rsid w:val="00920A94"/>
    <w:rsid w:val="00920AD2"/>
    <w:rsid w:val="00920AF0"/>
    <w:rsid w:val="00920E2B"/>
    <w:rsid w:val="00920EB2"/>
    <w:rsid w:val="00921150"/>
    <w:rsid w:val="00921361"/>
    <w:rsid w:val="009214FB"/>
    <w:rsid w:val="00921925"/>
    <w:rsid w:val="00921A48"/>
    <w:rsid w:val="00922072"/>
    <w:rsid w:val="00922198"/>
    <w:rsid w:val="0092219C"/>
    <w:rsid w:val="009221DB"/>
    <w:rsid w:val="009221F5"/>
    <w:rsid w:val="009222B9"/>
    <w:rsid w:val="00922847"/>
    <w:rsid w:val="009229A1"/>
    <w:rsid w:val="009229B2"/>
    <w:rsid w:val="00922A6E"/>
    <w:rsid w:val="00922AA6"/>
    <w:rsid w:val="00922B61"/>
    <w:rsid w:val="0092314C"/>
    <w:rsid w:val="00923548"/>
    <w:rsid w:val="00923791"/>
    <w:rsid w:val="00923A9A"/>
    <w:rsid w:val="00923AF9"/>
    <w:rsid w:val="00923F69"/>
    <w:rsid w:val="00924031"/>
    <w:rsid w:val="009245C9"/>
    <w:rsid w:val="00924655"/>
    <w:rsid w:val="0092499F"/>
    <w:rsid w:val="00924AEC"/>
    <w:rsid w:val="00925084"/>
    <w:rsid w:val="00925103"/>
    <w:rsid w:val="0092549A"/>
    <w:rsid w:val="00925617"/>
    <w:rsid w:val="00925776"/>
    <w:rsid w:val="00925892"/>
    <w:rsid w:val="009259AC"/>
    <w:rsid w:val="009260B4"/>
    <w:rsid w:val="0092650D"/>
    <w:rsid w:val="00926526"/>
    <w:rsid w:val="00926542"/>
    <w:rsid w:val="00926783"/>
    <w:rsid w:val="00926929"/>
    <w:rsid w:val="0092695A"/>
    <w:rsid w:val="00926A6B"/>
    <w:rsid w:val="00926B27"/>
    <w:rsid w:val="0092719E"/>
    <w:rsid w:val="00927D3E"/>
    <w:rsid w:val="00927F7A"/>
    <w:rsid w:val="00930147"/>
    <w:rsid w:val="009305CF"/>
    <w:rsid w:val="0093089A"/>
    <w:rsid w:val="00930BAF"/>
    <w:rsid w:val="00930E0D"/>
    <w:rsid w:val="0093110A"/>
    <w:rsid w:val="009311A3"/>
    <w:rsid w:val="009315EE"/>
    <w:rsid w:val="0093187D"/>
    <w:rsid w:val="00931A55"/>
    <w:rsid w:val="009321FC"/>
    <w:rsid w:val="009323FE"/>
    <w:rsid w:val="009324C2"/>
    <w:rsid w:val="009327F2"/>
    <w:rsid w:val="00932916"/>
    <w:rsid w:val="00932927"/>
    <w:rsid w:val="00932AB7"/>
    <w:rsid w:val="00932E35"/>
    <w:rsid w:val="00932E4F"/>
    <w:rsid w:val="00932FA3"/>
    <w:rsid w:val="00932FAB"/>
    <w:rsid w:val="0093318C"/>
    <w:rsid w:val="00933192"/>
    <w:rsid w:val="00933356"/>
    <w:rsid w:val="00933686"/>
    <w:rsid w:val="009337A8"/>
    <w:rsid w:val="009337C3"/>
    <w:rsid w:val="00933900"/>
    <w:rsid w:val="00933A72"/>
    <w:rsid w:val="00933B72"/>
    <w:rsid w:val="00933C9B"/>
    <w:rsid w:val="00933FCB"/>
    <w:rsid w:val="00934170"/>
    <w:rsid w:val="009344F7"/>
    <w:rsid w:val="00934B0E"/>
    <w:rsid w:val="00934CDC"/>
    <w:rsid w:val="00934D83"/>
    <w:rsid w:val="00934DD6"/>
    <w:rsid w:val="00934F58"/>
    <w:rsid w:val="00935109"/>
    <w:rsid w:val="009351C6"/>
    <w:rsid w:val="0093545B"/>
    <w:rsid w:val="00935730"/>
    <w:rsid w:val="00935800"/>
    <w:rsid w:val="00935960"/>
    <w:rsid w:val="00935A22"/>
    <w:rsid w:val="00935FD3"/>
    <w:rsid w:val="009362B7"/>
    <w:rsid w:val="0093678A"/>
    <w:rsid w:val="009373A1"/>
    <w:rsid w:val="00937432"/>
    <w:rsid w:val="009377C4"/>
    <w:rsid w:val="009377DE"/>
    <w:rsid w:val="0093785D"/>
    <w:rsid w:val="0093788E"/>
    <w:rsid w:val="00940078"/>
    <w:rsid w:val="009400EF"/>
    <w:rsid w:val="0094015A"/>
    <w:rsid w:val="009402DA"/>
    <w:rsid w:val="009407C8"/>
    <w:rsid w:val="009408DC"/>
    <w:rsid w:val="00940A11"/>
    <w:rsid w:val="00940C37"/>
    <w:rsid w:val="00940C71"/>
    <w:rsid w:val="00940C82"/>
    <w:rsid w:val="00940D25"/>
    <w:rsid w:val="00940E6B"/>
    <w:rsid w:val="00941A5D"/>
    <w:rsid w:val="00941A8F"/>
    <w:rsid w:val="00941BE6"/>
    <w:rsid w:val="00941E17"/>
    <w:rsid w:val="00942086"/>
    <w:rsid w:val="00942963"/>
    <w:rsid w:val="00942DB1"/>
    <w:rsid w:val="00942E17"/>
    <w:rsid w:val="00943081"/>
    <w:rsid w:val="00943DCD"/>
    <w:rsid w:val="00943DEB"/>
    <w:rsid w:val="00943FF2"/>
    <w:rsid w:val="0094401E"/>
    <w:rsid w:val="00944100"/>
    <w:rsid w:val="0094452A"/>
    <w:rsid w:val="0094468C"/>
    <w:rsid w:val="0094473E"/>
    <w:rsid w:val="009447EC"/>
    <w:rsid w:val="00944C0A"/>
    <w:rsid w:val="00944C5A"/>
    <w:rsid w:val="00944D29"/>
    <w:rsid w:val="009452C6"/>
    <w:rsid w:val="00945483"/>
    <w:rsid w:val="009458A5"/>
    <w:rsid w:val="00945B31"/>
    <w:rsid w:val="00945C15"/>
    <w:rsid w:val="00945CD8"/>
    <w:rsid w:val="00945FAA"/>
    <w:rsid w:val="0094644A"/>
    <w:rsid w:val="009466EC"/>
    <w:rsid w:val="00946749"/>
    <w:rsid w:val="00946A27"/>
    <w:rsid w:val="00946B0A"/>
    <w:rsid w:val="00946FED"/>
    <w:rsid w:val="00947067"/>
    <w:rsid w:val="009470CA"/>
    <w:rsid w:val="009476D9"/>
    <w:rsid w:val="00947A55"/>
    <w:rsid w:val="00950543"/>
    <w:rsid w:val="00950897"/>
    <w:rsid w:val="009509FD"/>
    <w:rsid w:val="00950B2E"/>
    <w:rsid w:val="00950D3D"/>
    <w:rsid w:val="00950DD8"/>
    <w:rsid w:val="00950EC2"/>
    <w:rsid w:val="00950FF0"/>
    <w:rsid w:val="009511FD"/>
    <w:rsid w:val="00951230"/>
    <w:rsid w:val="00951234"/>
    <w:rsid w:val="0095139F"/>
    <w:rsid w:val="0095143F"/>
    <w:rsid w:val="00951723"/>
    <w:rsid w:val="0095187F"/>
    <w:rsid w:val="00951B15"/>
    <w:rsid w:val="009521B8"/>
    <w:rsid w:val="009521D6"/>
    <w:rsid w:val="00952691"/>
    <w:rsid w:val="00952B1F"/>
    <w:rsid w:val="00952BDB"/>
    <w:rsid w:val="00952E6A"/>
    <w:rsid w:val="00953143"/>
    <w:rsid w:val="0095354D"/>
    <w:rsid w:val="009538EE"/>
    <w:rsid w:val="00953C52"/>
    <w:rsid w:val="00953CA7"/>
    <w:rsid w:val="00953DED"/>
    <w:rsid w:val="009541C0"/>
    <w:rsid w:val="0095453D"/>
    <w:rsid w:val="009545C9"/>
    <w:rsid w:val="00954EDB"/>
    <w:rsid w:val="009550C8"/>
    <w:rsid w:val="0095510B"/>
    <w:rsid w:val="00955284"/>
    <w:rsid w:val="00955504"/>
    <w:rsid w:val="0095569F"/>
    <w:rsid w:val="009556EA"/>
    <w:rsid w:val="009557ED"/>
    <w:rsid w:val="009558F4"/>
    <w:rsid w:val="00955A52"/>
    <w:rsid w:val="00955A77"/>
    <w:rsid w:val="00955D48"/>
    <w:rsid w:val="009560B0"/>
    <w:rsid w:val="009560C1"/>
    <w:rsid w:val="0095641D"/>
    <w:rsid w:val="0095654E"/>
    <w:rsid w:val="009565AB"/>
    <w:rsid w:val="00956651"/>
    <w:rsid w:val="00956A20"/>
    <w:rsid w:val="00956FC2"/>
    <w:rsid w:val="00957843"/>
    <w:rsid w:val="00960122"/>
    <w:rsid w:val="00960235"/>
    <w:rsid w:val="009602F5"/>
    <w:rsid w:val="00960C1E"/>
    <w:rsid w:val="00960CF1"/>
    <w:rsid w:val="00960F76"/>
    <w:rsid w:val="0096137F"/>
    <w:rsid w:val="00961790"/>
    <w:rsid w:val="009619C1"/>
    <w:rsid w:val="009622AE"/>
    <w:rsid w:val="0096255C"/>
    <w:rsid w:val="009626DC"/>
    <w:rsid w:val="009629FA"/>
    <w:rsid w:val="00963071"/>
    <w:rsid w:val="00963263"/>
    <w:rsid w:val="00963326"/>
    <w:rsid w:val="00963351"/>
    <w:rsid w:val="00963706"/>
    <w:rsid w:val="0096423D"/>
    <w:rsid w:val="009647EF"/>
    <w:rsid w:val="009647FD"/>
    <w:rsid w:val="0096491F"/>
    <w:rsid w:val="00964A00"/>
    <w:rsid w:val="00964AA1"/>
    <w:rsid w:val="00964B6B"/>
    <w:rsid w:val="00964BAA"/>
    <w:rsid w:val="00964DDE"/>
    <w:rsid w:val="00964E53"/>
    <w:rsid w:val="009650C7"/>
    <w:rsid w:val="0096549F"/>
    <w:rsid w:val="009654A0"/>
    <w:rsid w:val="009655EC"/>
    <w:rsid w:val="00965A64"/>
    <w:rsid w:val="00965B11"/>
    <w:rsid w:val="00965B99"/>
    <w:rsid w:val="00965C06"/>
    <w:rsid w:val="00965DC4"/>
    <w:rsid w:val="00966108"/>
    <w:rsid w:val="00966BE2"/>
    <w:rsid w:val="00966C92"/>
    <w:rsid w:val="00966CBF"/>
    <w:rsid w:val="00966E9B"/>
    <w:rsid w:val="00967420"/>
    <w:rsid w:val="0096744C"/>
    <w:rsid w:val="00967604"/>
    <w:rsid w:val="0096767E"/>
    <w:rsid w:val="00967732"/>
    <w:rsid w:val="00967751"/>
    <w:rsid w:val="00967775"/>
    <w:rsid w:val="00967A86"/>
    <w:rsid w:val="00967D54"/>
    <w:rsid w:val="00970601"/>
    <w:rsid w:val="0097071F"/>
    <w:rsid w:val="00970778"/>
    <w:rsid w:val="0097077C"/>
    <w:rsid w:val="009708AE"/>
    <w:rsid w:val="009709BB"/>
    <w:rsid w:val="00970A3F"/>
    <w:rsid w:val="00970C41"/>
    <w:rsid w:val="00970DB5"/>
    <w:rsid w:val="0097122A"/>
    <w:rsid w:val="009713F4"/>
    <w:rsid w:val="009715B8"/>
    <w:rsid w:val="009715D8"/>
    <w:rsid w:val="00971811"/>
    <w:rsid w:val="00971940"/>
    <w:rsid w:val="00971B1C"/>
    <w:rsid w:val="00971C48"/>
    <w:rsid w:val="009722F6"/>
    <w:rsid w:val="0097237C"/>
    <w:rsid w:val="00972812"/>
    <w:rsid w:val="009729EA"/>
    <w:rsid w:val="00972A60"/>
    <w:rsid w:val="00972C07"/>
    <w:rsid w:val="00972E97"/>
    <w:rsid w:val="00973091"/>
    <w:rsid w:val="009730D1"/>
    <w:rsid w:val="00973160"/>
    <w:rsid w:val="00973217"/>
    <w:rsid w:val="009732F9"/>
    <w:rsid w:val="009735F2"/>
    <w:rsid w:val="0097371C"/>
    <w:rsid w:val="00973771"/>
    <w:rsid w:val="00973941"/>
    <w:rsid w:val="00973BCF"/>
    <w:rsid w:val="009747AC"/>
    <w:rsid w:val="009748A0"/>
    <w:rsid w:val="00974962"/>
    <w:rsid w:val="00975321"/>
    <w:rsid w:val="00975A07"/>
    <w:rsid w:val="00975F2C"/>
    <w:rsid w:val="009762B3"/>
    <w:rsid w:val="00976323"/>
    <w:rsid w:val="00976378"/>
    <w:rsid w:val="009772CF"/>
    <w:rsid w:val="0097734E"/>
    <w:rsid w:val="009773C5"/>
    <w:rsid w:val="00977658"/>
    <w:rsid w:val="0097779E"/>
    <w:rsid w:val="009778E6"/>
    <w:rsid w:val="00977ABC"/>
    <w:rsid w:val="00977CB7"/>
    <w:rsid w:val="00977ECD"/>
    <w:rsid w:val="009801B6"/>
    <w:rsid w:val="00980375"/>
    <w:rsid w:val="009804B3"/>
    <w:rsid w:val="009805BF"/>
    <w:rsid w:val="009809B8"/>
    <w:rsid w:val="00981027"/>
    <w:rsid w:val="0098105D"/>
    <w:rsid w:val="0098140F"/>
    <w:rsid w:val="00981496"/>
    <w:rsid w:val="009816C1"/>
    <w:rsid w:val="009816E2"/>
    <w:rsid w:val="00981B63"/>
    <w:rsid w:val="00981C72"/>
    <w:rsid w:val="00981D7A"/>
    <w:rsid w:val="00981D84"/>
    <w:rsid w:val="00981D9A"/>
    <w:rsid w:val="00981DAD"/>
    <w:rsid w:val="00981F18"/>
    <w:rsid w:val="009821D0"/>
    <w:rsid w:val="00982259"/>
    <w:rsid w:val="00982435"/>
    <w:rsid w:val="00982DBF"/>
    <w:rsid w:val="009831DE"/>
    <w:rsid w:val="0098324D"/>
    <w:rsid w:val="009837E3"/>
    <w:rsid w:val="00983886"/>
    <w:rsid w:val="009838D3"/>
    <w:rsid w:val="00983DEC"/>
    <w:rsid w:val="00983F98"/>
    <w:rsid w:val="0098422A"/>
    <w:rsid w:val="00984779"/>
    <w:rsid w:val="00984837"/>
    <w:rsid w:val="00984CEF"/>
    <w:rsid w:val="00984D2C"/>
    <w:rsid w:val="00984E5E"/>
    <w:rsid w:val="0098500A"/>
    <w:rsid w:val="009851F7"/>
    <w:rsid w:val="00985271"/>
    <w:rsid w:val="009853D2"/>
    <w:rsid w:val="0098567A"/>
    <w:rsid w:val="009857C3"/>
    <w:rsid w:val="009857DC"/>
    <w:rsid w:val="0098595E"/>
    <w:rsid w:val="009859B3"/>
    <w:rsid w:val="009859D4"/>
    <w:rsid w:val="00985B5E"/>
    <w:rsid w:val="00985D22"/>
    <w:rsid w:val="00985D5B"/>
    <w:rsid w:val="00985D80"/>
    <w:rsid w:val="009865E6"/>
    <w:rsid w:val="0098666D"/>
    <w:rsid w:val="00986C23"/>
    <w:rsid w:val="00986FF0"/>
    <w:rsid w:val="009876D1"/>
    <w:rsid w:val="00987A69"/>
    <w:rsid w:val="00987AE0"/>
    <w:rsid w:val="00987DCF"/>
    <w:rsid w:val="00990005"/>
    <w:rsid w:val="0099024F"/>
    <w:rsid w:val="00990293"/>
    <w:rsid w:val="00990491"/>
    <w:rsid w:val="00990BBA"/>
    <w:rsid w:val="00990CE8"/>
    <w:rsid w:val="00990D11"/>
    <w:rsid w:val="00990E2C"/>
    <w:rsid w:val="00990E5D"/>
    <w:rsid w:val="00990E89"/>
    <w:rsid w:val="00991249"/>
    <w:rsid w:val="0099142C"/>
    <w:rsid w:val="009914C4"/>
    <w:rsid w:val="009915B4"/>
    <w:rsid w:val="0099162D"/>
    <w:rsid w:val="00991804"/>
    <w:rsid w:val="00991F44"/>
    <w:rsid w:val="00992419"/>
    <w:rsid w:val="00992988"/>
    <w:rsid w:val="00992F3B"/>
    <w:rsid w:val="00992F95"/>
    <w:rsid w:val="009930A9"/>
    <w:rsid w:val="00993441"/>
    <w:rsid w:val="00993448"/>
    <w:rsid w:val="009937D6"/>
    <w:rsid w:val="009937E4"/>
    <w:rsid w:val="00993A26"/>
    <w:rsid w:val="00993C3F"/>
    <w:rsid w:val="00993CC5"/>
    <w:rsid w:val="00993E51"/>
    <w:rsid w:val="009947C9"/>
    <w:rsid w:val="00994804"/>
    <w:rsid w:val="0099485E"/>
    <w:rsid w:val="00994B62"/>
    <w:rsid w:val="00994CC1"/>
    <w:rsid w:val="00994D6E"/>
    <w:rsid w:val="0099595E"/>
    <w:rsid w:val="00995BFC"/>
    <w:rsid w:val="00995BFF"/>
    <w:rsid w:val="009960B5"/>
    <w:rsid w:val="009960C1"/>
    <w:rsid w:val="00996608"/>
    <w:rsid w:val="009967D1"/>
    <w:rsid w:val="0099700C"/>
    <w:rsid w:val="00997193"/>
    <w:rsid w:val="009971CF"/>
    <w:rsid w:val="00997BA3"/>
    <w:rsid w:val="009A07AD"/>
    <w:rsid w:val="009A092D"/>
    <w:rsid w:val="009A0FB5"/>
    <w:rsid w:val="009A10E4"/>
    <w:rsid w:val="009A1280"/>
    <w:rsid w:val="009A12B3"/>
    <w:rsid w:val="009A1569"/>
    <w:rsid w:val="009A171E"/>
    <w:rsid w:val="009A1980"/>
    <w:rsid w:val="009A1EBA"/>
    <w:rsid w:val="009A2053"/>
    <w:rsid w:val="009A22BC"/>
    <w:rsid w:val="009A2AD4"/>
    <w:rsid w:val="009A2D72"/>
    <w:rsid w:val="009A37BC"/>
    <w:rsid w:val="009A3982"/>
    <w:rsid w:val="009A39B3"/>
    <w:rsid w:val="009A42B9"/>
    <w:rsid w:val="009A4642"/>
    <w:rsid w:val="009A4821"/>
    <w:rsid w:val="009A4A6C"/>
    <w:rsid w:val="009A4B7A"/>
    <w:rsid w:val="009A4BC7"/>
    <w:rsid w:val="009A4F8E"/>
    <w:rsid w:val="009A5453"/>
    <w:rsid w:val="009A552E"/>
    <w:rsid w:val="009A55B7"/>
    <w:rsid w:val="009A59F6"/>
    <w:rsid w:val="009A5B1E"/>
    <w:rsid w:val="009A617C"/>
    <w:rsid w:val="009A6280"/>
    <w:rsid w:val="009A65E2"/>
    <w:rsid w:val="009A6887"/>
    <w:rsid w:val="009A68A2"/>
    <w:rsid w:val="009A6978"/>
    <w:rsid w:val="009A6A4F"/>
    <w:rsid w:val="009A6A69"/>
    <w:rsid w:val="009A6C2C"/>
    <w:rsid w:val="009A6D85"/>
    <w:rsid w:val="009A6F4A"/>
    <w:rsid w:val="009A7018"/>
    <w:rsid w:val="009A72DA"/>
    <w:rsid w:val="009A761F"/>
    <w:rsid w:val="009A7622"/>
    <w:rsid w:val="009A7641"/>
    <w:rsid w:val="009A7650"/>
    <w:rsid w:val="009A775A"/>
    <w:rsid w:val="009A787D"/>
    <w:rsid w:val="009A79B5"/>
    <w:rsid w:val="009A7B21"/>
    <w:rsid w:val="009A7BB8"/>
    <w:rsid w:val="009A7E4E"/>
    <w:rsid w:val="009A7F18"/>
    <w:rsid w:val="009B02C0"/>
    <w:rsid w:val="009B05CE"/>
    <w:rsid w:val="009B0B33"/>
    <w:rsid w:val="009B0EB0"/>
    <w:rsid w:val="009B1072"/>
    <w:rsid w:val="009B1441"/>
    <w:rsid w:val="009B189D"/>
    <w:rsid w:val="009B18B6"/>
    <w:rsid w:val="009B194C"/>
    <w:rsid w:val="009B1B1D"/>
    <w:rsid w:val="009B1B4C"/>
    <w:rsid w:val="009B1E7E"/>
    <w:rsid w:val="009B2027"/>
    <w:rsid w:val="009B210E"/>
    <w:rsid w:val="009B279C"/>
    <w:rsid w:val="009B2D2A"/>
    <w:rsid w:val="009B3792"/>
    <w:rsid w:val="009B381A"/>
    <w:rsid w:val="009B3B2F"/>
    <w:rsid w:val="009B3C68"/>
    <w:rsid w:val="009B3FE7"/>
    <w:rsid w:val="009B404A"/>
    <w:rsid w:val="009B431C"/>
    <w:rsid w:val="009B44DB"/>
    <w:rsid w:val="009B4661"/>
    <w:rsid w:val="009B53D5"/>
    <w:rsid w:val="009B5519"/>
    <w:rsid w:val="009B58FD"/>
    <w:rsid w:val="009B59B9"/>
    <w:rsid w:val="009B5A20"/>
    <w:rsid w:val="009B6490"/>
    <w:rsid w:val="009B68CC"/>
    <w:rsid w:val="009B69A6"/>
    <w:rsid w:val="009B705D"/>
    <w:rsid w:val="009B7085"/>
    <w:rsid w:val="009B716E"/>
    <w:rsid w:val="009B74DB"/>
    <w:rsid w:val="009B75BB"/>
    <w:rsid w:val="009B78E7"/>
    <w:rsid w:val="009B7971"/>
    <w:rsid w:val="009B79F6"/>
    <w:rsid w:val="009C0C05"/>
    <w:rsid w:val="009C0C23"/>
    <w:rsid w:val="009C0C56"/>
    <w:rsid w:val="009C1497"/>
    <w:rsid w:val="009C15ED"/>
    <w:rsid w:val="009C2050"/>
    <w:rsid w:val="009C2B03"/>
    <w:rsid w:val="009C2D41"/>
    <w:rsid w:val="009C2EF7"/>
    <w:rsid w:val="009C37EB"/>
    <w:rsid w:val="009C385A"/>
    <w:rsid w:val="009C3A36"/>
    <w:rsid w:val="009C3C33"/>
    <w:rsid w:val="009C3D93"/>
    <w:rsid w:val="009C3E28"/>
    <w:rsid w:val="009C4136"/>
    <w:rsid w:val="009C416A"/>
    <w:rsid w:val="009C4199"/>
    <w:rsid w:val="009C4296"/>
    <w:rsid w:val="009C4467"/>
    <w:rsid w:val="009C4615"/>
    <w:rsid w:val="009C4DDC"/>
    <w:rsid w:val="009C4EFB"/>
    <w:rsid w:val="009C4F14"/>
    <w:rsid w:val="009C4FE3"/>
    <w:rsid w:val="009C50BE"/>
    <w:rsid w:val="009C5606"/>
    <w:rsid w:val="009C5705"/>
    <w:rsid w:val="009C598B"/>
    <w:rsid w:val="009C5B24"/>
    <w:rsid w:val="009C5CC7"/>
    <w:rsid w:val="009C6125"/>
    <w:rsid w:val="009C6164"/>
    <w:rsid w:val="009C619C"/>
    <w:rsid w:val="009C61B3"/>
    <w:rsid w:val="009C63B4"/>
    <w:rsid w:val="009C646E"/>
    <w:rsid w:val="009C650A"/>
    <w:rsid w:val="009C6568"/>
    <w:rsid w:val="009C66AC"/>
    <w:rsid w:val="009C6A13"/>
    <w:rsid w:val="009C6B02"/>
    <w:rsid w:val="009C6DC5"/>
    <w:rsid w:val="009C6F17"/>
    <w:rsid w:val="009C748C"/>
    <w:rsid w:val="009C75FF"/>
    <w:rsid w:val="009C76A4"/>
    <w:rsid w:val="009C7740"/>
    <w:rsid w:val="009C7A69"/>
    <w:rsid w:val="009C7BB1"/>
    <w:rsid w:val="009C7CE3"/>
    <w:rsid w:val="009C7F9D"/>
    <w:rsid w:val="009D0061"/>
    <w:rsid w:val="009D0066"/>
    <w:rsid w:val="009D02BF"/>
    <w:rsid w:val="009D0658"/>
    <w:rsid w:val="009D09D9"/>
    <w:rsid w:val="009D0BF4"/>
    <w:rsid w:val="009D0F7B"/>
    <w:rsid w:val="009D0FDC"/>
    <w:rsid w:val="009D12C2"/>
    <w:rsid w:val="009D13D8"/>
    <w:rsid w:val="009D149B"/>
    <w:rsid w:val="009D17AB"/>
    <w:rsid w:val="009D1840"/>
    <w:rsid w:val="009D184A"/>
    <w:rsid w:val="009D1B97"/>
    <w:rsid w:val="009D1BEC"/>
    <w:rsid w:val="009D1E6F"/>
    <w:rsid w:val="009D1F06"/>
    <w:rsid w:val="009D2061"/>
    <w:rsid w:val="009D231E"/>
    <w:rsid w:val="009D2388"/>
    <w:rsid w:val="009D2628"/>
    <w:rsid w:val="009D284D"/>
    <w:rsid w:val="009D289B"/>
    <w:rsid w:val="009D2ACE"/>
    <w:rsid w:val="009D2ECA"/>
    <w:rsid w:val="009D2F8B"/>
    <w:rsid w:val="009D33CF"/>
    <w:rsid w:val="009D385C"/>
    <w:rsid w:val="009D38CD"/>
    <w:rsid w:val="009D3B2B"/>
    <w:rsid w:val="009D3BF5"/>
    <w:rsid w:val="009D3C6C"/>
    <w:rsid w:val="009D3FC5"/>
    <w:rsid w:val="009D423A"/>
    <w:rsid w:val="009D42B7"/>
    <w:rsid w:val="009D4548"/>
    <w:rsid w:val="009D4D6D"/>
    <w:rsid w:val="009D4E48"/>
    <w:rsid w:val="009D4E4C"/>
    <w:rsid w:val="009D514E"/>
    <w:rsid w:val="009D540F"/>
    <w:rsid w:val="009D5435"/>
    <w:rsid w:val="009D5585"/>
    <w:rsid w:val="009D5967"/>
    <w:rsid w:val="009D59AD"/>
    <w:rsid w:val="009D5C19"/>
    <w:rsid w:val="009D5C4F"/>
    <w:rsid w:val="009D5CDA"/>
    <w:rsid w:val="009D6242"/>
    <w:rsid w:val="009D627E"/>
    <w:rsid w:val="009D642C"/>
    <w:rsid w:val="009D6509"/>
    <w:rsid w:val="009D6649"/>
    <w:rsid w:val="009D6917"/>
    <w:rsid w:val="009D692D"/>
    <w:rsid w:val="009D6B27"/>
    <w:rsid w:val="009D6DC8"/>
    <w:rsid w:val="009D6FB1"/>
    <w:rsid w:val="009D7972"/>
    <w:rsid w:val="009D7EBB"/>
    <w:rsid w:val="009E0167"/>
    <w:rsid w:val="009E016D"/>
    <w:rsid w:val="009E0271"/>
    <w:rsid w:val="009E047F"/>
    <w:rsid w:val="009E048D"/>
    <w:rsid w:val="009E0884"/>
    <w:rsid w:val="009E0B7C"/>
    <w:rsid w:val="009E0CE9"/>
    <w:rsid w:val="009E0E97"/>
    <w:rsid w:val="009E0EE9"/>
    <w:rsid w:val="009E0F49"/>
    <w:rsid w:val="009E171F"/>
    <w:rsid w:val="009E1CB9"/>
    <w:rsid w:val="009E1DA6"/>
    <w:rsid w:val="009E22E3"/>
    <w:rsid w:val="009E2502"/>
    <w:rsid w:val="009E25A4"/>
    <w:rsid w:val="009E2678"/>
    <w:rsid w:val="009E2A4A"/>
    <w:rsid w:val="009E2C18"/>
    <w:rsid w:val="009E2EC8"/>
    <w:rsid w:val="009E2F0D"/>
    <w:rsid w:val="009E2FDE"/>
    <w:rsid w:val="009E30CD"/>
    <w:rsid w:val="009E339D"/>
    <w:rsid w:val="009E3408"/>
    <w:rsid w:val="009E4561"/>
    <w:rsid w:val="009E4777"/>
    <w:rsid w:val="009E4835"/>
    <w:rsid w:val="009E4B05"/>
    <w:rsid w:val="009E4B54"/>
    <w:rsid w:val="009E4C25"/>
    <w:rsid w:val="009E4C4B"/>
    <w:rsid w:val="009E50AF"/>
    <w:rsid w:val="009E5489"/>
    <w:rsid w:val="009E5909"/>
    <w:rsid w:val="009E5958"/>
    <w:rsid w:val="009E5974"/>
    <w:rsid w:val="009E5A73"/>
    <w:rsid w:val="009E5B39"/>
    <w:rsid w:val="009E5B3A"/>
    <w:rsid w:val="009E5C77"/>
    <w:rsid w:val="009E61E8"/>
    <w:rsid w:val="009E622C"/>
    <w:rsid w:val="009E657A"/>
    <w:rsid w:val="009E6610"/>
    <w:rsid w:val="009E693D"/>
    <w:rsid w:val="009E6C7D"/>
    <w:rsid w:val="009E6D5D"/>
    <w:rsid w:val="009E6E8F"/>
    <w:rsid w:val="009E6EDF"/>
    <w:rsid w:val="009E6FD6"/>
    <w:rsid w:val="009E7409"/>
    <w:rsid w:val="009E77C5"/>
    <w:rsid w:val="009E7B00"/>
    <w:rsid w:val="009E7BDB"/>
    <w:rsid w:val="009E7CE4"/>
    <w:rsid w:val="009E7E3F"/>
    <w:rsid w:val="009F0015"/>
    <w:rsid w:val="009F04B8"/>
    <w:rsid w:val="009F0515"/>
    <w:rsid w:val="009F0B96"/>
    <w:rsid w:val="009F0DFA"/>
    <w:rsid w:val="009F112F"/>
    <w:rsid w:val="009F11AE"/>
    <w:rsid w:val="009F14C6"/>
    <w:rsid w:val="009F164D"/>
    <w:rsid w:val="009F2482"/>
    <w:rsid w:val="009F26F8"/>
    <w:rsid w:val="009F2858"/>
    <w:rsid w:val="009F2DCE"/>
    <w:rsid w:val="009F319D"/>
    <w:rsid w:val="009F376C"/>
    <w:rsid w:val="009F3A9D"/>
    <w:rsid w:val="009F3B51"/>
    <w:rsid w:val="009F3BB4"/>
    <w:rsid w:val="009F40C1"/>
    <w:rsid w:val="009F4133"/>
    <w:rsid w:val="009F49D8"/>
    <w:rsid w:val="009F4C20"/>
    <w:rsid w:val="009F53A4"/>
    <w:rsid w:val="009F544C"/>
    <w:rsid w:val="009F5743"/>
    <w:rsid w:val="009F59CA"/>
    <w:rsid w:val="009F5E98"/>
    <w:rsid w:val="009F5EAD"/>
    <w:rsid w:val="009F6141"/>
    <w:rsid w:val="009F61BF"/>
    <w:rsid w:val="009F61D8"/>
    <w:rsid w:val="009F6557"/>
    <w:rsid w:val="009F684D"/>
    <w:rsid w:val="009F6895"/>
    <w:rsid w:val="009F699B"/>
    <w:rsid w:val="009F72CE"/>
    <w:rsid w:val="009F73B0"/>
    <w:rsid w:val="009F744F"/>
    <w:rsid w:val="009F7F82"/>
    <w:rsid w:val="00A00319"/>
    <w:rsid w:val="00A00417"/>
    <w:rsid w:val="00A00BB0"/>
    <w:rsid w:val="00A00E83"/>
    <w:rsid w:val="00A010B2"/>
    <w:rsid w:val="00A010C2"/>
    <w:rsid w:val="00A01621"/>
    <w:rsid w:val="00A0184E"/>
    <w:rsid w:val="00A01DBD"/>
    <w:rsid w:val="00A021B7"/>
    <w:rsid w:val="00A0229A"/>
    <w:rsid w:val="00A022B9"/>
    <w:rsid w:val="00A023B5"/>
    <w:rsid w:val="00A02461"/>
    <w:rsid w:val="00A02480"/>
    <w:rsid w:val="00A02AF7"/>
    <w:rsid w:val="00A02B43"/>
    <w:rsid w:val="00A02C2B"/>
    <w:rsid w:val="00A02C40"/>
    <w:rsid w:val="00A0315C"/>
    <w:rsid w:val="00A033FE"/>
    <w:rsid w:val="00A03431"/>
    <w:rsid w:val="00A037CB"/>
    <w:rsid w:val="00A0388E"/>
    <w:rsid w:val="00A03A50"/>
    <w:rsid w:val="00A03BA2"/>
    <w:rsid w:val="00A03FBC"/>
    <w:rsid w:val="00A0401D"/>
    <w:rsid w:val="00A04221"/>
    <w:rsid w:val="00A0426A"/>
    <w:rsid w:val="00A0431F"/>
    <w:rsid w:val="00A0489D"/>
    <w:rsid w:val="00A04905"/>
    <w:rsid w:val="00A04CF5"/>
    <w:rsid w:val="00A04DEF"/>
    <w:rsid w:val="00A04F75"/>
    <w:rsid w:val="00A059AC"/>
    <w:rsid w:val="00A05A93"/>
    <w:rsid w:val="00A05BAB"/>
    <w:rsid w:val="00A05BFC"/>
    <w:rsid w:val="00A05D0B"/>
    <w:rsid w:val="00A060E5"/>
    <w:rsid w:val="00A06294"/>
    <w:rsid w:val="00A067C0"/>
    <w:rsid w:val="00A06B62"/>
    <w:rsid w:val="00A06E7D"/>
    <w:rsid w:val="00A07152"/>
    <w:rsid w:val="00A07547"/>
    <w:rsid w:val="00A079C9"/>
    <w:rsid w:val="00A07C94"/>
    <w:rsid w:val="00A1012D"/>
    <w:rsid w:val="00A1025B"/>
    <w:rsid w:val="00A10AC0"/>
    <w:rsid w:val="00A11026"/>
    <w:rsid w:val="00A110B8"/>
    <w:rsid w:val="00A11168"/>
    <w:rsid w:val="00A111F5"/>
    <w:rsid w:val="00A113FD"/>
    <w:rsid w:val="00A11512"/>
    <w:rsid w:val="00A115D2"/>
    <w:rsid w:val="00A119AF"/>
    <w:rsid w:val="00A11A06"/>
    <w:rsid w:val="00A12017"/>
    <w:rsid w:val="00A12388"/>
    <w:rsid w:val="00A12597"/>
    <w:rsid w:val="00A1265C"/>
    <w:rsid w:val="00A129F5"/>
    <w:rsid w:val="00A12CC4"/>
    <w:rsid w:val="00A12E88"/>
    <w:rsid w:val="00A12EEB"/>
    <w:rsid w:val="00A1335D"/>
    <w:rsid w:val="00A13895"/>
    <w:rsid w:val="00A138E1"/>
    <w:rsid w:val="00A13C34"/>
    <w:rsid w:val="00A13C7F"/>
    <w:rsid w:val="00A142E2"/>
    <w:rsid w:val="00A14469"/>
    <w:rsid w:val="00A14816"/>
    <w:rsid w:val="00A14ABE"/>
    <w:rsid w:val="00A15036"/>
    <w:rsid w:val="00A15B64"/>
    <w:rsid w:val="00A15DE1"/>
    <w:rsid w:val="00A16166"/>
    <w:rsid w:val="00A161B2"/>
    <w:rsid w:val="00A16447"/>
    <w:rsid w:val="00A1665D"/>
    <w:rsid w:val="00A16697"/>
    <w:rsid w:val="00A16B3A"/>
    <w:rsid w:val="00A16E6B"/>
    <w:rsid w:val="00A16F73"/>
    <w:rsid w:val="00A16F88"/>
    <w:rsid w:val="00A170A8"/>
    <w:rsid w:val="00A175D0"/>
    <w:rsid w:val="00A17804"/>
    <w:rsid w:val="00A17A2C"/>
    <w:rsid w:val="00A17E39"/>
    <w:rsid w:val="00A203DB"/>
    <w:rsid w:val="00A204DB"/>
    <w:rsid w:val="00A205EC"/>
    <w:rsid w:val="00A2068F"/>
    <w:rsid w:val="00A2077D"/>
    <w:rsid w:val="00A20952"/>
    <w:rsid w:val="00A20DC1"/>
    <w:rsid w:val="00A20EBE"/>
    <w:rsid w:val="00A2112A"/>
    <w:rsid w:val="00A22CC6"/>
    <w:rsid w:val="00A22D46"/>
    <w:rsid w:val="00A22EEF"/>
    <w:rsid w:val="00A236F4"/>
    <w:rsid w:val="00A2373D"/>
    <w:rsid w:val="00A23817"/>
    <w:rsid w:val="00A23876"/>
    <w:rsid w:val="00A23970"/>
    <w:rsid w:val="00A23A74"/>
    <w:rsid w:val="00A23B2D"/>
    <w:rsid w:val="00A23E81"/>
    <w:rsid w:val="00A2444C"/>
    <w:rsid w:val="00A244CC"/>
    <w:rsid w:val="00A24599"/>
    <w:rsid w:val="00A24975"/>
    <w:rsid w:val="00A24A67"/>
    <w:rsid w:val="00A24CEC"/>
    <w:rsid w:val="00A24D72"/>
    <w:rsid w:val="00A24FCB"/>
    <w:rsid w:val="00A25089"/>
    <w:rsid w:val="00A25368"/>
    <w:rsid w:val="00A25B74"/>
    <w:rsid w:val="00A2620E"/>
    <w:rsid w:val="00A263E7"/>
    <w:rsid w:val="00A263F0"/>
    <w:rsid w:val="00A2648E"/>
    <w:rsid w:val="00A264C4"/>
    <w:rsid w:val="00A26792"/>
    <w:rsid w:val="00A26929"/>
    <w:rsid w:val="00A2696F"/>
    <w:rsid w:val="00A26C4E"/>
    <w:rsid w:val="00A27065"/>
    <w:rsid w:val="00A27207"/>
    <w:rsid w:val="00A27944"/>
    <w:rsid w:val="00A279C2"/>
    <w:rsid w:val="00A27D48"/>
    <w:rsid w:val="00A27EAF"/>
    <w:rsid w:val="00A301D2"/>
    <w:rsid w:val="00A30665"/>
    <w:rsid w:val="00A307A1"/>
    <w:rsid w:val="00A30A43"/>
    <w:rsid w:val="00A30A79"/>
    <w:rsid w:val="00A30A9D"/>
    <w:rsid w:val="00A30C63"/>
    <w:rsid w:val="00A31408"/>
    <w:rsid w:val="00A316A0"/>
    <w:rsid w:val="00A316F1"/>
    <w:rsid w:val="00A31722"/>
    <w:rsid w:val="00A3201D"/>
    <w:rsid w:val="00A32221"/>
    <w:rsid w:val="00A3243C"/>
    <w:rsid w:val="00A324A3"/>
    <w:rsid w:val="00A32765"/>
    <w:rsid w:val="00A3276F"/>
    <w:rsid w:val="00A32853"/>
    <w:rsid w:val="00A32AC1"/>
    <w:rsid w:val="00A32BCD"/>
    <w:rsid w:val="00A32D22"/>
    <w:rsid w:val="00A3354D"/>
    <w:rsid w:val="00A338BC"/>
    <w:rsid w:val="00A33ADB"/>
    <w:rsid w:val="00A33D6B"/>
    <w:rsid w:val="00A33EB2"/>
    <w:rsid w:val="00A33FE8"/>
    <w:rsid w:val="00A34004"/>
    <w:rsid w:val="00A34120"/>
    <w:rsid w:val="00A341B2"/>
    <w:rsid w:val="00A34297"/>
    <w:rsid w:val="00A3433E"/>
    <w:rsid w:val="00A344B4"/>
    <w:rsid w:val="00A34591"/>
    <w:rsid w:val="00A348D1"/>
    <w:rsid w:val="00A34B3D"/>
    <w:rsid w:val="00A34CBD"/>
    <w:rsid w:val="00A35024"/>
    <w:rsid w:val="00A35051"/>
    <w:rsid w:val="00A351A0"/>
    <w:rsid w:val="00A353D6"/>
    <w:rsid w:val="00A35454"/>
    <w:rsid w:val="00A3546E"/>
    <w:rsid w:val="00A354B5"/>
    <w:rsid w:val="00A3565A"/>
    <w:rsid w:val="00A35AE1"/>
    <w:rsid w:val="00A35D15"/>
    <w:rsid w:val="00A3624E"/>
    <w:rsid w:val="00A36530"/>
    <w:rsid w:val="00A3670E"/>
    <w:rsid w:val="00A3678C"/>
    <w:rsid w:val="00A36963"/>
    <w:rsid w:val="00A36C3A"/>
    <w:rsid w:val="00A36D39"/>
    <w:rsid w:val="00A372E1"/>
    <w:rsid w:val="00A37334"/>
    <w:rsid w:val="00A373FD"/>
    <w:rsid w:val="00A374F2"/>
    <w:rsid w:val="00A379BB"/>
    <w:rsid w:val="00A37A01"/>
    <w:rsid w:val="00A37BA6"/>
    <w:rsid w:val="00A37F09"/>
    <w:rsid w:val="00A40159"/>
    <w:rsid w:val="00A401AA"/>
    <w:rsid w:val="00A40525"/>
    <w:rsid w:val="00A4081E"/>
    <w:rsid w:val="00A40907"/>
    <w:rsid w:val="00A40A91"/>
    <w:rsid w:val="00A40E7D"/>
    <w:rsid w:val="00A4163E"/>
    <w:rsid w:val="00A417CF"/>
    <w:rsid w:val="00A418D5"/>
    <w:rsid w:val="00A4191E"/>
    <w:rsid w:val="00A41ACB"/>
    <w:rsid w:val="00A41D17"/>
    <w:rsid w:val="00A41D8B"/>
    <w:rsid w:val="00A41DA4"/>
    <w:rsid w:val="00A41DBB"/>
    <w:rsid w:val="00A4209D"/>
    <w:rsid w:val="00A420A5"/>
    <w:rsid w:val="00A4227F"/>
    <w:rsid w:val="00A42300"/>
    <w:rsid w:val="00A42394"/>
    <w:rsid w:val="00A42553"/>
    <w:rsid w:val="00A425D8"/>
    <w:rsid w:val="00A4297A"/>
    <w:rsid w:val="00A42F9C"/>
    <w:rsid w:val="00A43015"/>
    <w:rsid w:val="00A431B2"/>
    <w:rsid w:val="00A431EC"/>
    <w:rsid w:val="00A4335F"/>
    <w:rsid w:val="00A43793"/>
    <w:rsid w:val="00A437A2"/>
    <w:rsid w:val="00A43B20"/>
    <w:rsid w:val="00A43CBB"/>
    <w:rsid w:val="00A4456E"/>
    <w:rsid w:val="00A4472F"/>
    <w:rsid w:val="00A449AB"/>
    <w:rsid w:val="00A44B37"/>
    <w:rsid w:val="00A44FF4"/>
    <w:rsid w:val="00A451DD"/>
    <w:rsid w:val="00A45235"/>
    <w:rsid w:val="00A452D2"/>
    <w:rsid w:val="00A45CCD"/>
    <w:rsid w:val="00A45EB4"/>
    <w:rsid w:val="00A461DC"/>
    <w:rsid w:val="00A46277"/>
    <w:rsid w:val="00A46310"/>
    <w:rsid w:val="00A4640A"/>
    <w:rsid w:val="00A4699A"/>
    <w:rsid w:val="00A46AAB"/>
    <w:rsid w:val="00A46B84"/>
    <w:rsid w:val="00A46FF0"/>
    <w:rsid w:val="00A471C4"/>
    <w:rsid w:val="00A47252"/>
    <w:rsid w:val="00A47295"/>
    <w:rsid w:val="00A47A4A"/>
    <w:rsid w:val="00A47A57"/>
    <w:rsid w:val="00A47BD9"/>
    <w:rsid w:val="00A47C20"/>
    <w:rsid w:val="00A47C6F"/>
    <w:rsid w:val="00A47E76"/>
    <w:rsid w:val="00A50062"/>
    <w:rsid w:val="00A503C3"/>
    <w:rsid w:val="00A50ABD"/>
    <w:rsid w:val="00A50DC5"/>
    <w:rsid w:val="00A50EDC"/>
    <w:rsid w:val="00A50FB4"/>
    <w:rsid w:val="00A51033"/>
    <w:rsid w:val="00A51138"/>
    <w:rsid w:val="00A51245"/>
    <w:rsid w:val="00A51289"/>
    <w:rsid w:val="00A515A4"/>
    <w:rsid w:val="00A51DB0"/>
    <w:rsid w:val="00A5231F"/>
    <w:rsid w:val="00A5233C"/>
    <w:rsid w:val="00A5258C"/>
    <w:rsid w:val="00A526E1"/>
    <w:rsid w:val="00A52B59"/>
    <w:rsid w:val="00A52BF3"/>
    <w:rsid w:val="00A52DA7"/>
    <w:rsid w:val="00A531C7"/>
    <w:rsid w:val="00A53207"/>
    <w:rsid w:val="00A532A1"/>
    <w:rsid w:val="00A5348C"/>
    <w:rsid w:val="00A534D3"/>
    <w:rsid w:val="00A5366D"/>
    <w:rsid w:val="00A536C0"/>
    <w:rsid w:val="00A53C81"/>
    <w:rsid w:val="00A5414B"/>
    <w:rsid w:val="00A54259"/>
    <w:rsid w:val="00A54437"/>
    <w:rsid w:val="00A5490C"/>
    <w:rsid w:val="00A54D00"/>
    <w:rsid w:val="00A54DBB"/>
    <w:rsid w:val="00A550B3"/>
    <w:rsid w:val="00A550E9"/>
    <w:rsid w:val="00A551E5"/>
    <w:rsid w:val="00A5520B"/>
    <w:rsid w:val="00A55748"/>
    <w:rsid w:val="00A55B6B"/>
    <w:rsid w:val="00A55D9A"/>
    <w:rsid w:val="00A55E8B"/>
    <w:rsid w:val="00A55F21"/>
    <w:rsid w:val="00A561C7"/>
    <w:rsid w:val="00A56278"/>
    <w:rsid w:val="00A56450"/>
    <w:rsid w:val="00A56459"/>
    <w:rsid w:val="00A56663"/>
    <w:rsid w:val="00A5680E"/>
    <w:rsid w:val="00A568F9"/>
    <w:rsid w:val="00A56AF0"/>
    <w:rsid w:val="00A56BEE"/>
    <w:rsid w:val="00A56C15"/>
    <w:rsid w:val="00A56D79"/>
    <w:rsid w:val="00A5762F"/>
    <w:rsid w:val="00A57875"/>
    <w:rsid w:val="00A57EB1"/>
    <w:rsid w:val="00A6055E"/>
    <w:rsid w:val="00A61016"/>
    <w:rsid w:val="00A612D2"/>
    <w:rsid w:val="00A61387"/>
    <w:rsid w:val="00A613A5"/>
    <w:rsid w:val="00A6175A"/>
    <w:rsid w:val="00A61B54"/>
    <w:rsid w:val="00A61C4C"/>
    <w:rsid w:val="00A61E3A"/>
    <w:rsid w:val="00A61EA9"/>
    <w:rsid w:val="00A622BC"/>
    <w:rsid w:val="00A6251B"/>
    <w:rsid w:val="00A62724"/>
    <w:rsid w:val="00A62AA0"/>
    <w:rsid w:val="00A62BDD"/>
    <w:rsid w:val="00A62F47"/>
    <w:rsid w:val="00A62FCA"/>
    <w:rsid w:val="00A6349B"/>
    <w:rsid w:val="00A63A77"/>
    <w:rsid w:val="00A63AA0"/>
    <w:rsid w:val="00A63B2D"/>
    <w:rsid w:val="00A63C7A"/>
    <w:rsid w:val="00A63F00"/>
    <w:rsid w:val="00A64310"/>
    <w:rsid w:val="00A64408"/>
    <w:rsid w:val="00A64553"/>
    <w:rsid w:val="00A6456A"/>
    <w:rsid w:val="00A645A8"/>
    <w:rsid w:val="00A64E8B"/>
    <w:rsid w:val="00A6500C"/>
    <w:rsid w:val="00A6541F"/>
    <w:rsid w:val="00A655A7"/>
    <w:rsid w:val="00A65609"/>
    <w:rsid w:val="00A65D6C"/>
    <w:rsid w:val="00A66231"/>
    <w:rsid w:val="00A66307"/>
    <w:rsid w:val="00A66528"/>
    <w:rsid w:val="00A67380"/>
    <w:rsid w:val="00A676B4"/>
    <w:rsid w:val="00A67815"/>
    <w:rsid w:val="00A67AE2"/>
    <w:rsid w:val="00A67CD7"/>
    <w:rsid w:val="00A67CF6"/>
    <w:rsid w:val="00A67F20"/>
    <w:rsid w:val="00A7005A"/>
    <w:rsid w:val="00A704AC"/>
    <w:rsid w:val="00A70525"/>
    <w:rsid w:val="00A70B0F"/>
    <w:rsid w:val="00A710C5"/>
    <w:rsid w:val="00A71457"/>
    <w:rsid w:val="00A714C2"/>
    <w:rsid w:val="00A7152E"/>
    <w:rsid w:val="00A71713"/>
    <w:rsid w:val="00A7179E"/>
    <w:rsid w:val="00A71BEC"/>
    <w:rsid w:val="00A71D16"/>
    <w:rsid w:val="00A71EAC"/>
    <w:rsid w:val="00A720FB"/>
    <w:rsid w:val="00A721FD"/>
    <w:rsid w:val="00A725E3"/>
    <w:rsid w:val="00A72745"/>
    <w:rsid w:val="00A7275C"/>
    <w:rsid w:val="00A72789"/>
    <w:rsid w:val="00A72B50"/>
    <w:rsid w:val="00A73257"/>
    <w:rsid w:val="00A732F4"/>
    <w:rsid w:val="00A73A30"/>
    <w:rsid w:val="00A73A5B"/>
    <w:rsid w:val="00A73E2E"/>
    <w:rsid w:val="00A73FF5"/>
    <w:rsid w:val="00A744B1"/>
    <w:rsid w:val="00A744FD"/>
    <w:rsid w:val="00A74542"/>
    <w:rsid w:val="00A748C8"/>
    <w:rsid w:val="00A74BBF"/>
    <w:rsid w:val="00A74E60"/>
    <w:rsid w:val="00A751E8"/>
    <w:rsid w:val="00A76178"/>
    <w:rsid w:val="00A764A6"/>
    <w:rsid w:val="00A76512"/>
    <w:rsid w:val="00A76590"/>
    <w:rsid w:val="00A765EB"/>
    <w:rsid w:val="00A76950"/>
    <w:rsid w:val="00A770E3"/>
    <w:rsid w:val="00A77270"/>
    <w:rsid w:val="00A7756B"/>
    <w:rsid w:val="00A77806"/>
    <w:rsid w:val="00A80145"/>
    <w:rsid w:val="00A801A9"/>
    <w:rsid w:val="00A8021C"/>
    <w:rsid w:val="00A802C3"/>
    <w:rsid w:val="00A80612"/>
    <w:rsid w:val="00A8063E"/>
    <w:rsid w:val="00A808A1"/>
    <w:rsid w:val="00A80B12"/>
    <w:rsid w:val="00A81159"/>
    <w:rsid w:val="00A8136D"/>
    <w:rsid w:val="00A814A4"/>
    <w:rsid w:val="00A81584"/>
    <w:rsid w:val="00A818B4"/>
    <w:rsid w:val="00A819FE"/>
    <w:rsid w:val="00A81EF3"/>
    <w:rsid w:val="00A82088"/>
    <w:rsid w:val="00A8234B"/>
    <w:rsid w:val="00A82BB6"/>
    <w:rsid w:val="00A82ED7"/>
    <w:rsid w:val="00A8305E"/>
    <w:rsid w:val="00A8307E"/>
    <w:rsid w:val="00A836C3"/>
    <w:rsid w:val="00A83865"/>
    <w:rsid w:val="00A83A92"/>
    <w:rsid w:val="00A83AA3"/>
    <w:rsid w:val="00A83CBF"/>
    <w:rsid w:val="00A83F5B"/>
    <w:rsid w:val="00A84237"/>
    <w:rsid w:val="00A842E3"/>
    <w:rsid w:val="00A84712"/>
    <w:rsid w:val="00A8479C"/>
    <w:rsid w:val="00A84BB6"/>
    <w:rsid w:val="00A84C0A"/>
    <w:rsid w:val="00A84C59"/>
    <w:rsid w:val="00A84D46"/>
    <w:rsid w:val="00A84E05"/>
    <w:rsid w:val="00A84FBD"/>
    <w:rsid w:val="00A8506C"/>
    <w:rsid w:val="00A858D3"/>
    <w:rsid w:val="00A859A8"/>
    <w:rsid w:val="00A85B69"/>
    <w:rsid w:val="00A8613B"/>
    <w:rsid w:val="00A8616E"/>
    <w:rsid w:val="00A86196"/>
    <w:rsid w:val="00A863EB"/>
    <w:rsid w:val="00A866C7"/>
    <w:rsid w:val="00A8687D"/>
    <w:rsid w:val="00A868BA"/>
    <w:rsid w:val="00A86A73"/>
    <w:rsid w:val="00A86B00"/>
    <w:rsid w:val="00A86D90"/>
    <w:rsid w:val="00A86DA0"/>
    <w:rsid w:val="00A8700A"/>
    <w:rsid w:val="00A8711D"/>
    <w:rsid w:val="00A87472"/>
    <w:rsid w:val="00A87876"/>
    <w:rsid w:val="00A87907"/>
    <w:rsid w:val="00A87B76"/>
    <w:rsid w:val="00A87CF0"/>
    <w:rsid w:val="00A87DF6"/>
    <w:rsid w:val="00A9001E"/>
    <w:rsid w:val="00A90C9F"/>
    <w:rsid w:val="00A90E09"/>
    <w:rsid w:val="00A90E5E"/>
    <w:rsid w:val="00A911FB"/>
    <w:rsid w:val="00A914F3"/>
    <w:rsid w:val="00A91776"/>
    <w:rsid w:val="00A91791"/>
    <w:rsid w:val="00A91997"/>
    <w:rsid w:val="00A91C89"/>
    <w:rsid w:val="00A92134"/>
    <w:rsid w:val="00A921D5"/>
    <w:rsid w:val="00A9242D"/>
    <w:rsid w:val="00A92665"/>
    <w:rsid w:val="00A92695"/>
    <w:rsid w:val="00A93148"/>
    <w:rsid w:val="00A9343F"/>
    <w:rsid w:val="00A9389D"/>
    <w:rsid w:val="00A939B6"/>
    <w:rsid w:val="00A93B3F"/>
    <w:rsid w:val="00A93CFE"/>
    <w:rsid w:val="00A93EDC"/>
    <w:rsid w:val="00A93FCC"/>
    <w:rsid w:val="00A93FD4"/>
    <w:rsid w:val="00A94059"/>
    <w:rsid w:val="00A94212"/>
    <w:rsid w:val="00A94282"/>
    <w:rsid w:val="00A948C0"/>
    <w:rsid w:val="00A949B8"/>
    <w:rsid w:val="00A94BC4"/>
    <w:rsid w:val="00A94CBE"/>
    <w:rsid w:val="00A94ED8"/>
    <w:rsid w:val="00A9508F"/>
    <w:rsid w:val="00A95296"/>
    <w:rsid w:val="00A952EA"/>
    <w:rsid w:val="00A954A2"/>
    <w:rsid w:val="00A954F0"/>
    <w:rsid w:val="00A9574F"/>
    <w:rsid w:val="00A95841"/>
    <w:rsid w:val="00A95AB3"/>
    <w:rsid w:val="00A95F1F"/>
    <w:rsid w:val="00A96766"/>
    <w:rsid w:val="00A96B6E"/>
    <w:rsid w:val="00A96C82"/>
    <w:rsid w:val="00A96EC0"/>
    <w:rsid w:val="00A96FBC"/>
    <w:rsid w:val="00A97BF5"/>
    <w:rsid w:val="00AA010B"/>
    <w:rsid w:val="00AA0592"/>
    <w:rsid w:val="00AA05AA"/>
    <w:rsid w:val="00AA0607"/>
    <w:rsid w:val="00AA0CD0"/>
    <w:rsid w:val="00AA0FCA"/>
    <w:rsid w:val="00AA13BE"/>
    <w:rsid w:val="00AA13FA"/>
    <w:rsid w:val="00AA1FAE"/>
    <w:rsid w:val="00AA278A"/>
    <w:rsid w:val="00AA2A34"/>
    <w:rsid w:val="00AA2AA2"/>
    <w:rsid w:val="00AA2B5A"/>
    <w:rsid w:val="00AA318F"/>
    <w:rsid w:val="00AA3212"/>
    <w:rsid w:val="00AA35D3"/>
    <w:rsid w:val="00AA3855"/>
    <w:rsid w:val="00AA38B7"/>
    <w:rsid w:val="00AA3925"/>
    <w:rsid w:val="00AA393C"/>
    <w:rsid w:val="00AA39E4"/>
    <w:rsid w:val="00AA3ABA"/>
    <w:rsid w:val="00AA3B50"/>
    <w:rsid w:val="00AA3F5B"/>
    <w:rsid w:val="00AA4048"/>
    <w:rsid w:val="00AA41D2"/>
    <w:rsid w:val="00AA41F1"/>
    <w:rsid w:val="00AA42A7"/>
    <w:rsid w:val="00AA42A9"/>
    <w:rsid w:val="00AA4967"/>
    <w:rsid w:val="00AA4C04"/>
    <w:rsid w:val="00AA4CEF"/>
    <w:rsid w:val="00AA4F6B"/>
    <w:rsid w:val="00AA5000"/>
    <w:rsid w:val="00AA5382"/>
    <w:rsid w:val="00AA539D"/>
    <w:rsid w:val="00AA588D"/>
    <w:rsid w:val="00AA5BC2"/>
    <w:rsid w:val="00AA5D0F"/>
    <w:rsid w:val="00AA5D66"/>
    <w:rsid w:val="00AA5DE7"/>
    <w:rsid w:val="00AA5EDB"/>
    <w:rsid w:val="00AA63D5"/>
    <w:rsid w:val="00AA651C"/>
    <w:rsid w:val="00AA6590"/>
    <w:rsid w:val="00AA74A2"/>
    <w:rsid w:val="00AA7592"/>
    <w:rsid w:val="00AA767C"/>
    <w:rsid w:val="00AB00B2"/>
    <w:rsid w:val="00AB0167"/>
    <w:rsid w:val="00AB044B"/>
    <w:rsid w:val="00AB0555"/>
    <w:rsid w:val="00AB0659"/>
    <w:rsid w:val="00AB069F"/>
    <w:rsid w:val="00AB07F8"/>
    <w:rsid w:val="00AB0828"/>
    <w:rsid w:val="00AB0904"/>
    <w:rsid w:val="00AB09AD"/>
    <w:rsid w:val="00AB0DC5"/>
    <w:rsid w:val="00AB0F32"/>
    <w:rsid w:val="00AB1032"/>
    <w:rsid w:val="00AB10AC"/>
    <w:rsid w:val="00AB1260"/>
    <w:rsid w:val="00AB149D"/>
    <w:rsid w:val="00AB14C6"/>
    <w:rsid w:val="00AB1A9F"/>
    <w:rsid w:val="00AB1CB7"/>
    <w:rsid w:val="00AB1CC0"/>
    <w:rsid w:val="00AB1EB0"/>
    <w:rsid w:val="00AB1ED3"/>
    <w:rsid w:val="00AB2116"/>
    <w:rsid w:val="00AB215D"/>
    <w:rsid w:val="00AB22DE"/>
    <w:rsid w:val="00AB23FB"/>
    <w:rsid w:val="00AB251C"/>
    <w:rsid w:val="00AB25E8"/>
    <w:rsid w:val="00AB2A5D"/>
    <w:rsid w:val="00AB2BC6"/>
    <w:rsid w:val="00AB329C"/>
    <w:rsid w:val="00AB388B"/>
    <w:rsid w:val="00AB3915"/>
    <w:rsid w:val="00AB3AB8"/>
    <w:rsid w:val="00AB3C55"/>
    <w:rsid w:val="00AB3DC3"/>
    <w:rsid w:val="00AB3EB1"/>
    <w:rsid w:val="00AB4952"/>
    <w:rsid w:val="00AB4C86"/>
    <w:rsid w:val="00AB52E4"/>
    <w:rsid w:val="00AB53E6"/>
    <w:rsid w:val="00AB5432"/>
    <w:rsid w:val="00AB5604"/>
    <w:rsid w:val="00AB565D"/>
    <w:rsid w:val="00AB5719"/>
    <w:rsid w:val="00AB58D6"/>
    <w:rsid w:val="00AB5C4B"/>
    <w:rsid w:val="00AB5CBE"/>
    <w:rsid w:val="00AB61D4"/>
    <w:rsid w:val="00AB6217"/>
    <w:rsid w:val="00AB65B5"/>
    <w:rsid w:val="00AB6747"/>
    <w:rsid w:val="00AB6762"/>
    <w:rsid w:val="00AB6821"/>
    <w:rsid w:val="00AB6A8B"/>
    <w:rsid w:val="00AB6C02"/>
    <w:rsid w:val="00AB6D8D"/>
    <w:rsid w:val="00AB6FED"/>
    <w:rsid w:val="00AB72AA"/>
    <w:rsid w:val="00AB73EB"/>
    <w:rsid w:val="00AB7450"/>
    <w:rsid w:val="00AB765D"/>
    <w:rsid w:val="00AB76FB"/>
    <w:rsid w:val="00AB7948"/>
    <w:rsid w:val="00AB796F"/>
    <w:rsid w:val="00AB7A8F"/>
    <w:rsid w:val="00AB7AD3"/>
    <w:rsid w:val="00AB7E8C"/>
    <w:rsid w:val="00AC06D5"/>
    <w:rsid w:val="00AC06E6"/>
    <w:rsid w:val="00AC0731"/>
    <w:rsid w:val="00AC0D69"/>
    <w:rsid w:val="00AC0E19"/>
    <w:rsid w:val="00AC1070"/>
    <w:rsid w:val="00AC1111"/>
    <w:rsid w:val="00AC1161"/>
    <w:rsid w:val="00AC12E0"/>
    <w:rsid w:val="00AC1428"/>
    <w:rsid w:val="00AC14AB"/>
    <w:rsid w:val="00AC1737"/>
    <w:rsid w:val="00AC1936"/>
    <w:rsid w:val="00AC1BD8"/>
    <w:rsid w:val="00AC1DBD"/>
    <w:rsid w:val="00AC21FD"/>
    <w:rsid w:val="00AC2361"/>
    <w:rsid w:val="00AC2EC7"/>
    <w:rsid w:val="00AC30BE"/>
    <w:rsid w:val="00AC30FD"/>
    <w:rsid w:val="00AC331D"/>
    <w:rsid w:val="00AC370E"/>
    <w:rsid w:val="00AC3CD6"/>
    <w:rsid w:val="00AC3CDB"/>
    <w:rsid w:val="00AC3CE7"/>
    <w:rsid w:val="00AC4263"/>
    <w:rsid w:val="00AC4510"/>
    <w:rsid w:val="00AC4562"/>
    <w:rsid w:val="00AC49E7"/>
    <w:rsid w:val="00AC4AB9"/>
    <w:rsid w:val="00AC4D5B"/>
    <w:rsid w:val="00AC515C"/>
    <w:rsid w:val="00AC5779"/>
    <w:rsid w:val="00AC57F0"/>
    <w:rsid w:val="00AC6061"/>
    <w:rsid w:val="00AC62EA"/>
    <w:rsid w:val="00AC637F"/>
    <w:rsid w:val="00AC6A6F"/>
    <w:rsid w:val="00AC6DF0"/>
    <w:rsid w:val="00AC7109"/>
    <w:rsid w:val="00AC71EF"/>
    <w:rsid w:val="00AC7259"/>
    <w:rsid w:val="00AC775A"/>
    <w:rsid w:val="00AC7974"/>
    <w:rsid w:val="00AC7A9C"/>
    <w:rsid w:val="00AC7B81"/>
    <w:rsid w:val="00AC7B88"/>
    <w:rsid w:val="00AC7F75"/>
    <w:rsid w:val="00AD01B4"/>
    <w:rsid w:val="00AD023B"/>
    <w:rsid w:val="00AD048D"/>
    <w:rsid w:val="00AD0B81"/>
    <w:rsid w:val="00AD0D08"/>
    <w:rsid w:val="00AD0F48"/>
    <w:rsid w:val="00AD17D7"/>
    <w:rsid w:val="00AD19CB"/>
    <w:rsid w:val="00AD1E15"/>
    <w:rsid w:val="00AD2361"/>
    <w:rsid w:val="00AD23A6"/>
    <w:rsid w:val="00AD2806"/>
    <w:rsid w:val="00AD299A"/>
    <w:rsid w:val="00AD2A29"/>
    <w:rsid w:val="00AD2A2B"/>
    <w:rsid w:val="00AD2DFD"/>
    <w:rsid w:val="00AD2E2A"/>
    <w:rsid w:val="00AD2E37"/>
    <w:rsid w:val="00AD320F"/>
    <w:rsid w:val="00AD3390"/>
    <w:rsid w:val="00AD3559"/>
    <w:rsid w:val="00AD38FA"/>
    <w:rsid w:val="00AD3B09"/>
    <w:rsid w:val="00AD3C87"/>
    <w:rsid w:val="00AD3E45"/>
    <w:rsid w:val="00AD3F48"/>
    <w:rsid w:val="00AD454F"/>
    <w:rsid w:val="00AD4A66"/>
    <w:rsid w:val="00AD4B0C"/>
    <w:rsid w:val="00AD4C2B"/>
    <w:rsid w:val="00AD527F"/>
    <w:rsid w:val="00AD535E"/>
    <w:rsid w:val="00AD54E3"/>
    <w:rsid w:val="00AD58FA"/>
    <w:rsid w:val="00AD5C9F"/>
    <w:rsid w:val="00AD5CF2"/>
    <w:rsid w:val="00AD5DB2"/>
    <w:rsid w:val="00AD614B"/>
    <w:rsid w:val="00AD63D8"/>
    <w:rsid w:val="00AD6578"/>
    <w:rsid w:val="00AD6839"/>
    <w:rsid w:val="00AD6A52"/>
    <w:rsid w:val="00AD6B7E"/>
    <w:rsid w:val="00AD6DE1"/>
    <w:rsid w:val="00AD6EB3"/>
    <w:rsid w:val="00AD718E"/>
    <w:rsid w:val="00AD7607"/>
    <w:rsid w:val="00AD768F"/>
    <w:rsid w:val="00AD7B42"/>
    <w:rsid w:val="00AD7D4A"/>
    <w:rsid w:val="00AD7F76"/>
    <w:rsid w:val="00AE0000"/>
    <w:rsid w:val="00AE001C"/>
    <w:rsid w:val="00AE0259"/>
    <w:rsid w:val="00AE0658"/>
    <w:rsid w:val="00AE097A"/>
    <w:rsid w:val="00AE0990"/>
    <w:rsid w:val="00AE0C59"/>
    <w:rsid w:val="00AE0F0C"/>
    <w:rsid w:val="00AE123D"/>
    <w:rsid w:val="00AE1673"/>
    <w:rsid w:val="00AE16F5"/>
    <w:rsid w:val="00AE1791"/>
    <w:rsid w:val="00AE1A56"/>
    <w:rsid w:val="00AE1CED"/>
    <w:rsid w:val="00AE1E34"/>
    <w:rsid w:val="00AE1F1C"/>
    <w:rsid w:val="00AE1F1F"/>
    <w:rsid w:val="00AE2521"/>
    <w:rsid w:val="00AE26A5"/>
    <w:rsid w:val="00AE2850"/>
    <w:rsid w:val="00AE29D9"/>
    <w:rsid w:val="00AE2CA2"/>
    <w:rsid w:val="00AE2CEF"/>
    <w:rsid w:val="00AE2CFF"/>
    <w:rsid w:val="00AE3588"/>
    <w:rsid w:val="00AE38BE"/>
    <w:rsid w:val="00AE391D"/>
    <w:rsid w:val="00AE3958"/>
    <w:rsid w:val="00AE3E80"/>
    <w:rsid w:val="00AE4566"/>
    <w:rsid w:val="00AE481E"/>
    <w:rsid w:val="00AE4A5C"/>
    <w:rsid w:val="00AE4C72"/>
    <w:rsid w:val="00AE5085"/>
    <w:rsid w:val="00AE52BA"/>
    <w:rsid w:val="00AE56B7"/>
    <w:rsid w:val="00AE5852"/>
    <w:rsid w:val="00AE6493"/>
    <w:rsid w:val="00AE64DC"/>
    <w:rsid w:val="00AE691D"/>
    <w:rsid w:val="00AE6AD7"/>
    <w:rsid w:val="00AE6E58"/>
    <w:rsid w:val="00AE7193"/>
    <w:rsid w:val="00AE730C"/>
    <w:rsid w:val="00AE7572"/>
    <w:rsid w:val="00AE769A"/>
    <w:rsid w:val="00AE7713"/>
    <w:rsid w:val="00AE7755"/>
    <w:rsid w:val="00AE7790"/>
    <w:rsid w:val="00AE77DB"/>
    <w:rsid w:val="00AE7870"/>
    <w:rsid w:val="00AE7A76"/>
    <w:rsid w:val="00AE7C21"/>
    <w:rsid w:val="00AE7DA9"/>
    <w:rsid w:val="00AE7E60"/>
    <w:rsid w:val="00AF023C"/>
    <w:rsid w:val="00AF04E6"/>
    <w:rsid w:val="00AF06E9"/>
    <w:rsid w:val="00AF07CA"/>
    <w:rsid w:val="00AF08F5"/>
    <w:rsid w:val="00AF0A9D"/>
    <w:rsid w:val="00AF0AB6"/>
    <w:rsid w:val="00AF0C45"/>
    <w:rsid w:val="00AF0DC0"/>
    <w:rsid w:val="00AF1317"/>
    <w:rsid w:val="00AF15B9"/>
    <w:rsid w:val="00AF16DE"/>
    <w:rsid w:val="00AF1B2F"/>
    <w:rsid w:val="00AF1CAD"/>
    <w:rsid w:val="00AF227D"/>
    <w:rsid w:val="00AF246E"/>
    <w:rsid w:val="00AF27AE"/>
    <w:rsid w:val="00AF3116"/>
    <w:rsid w:val="00AF333A"/>
    <w:rsid w:val="00AF359A"/>
    <w:rsid w:val="00AF35F0"/>
    <w:rsid w:val="00AF3772"/>
    <w:rsid w:val="00AF3A4D"/>
    <w:rsid w:val="00AF3C1B"/>
    <w:rsid w:val="00AF3F4C"/>
    <w:rsid w:val="00AF4692"/>
    <w:rsid w:val="00AF4A3A"/>
    <w:rsid w:val="00AF4B38"/>
    <w:rsid w:val="00AF4B93"/>
    <w:rsid w:val="00AF4BB4"/>
    <w:rsid w:val="00AF518E"/>
    <w:rsid w:val="00AF555B"/>
    <w:rsid w:val="00AF58AB"/>
    <w:rsid w:val="00AF5ED4"/>
    <w:rsid w:val="00AF63E2"/>
    <w:rsid w:val="00AF6459"/>
    <w:rsid w:val="00AF6475"/>
    <w:rsid w:val="00AF654E"/>
    <w:rsid w:val="00AF65A2"/>
    <w:rsid w:val="00AF6AF3"/>
    <w:rsid w:val="00AF6B03"/>
    <w:rsid w:val="00AF6CCA"/>
    <w:rsid w:val="00AF6D8F"/>
    <w:rsid w:val="00AF6F3C"/>
    <w:rsid w:val="00AF6FF5"/>
    <w:rsid w:val="00AF71CD"/>
    <w:rsid w:val="00AF7298"/>
    <w:rsid w:val="00AF76B9"/>
    <w:rsid w:val="00AF78BE"/>
    <w:rsid w:val="00AF7E3F"/>
    <w:rsid w:val="00AF7E65"/>
    <w:rsid w:val="00AF7F04"/>
    <w:rsid w:val="00B00235"/>
    <w:rsid w:val="00B0035D"/>
    <w:rsid w:val="00B00A71"/>
    <w:rsid w:val="00B00D56"/>
    <w:rsid w:val="00B00F5A"/>
    <w:rsid w:val="00B01016"/>
    <w:rsid w:val="00B0126C"/>
    <w:rsid w:val="00B01672"/>
    <w:rsid w:val="00B01685"/>
    <w:rsid w:val="00B017ED"/>
    <w:rsid w:val="00B01CE7"/>
    <w:rsid w:val="00B02089"/>
    <w:rsid w:val="00B02646"/>
    <w:rsid w:val="00B02A2E"/>
    <w:rsid w:val="00B02DD3"/>
    <w:rsid w:val="00B03236"/>
    <w:rsid w:val="00B03263"/>
    <w:rsid w:val="00B0335A"/>
    <w:rsid w:val="00B03835"/>
    <w:rsid w:val="00B0399C"/>
    <w:rsid w:val="00B03CC1"/>
    <w:rsid w:val="00B0465C"/>
    <w:rsid w:val="00B046CE"/>
    <w:rsid w:val="00B049D6"/>
    <w:rsid w:val="00B04D57"/>
    <w:rsid w:val="00B04DD4"/>
    <w:rsid w:val="00B04FB6"/>
    <w:rsid w:val="00B04FFF"/>
    <w:rsid w:val="00B05002"/>
    <w:rsid w:val="00B05047"/>
    <w:rsid w:val="00B0519A"/>
    <w:rsid w:val="00B0568F"/>
    <w:rsid w:val="00B057E8"/>
    <w:rsid w:val="00B058AC"/>
    <w:rsid w:val="00B059EF"/>
    <w:rsid w:val="00B062C1"/>
    <w:rsid w:val="00B06522"/>
    <w:rsid w:val="00B065E3"/>
    <w:rsid w:val="00B06908"/>
    <w:rsid w:val="00B06B26"/>
    <w:rsid w:val="00B06C9D"/>
    <w:rsid w:val="00B06EEA"/>
    <w:rsid w:val="00B0709F"/>
    <w:rsid w:val="00B072B5"/>
    <w:rsid w:val="00B072C9"/>
    <w:rsid w:val="00B0731D"/>
    <w:rsid w:val="00B074B2"/>
    <w:rsid w:val="00B07EA2"/>
    <w:rsid w:val="00B10009"/>
    <w:rsid w:val="00B10087"/>
    <w:rsid w:val="00B104DE"/>
    <w:rsid w:val="00B1057A"/>
    <w:rsid w:val="00B10580"/>
    <w:rsid w:val="00B10917"/>
    <w:rsid w:val="00B10B09"/>
    <w:rsid w:val="00B10C53"/>
    <w:rsid w:val="00B1109F"/>
    <w:rsid w:val="00B11509"/>
    <w:rsid w:val="00B11717"/>
    <w:rsid w:val="00B11819"/>
    <w:rsid w:val="00B118A5"/>
    <w:rsid w:val="00B118EC"/>
    <w:rsid w:val="00B11A44"/>
    <w:rsid w:val="00B11C7D"/>
    <w:rsid w:val="00B11D25"/>
    <w:rsid w:val="00B1259F"/>
    <w:rsid w:val="00B12EC6"/>
    <w:rsid w:val="00B12FA4"/>
    <w:rsid w:val="00B1306C"/>
    <w:rsid w:val="00B130FF"/>
    <w:rsid w:val="00B13369"/>
    <w:rsid w:val="00B13720"/>
    <w:rsid w:val="00B137A9"/>
    <w:rsid w:val="00B13856"/>
    <w:rsid w:val="00B13B23"/>
    <w:rsid w:val="00B13C91"/>
    <w:rsid w:val="00B13E63"/>
    <w:rsid w:val="00B13F91"/>
    <w:rsid w:val="00B1414B"/>
    <w:rsid w:val="00B14513"/>
    <w:rsid w:val="00B1478E"/>
    <w:rsid w:val="00B14B4C"/>
    <w:rsid w:val="00B14CBB"/>
    <w:rsid w:val="00B14D56"/>
    <w:rsid w:val="00B153D6"/>
    <w:rsid w:val="00B153E5"/>
    <w:rsid w:val="00B1549F"/>
    <w:rsid w:val="00B15564"/>
    <w:rsid w:val="00B15827"/>
    <w:rsid w:val="00B15EF2"/>
    <w:rsid w:val="00B16180"/>
    <w:rsid w:val="00B163F9"/>
    <w:rsid w:val="00B16801"/>
    <w:rsid w:val="00B16955"/>
    <w:rsid w:val="00B16A75"/>
    <w:rsid w:val="00B16ACC"/>
    <w:rsid w:val="00B16DAF"/>
    <w:rsid w:val="00B16E9B"/>
    <w:rsid w:val="00B16EF4"/>
    <w:rsid w:val="00B16FE4"/>
    <w:rsid w:val="00B17288"/>
    <w:rsid w:val="00B1759D"/>
    <w:rsid w:val="00B176DE"/>
    <w:rsid w:val="00B177BD"/>
    <w:rsid w:val="00B17DE3"/>
    <w:rsid w:val="00B17FCC"/>
    <w:rsid w:val="00B203D9"/>
    <w:rsid w:val="00B2046D"/>
    <w:rsid w:val="00B20552"/>
    <w:rsid w:val="00B207DC"/>
    <w:rsid w:val="00B20972"/>
    <w:rsid w:val="00B20D45"/>
    <w:rsid w:val="00B20F68"/>
    <w:rsid w:val="00B21224"/>
    <w:rsid w:val="00B2163B"/>
    <w:rsid w:val="00B216B2"/>
    <w:rsid w:val="00B21EC3"/>
    <w:rsid w:val="00B22033"/>
    <w:rsid w:val="00B22098"/>
    <w:rsid w:val="00B22125"/>
    <w:rsid w:val="00B22348"/>
    <w:rsid w:val="00B22511"/>
    <w:rsid w:val="00B2265E"/>
    <w:rsid w:val="00B2302F"/>
    <w:rsid w:val="00B230E7"/>
    <w:rsid w:val="00B230FF"/>
    <w:rsid w:val="00B2329F"/>
    <w:rsid w:val="00B23334"/>
    <w:rsid w:val="00B2371D"/>
    <w:rsid w:val="00B23EEB"/>
    <w:rsid w:val="00B24234"/>
    <w:rsid w:val="00B2450B"/>
    <w:rsid w:val="00B24864"/>
    <w:rsid w:val="00B2495B"/>
    <w:rsid w:val="00B24AFB"/>
    <w:rsid w:val="00B24E94"/>
    <w:rsid w:val="00B250F1"/>
    <w:rsid w:val="00B254A7"/>
    <w:rsid w:val="00B25601"/>
    <w:rsid w:val="00B257C4"/>
    <w:rsid w:val="00B25833"/>
    <w:rsid w:val="00B25C08"/>
    <w:rsid w:val="00B25C14"/>
    <w:rsid w:val="00B25F86"/>
    <w:rsid w:val="00B260C3"/>
    <w:rsid w:val="00B26430"/>
    <w:rsid w:val="00B264AA"/>
    <w:rsid w:val="00B26744"/>
    <w:rsid w:val="00B26A21"/>
    <w:rsid w:val="00B26B54"/>
    <w:rsid w:val="00B26F5C"/>
    <w:rsid w:val="00B27104"/>
    <w:rsid w:val="00B27148"/>
    <w:rsid w:val="00B273D1"/>
    <w:rsid w:val="00B275B5"/>
    <w:rsid w:val="00B2775A"/>
    <w:rsid w:val="00B27FD0"/>
    <w:rsid w:val="00B3016C"/>
    <w:rsid w:val="00B30181"/>
    <w:rsid w:val="00B3049B"/>
    <w:rsid w:val="00B3067A"/>
    <w:rsid w:val="00B30777"/>
    <w:rsid w:val="00B30CE1"/>
    <w:rsid w:val="00B31601"/>
    <w:rsid w:val="00B318CB"/>
    <w:rsid w:val="00B319E0"/>
    <w:rsid w:val="00B31F54"/>
    <w:rsid w:val="00B32212"/>
    <w:rsid w:val="00B32244"/>
    <w:rsid w:val="00B324C4"/>
    <w:rsid w:val="00B32630"/>
    <w:rsid w:val="00B33281"/>
    <w:rsid w:val="00B33636"/>
    <w:rsid w:val="00B338FD"/>
    <w:rsid w:val="00B3393B"/>
    <w:rsid w:val="00B33D20"/>
    <w:rsid w:val="00B33D4F"/>
    <w:rsid w:val="00B34027"/>
    <w:rsid w:val="00B341DA"/>
    <w:rsid w:val="00B34353"/>
    <w:rsid w:val="00B3438B"/>
    <w:rsid w:val="00B34435"/>
    <w:rsid w:val="00B345E1"/>
    <w:rsid w:val="00B3474E"/>
    <w:rsid w:val="00B34788"/>
    <w:rsid w:val="00B34938"/>
    <w:rsid w:val="00B34D20"/>
    <w:rsid w:val="00B34D8C"/>
    <w:rsid w:val="00B34E86"/>
    <w:rsid w:val="00B34EB5"/>
    <w:rsid w:val="00B34EF9"/>
    <w:rsid w:val="00B34FAF"/>
    <w:rsid w:val="00B35195"/>
    <w:rsid w:val="00B3528D"/>
    <w:rsid w:val="00B35654"/>
    <w:rsid w:val="00B35A90"/>
    <w:rsid w:val="00B35D4B"/>
    <w:rsid w:val="00B35D70"/>
    <w:rsid w:val="00B364F4"/>
    <w:rsid w:val="00B366C1"/>
    <w:rsid w:val="00B3672E"/>
    <w:rsid w:val="00B36757"/>
    <w:rsid w:val="00B36A4D"/>
    <w:rsid w:val="00B36A85"/>
    <w:rsid w:val="00B36ED0"/>
    <w:rsid w:val="00B36F00"/>
    <w:rsid w:val="00B37388"/>
    <w:rsid w:val="00B37588"/>
    <w:rsid w:val="00B37837"/>
    <w:rsid w:val="00B379FC"/>
    <w:rsid w:val="00B37CBD"/>
    <w:rsid w:val="00B40118"/>
    <w:rsid w:val="00B40153"/>
    <w:rsid w:val="00B40265"/>
    <w:rsid w:val="00B40345"/>
    <w:rsid w:val="00B40B77"/>
    <w:rsid w:val="00B410CA"/>
    <w:rsid w:val="00B4129F"/>
    <w:rsid w:val="00B416F6"/>
    <w:rsid w:val="00B41731"/>
    <w:rsid w:val="00B419B6"/>
    <w:rsid w:val="00B419FC"/>
    <w:rsid w:val="00B41A78"/>
    <w:rsid w:val="00B4207C"/>
    <w:rsid w:val="00B421A3"/>
    <w:rsid w:val="00B4227D"/>
    <w:rsid w:val="00B423D6"/>
    <w:rsid w:val="00B424FF"/>
    <w:rsid w:val="00B4259B"/>
    <w:rsid w:val="00B427D5"/>
    <w:rsid w:val="00B42826"/>
    <w:rsid w:val="00B42C9F"/>
    <w:rsid w:val="00B42CDB"/>
    <w:rsid w:val="00B42E75"/>
    <w:rsid w:val="00B4308C"/>
    <w:rsid w:val="00B43364"/>
    <w:rsid w:val="00B4348D"/>
    <w:rsid w:val="00B43569"/>
    <w:rsid w:val="00B439DB"/>
    <w:rsid w:val="00B43B62"/>
    <w:rsid w:val="00B43ED7"/>
    <w:rsid w:val="00B441E5"/>
    <w:rsid w:val="00B443CD"/>
    <w:rsid w:val="00B44614"/>
    <w:rsid w:val="00B44696"/>
    <w:rsid w:val="00B448A3"/>
    <w:rsid w:val="00B448BD"/>
    <w:rsid w:val="00B44B85"/>
    <w:rsid w:val="00B453C0"/>
    <w:rsid w:val="00B45718"/>
    <w:rsid w:val="00B457A9"/>
    <w:rsid w:val="00B45B2C"/>
    <w:rsid w:val="00B45DFB"/>
    <w:rsid w:val="00B460E6"/>
    <w:rsid w:val="00B462D6"/>
    <w:rsid w:val="00B463E1"/>
    <w:rsid w:val="00B46660"/>
    <w:rsid w:val="00B4676B"/>
    <w:rsid w:val="00B46889"/>
    <w:rsid w:val="00B468BB"/>
    <w:rsid w:val="00B46A1B"/>
    <w:rsid w:val="00B470A5"/>
    <w:rsid w:val="00B4720C"/>
    <w:rsid w:val="00B47418"/>
    <w:rsid w:val="00B47D06"/>
    <w:rsid w:val="00B500FC"/>
    <w:rsid w:val="00B50B81"/>
    <w:rsid w:val="00B50CCD"/>
    <w:rsid w:val="00B511FC"/>
    <w:rsid w:val="00B513F6"/>
    <w:rsid w:val="00B5142E"/>
    <w:rsid w:val="00B51706"/>
    <w:rsid w:val="00B51907"/>
    <w:rsid w:val="00B51965"/>
    <w:rsid w:val="00B51D35"/>
    <w:rsid w:val="00B51E31"/>
    <w:rsid w:val="00B51ED2"/>
    <w:rsid w:val="00B51F2F"/>
    <w:rsid w:val="00B520C4"/>
    <w:rsid w:val="00B521C4"/>
    <w:rsid w:val="00B5255E"/>
    <w:rsid w:val="00B52679"/>
    <w:rsid w:val="00B526F4"/>
    <w:rsid w:val="00B5279B"/>
    <w:rsid w:val="00B52A2F"/>
    <w:rsid w:val="00B52B78"/>
    <w:rsid w:val="00B53212"/>
    <w:rsid w:val="00B53248"/>
    <w:rsid w:val="00B535C3"/>
    <w:rsid w:val="00B53626"/>
    <w:rsid w:val="00B53658"/>
    <w:rsid w:val="00B5365A"/>
    <w:rsid w:val="00B53D5E"/>
    <w:rsid w:val="00B53D83"/>
    <w:rsid w:val="00B54236"/>
    <w:rsid w:val="00B5428C"/>
    <w:rsid w:val="00B542B9"/>
    <w:rsid w:val="00B544D7"/>
    <w:rsid w:val="00B545E3"/>
    <w:rsid w:val="00B54DBA"/>
    <w:rsid w:val="00B54F66"/>
    <w:rsid w:val="00B550EC"/>
    <w:rsid w:val="00B55585"/>
    <w:rsid w:val="00B55B80"/>
    <w:rsid w:val="00B55C0C"/>
    <w:rsid w:val="00B5614A"/>
    <w:rsid w:val="00B562EE"/>
    <w:rsid w:val="00B5646E"/>
    <w:rsid w:val="00B565AC"/>
    <w:rsid w:val="00B5667E"/>
    <w:rsid w:val="00B56680"/>
    <w:rsid w:val="00B56A9B"/>
    <w:rsid w:val="00B56BAD"/>
    <w:rsid w:val="00B57292"/>
    <w:rsid w:val="00B5747F"/>
    <w:rsid w:val="00B574AF"/>
    <w:rsid w:val="00B5754E"/>
    <w:rsid w:val="00B578D4"/>
    <w:rsid w:val="00B578FC"/>
    <w:rsid w:val="00B57A80"/>
    <w:rsid w:val="00B57F68"/>
    <w:rsid w:val="00B60175"/>
    <w:rsid w:val="00B60651"/>
    <w:rsid w:val="00B60738"/>
    <w:rsid w:val="00B608A8"/>
    <w:rsid w:val="00B610DF"/>
    <w:rsid w:val="00B61368"/>
    <w:rsid w:val="00B6142F"/>
    <w:rsid w:val="00B615FD"/>
    <w:rsid w:val="00B61677"/>
    <w:rsid w:val="00B616AC"/>
    <w:rsid w:val="00B61963"/>
    <w:rsid w:val="00B6197F"/>
    <w:rsid w:val="00B61A4F"/>
    <w:rsid w:val="00B61BBB"/>
    <w:rsid w:val="00B61DBD"/>
    <w:rsid w:val="00B6206B"/>
    <w:rsid w:val="00B62085"/>
    <w:rsid w:val="00B6222B"/>
    <w:rsid w:val="00B62304"/>
    <w:rsid w:val="00B623E4"/>
    <w:rsid w:val="00B62419"/>
    <w:rsid w:val="00B62480"/>
    <w:rsid w:val="00B62879"/>
    <w:rsid w:val="00B629BD"/>
    <w:rsid w:val="00B62C1B"/>
    <w:rsid w:val="00B6357D"/>
    <w:rsid w:val="00B638CA"/>
    <w:rsid w:val="00B639F3"/>
    <w:rsid w:val="00B63A8D"/>
    <w:rsid w:val="00B63AEF"/>
    <w:rsid w:val="00B63B07"/>
    <w:rsid w:val="00B63CA5"/>
    <w:rsid w:val="00B63E77"/>
    <w:rsid w:val="00B6403A"/>
    <w:rsid w:val="00B64254"/>
    <w:rsid w:val="00B64365"/>
    <w:rsid w:val="00B64484"/>
    <w:rsid w:val="00B64490"/>
    <w:rsid w:val="00B647A0"/>
    <w:rsid w:val="00B647F5"/>
    <w:rsid w:val="00B64A26"/>
    <w:rsid w:val="00B64BB3"/>
    <w:rsid w:val="00B64FF5"/>
    <w:rsid w:val="00B65118"/>
    <w:rsid w:val="00B65449"/>
    <w:rsid w:val="00B65507"/>
    <w:rsid w:val="00B65722"/>
    <w:rsid w:val="00B658CF"/>
    <w:rsid w:val="00B660BA"/>
    <w:rsid w:val="00B660E0"/>
    <w:rsid w:val="00B66CC9"/>
    <w:rsid w:val="00B67054"/>
    <w:rsid w:val="00B67188"/>
    <w:rsid w:val="00B67500"/>
    <w:rsid w:val="00B679EE"/>
    <w:rsid w:val="00B67A41"/>
    <w:rsid w:val="00B67AEA"/>
    <w:rsid w:val="00B67F9E"/>
    <w:rsid w:val="00B702E3"/>
    <w:rsid w:val="00B704FD"/>
    <w:rsid w:val="00B706C9"/>
    <w:rsid w:val="00B70885"/>
    <w:rsid w:val="00B7098D"/>
    <w:rsid w:val="00B70A7B"/>
    <w:rsid w:val="00B70B65"/>
    <w:rsid w:val="00B70D56"/>
    <w:rsid w:val="00B717AE"/>
    <w:rsid w:val="00B71849"/>
    <w:rsid w:val="00B71F47"/>
    <w:rsid w:val="00B72049"/>
    <w:rsid w:val="00B720AB"/>
    <w:rsid w:val="00B72523"/>
    <w:rsid w:val="00B726F3"/>
    <w:rsid w:val="00B72E6D"/>
    <w:rsid w:val="00B72FDF"/>
    <w:rsid w:val="00B731D2"/>
    <w:rsid w:val="00B73472"/>
    <w:rsid w:val="00B736A4"/>
    <w:rsid w:val="00B73D6E"/>
    <w:rsid w:val="00B7409D"/>
    <w:rsid w:val="00B7423E"/>
    <w:rsid w:val="00B742B0"/>
    <w:rsid w:val="00B742D9"/>
    <w:rsid w:val="00B74505"/>
    <w:rsid w:val="00B746A9"/>
    <w:rsid w:val="00B74748"/>
    <w:rsid w:val="00B74AD1"/>
    <w:rsid w:val="00B74DD1"/>
    <w:rsid w:val="00B75288"/>
    <w:rsid w:val="00B75642"/>
    <w:rsid w:val="00B75ACD"/>
    <w:rsid w:val="00B75BB0"/>
    <w:rsid w:val="00B7606C"/>
    <w:rsid w:val="00B760F2"/>
    <w:rsid w:val="00B76136"/>
    <w:rsid w:val="00B762E1"/>
    <w:rsid w:val="00B764E7"/>
    <w:rsid w:val="00B76787"/>
    <w:rsid w:val="00B767BC"/>
    <w:rsid w:val="00B768D0"/>
    <w:rsid w:val="00B76C35"/>
    <w:rsid w:val="00B76DA7"/>
    <w:rsid w:val="00B76E98"/>
    <w:rsid w:val="00B77703"/>
    <w:rsid w:val="00B7775B"/>
    <w:rsid w:val="00B777A0"/>
    <w:rsid w:val="00B77974"/>
    <w:rsid w:val="00B77992"/>
    <w:rsid w:val="00B77B5E"/>
    <w:rsid w:val="00B77B99"/>
    <w:rsid w:val="00B77E94"/>
    <w:rsid w:val="00B803C9"/>
    <w:rsid w:val="00B806DF"/>
    <w:rsid w:val="00B80D8A"/>
    <w:rsid w:val="00B81042"/>
    <w:rsid w:val="00B8104A"/>
    <w:rsid w:val="00B81578"/>
    <w:rsid w:val="00B8181F"/>
    <w:rsid w:val="00B81954"/>
    <w:rsid w:val="00B81DEA"/>
    <w:rsid w:val="00B81E8C"/>
    <w:rsid w:val="00B82078"/>
    <w:rsid w:val="00B8209F"/>
    <w:rsid w:val="00B8218A"/>
    <w:rsid w:val="00B82447"/>
    <w:rsid w:val="00B8262C"/>
    <w:rsid w:val="00B828DD"/>
    <w:rsid w:val="00B8294C"/>
    <w:rsid w:val="00B83116"/>
    <w:rsid w:val="00B83126"/>
    <w:rsid w:val="00B831C7"/>
    <w:rsid w:val="00B8329F"/>
    <w:rsid w:val="00B834B1"/>
    <w:rsid w:val="00B8390F"/>
    <w:rsid w:val="00B83B0F"/>
    <w:rsid w:val="00B83C06"/>
    <w:rsid w:val="00B83E48"/>
    <w:rsid w:val="00B841FB"/>
    <w:rsid w:val="00B844E5"/>
    <w:rsid w:val="00B845B2"/>
    <w:rsid w:val="00B84B2E"/>
    <w:rsid w:val="00B84E97"/>
    <w:rsid w:val="00B8511E"/>
    <w:rsid w:val="00B85958"/>
    <w:rsid w:val="00B85AC6"/>
    <w:rsid w:val="00B85FA7"/>
    <w:rsid w:val="00B8615D"/>
    <w:rsid w:val="00B861A8"/>
    <w:rsid w:val="00B8658B"/>
    <w:rsid w:val="00B865E5"/>
    <w:rsid w:val="00B866BE"/>
    <w:rsid w:val="00B86991"/>
    <w:rsid w:val="00B86997"/>
    <w:rsid w:val="00B86AD4"/>
    <w:rsid w:val="00B86AE9"/>
    <w:rsid w:val="00B86D09"/>
    <w:rsid w:val="00B8729C"/>
    <w:rsid w:val="00B87545"/>
    <w:rsid w:val="00B87A22"/>
    <w:rsid w:val="00B90040"/>
    <w:rsid w:val="00B904B1"/>
    <w:rsid w:val="00B90BB6"/>
    <w:rsid w:val="00B911D6"/>
    <w:rsid w:val="00B91631"/>
    <w:rsid w:val="00B91665"/>
    <w:rsid w:val="00B91759"/>
    <w:rsid w:val="00B9213C"/>
    <w:rsid w:val="00B9232D"/>
    <w:rsid w:val="00B925AE"/>
    <w:rsid w:val="00B92770"/>
    <w:rsid w:val="00B92ABD"/>
    <w:rsid w:val="00B932F4"/>
    <w:rsid w:val="00B93718"/>
    <w:rsid w:val="00B93836"/>
    <w:rsid w:val="00B938C8"/>
    <w:rsid w:val="00B938F0"/>
    <w:rsid w:val="00B9397F"/>
    <w:rsid w:val="00B93B14"/>
    <w:rsid w:val="00B93CB4"/>
    <w:rsid w:val="00B94264"/>
    <w:rsid w:val="00B943D1"/>
    <w:rsid w:val="00B94555"/>
    <w:rsid w:val="00B94563"/>
    <w:rsid w:val="00B946CE"/>
    <w:rsid w:val="00B94703"/>
    <w:rsid w:val="00B947B0"/>
    <w:rsid w:val="00B94841"/>
    <w:rsid w:val="00B948CC"/>
    <w:rsid w:val="00B94982"/>
    <w:rsid w:val="00B949CE"/>
    <w:rsid w:val="00B94B91"/>
    <w:rsid w:val="00B957C7"/>
    <w:rsid w:val="00B95848"/>
    <w:rsid w:val="00B95D8C"/>
    <w:rsid w:val="00B95EC3"/>
    <w:rsid w:val="00B95F51"/>
    <w:rsid w:val="00B961EA"/>
    <w:rsid w:val="00B96219"/>
    <w:rsid w:val="00B96333"/>
    <w:rsid w:val="00B96516"/>
    <w:rsid w:val="00B966CF"/>
    <w:rsid w:val="00B967DE"/>
    <w:rsid w:val="00B969E0"/>
    <w:rsid w:val="00B96DE5"/>
    <w:rsid w:val="00B96F19"/>
    <w:rsid w:val="00B970A4"/>
    <w:rsid w:val="00B97240"/>
    <w:rsid w:val="00B9733A"/>
    <w:rsid w:val="00B97627"/>
    <w:rsid w:val="00B978D0"/>
    <w:rsid w:val="00B97B40"/>
    <w:rsid w:val="00B97EDF"/>
    <w:rsid w:val="00B97F07"/>
    <w:rsid w:val="00BA00F0"/>
    <w:rsid w:val="00BA03BA"/>
    <w:rsid w:val="00BA0568"/>
    <w:rsid w:val="00BA0898"/>
    <w:rsid w:val="00BA0B6D"/>
    <w:rsid w:val="00BA0C1E"/>
    <w:rsid w:val="00BA0C92"/>
    <w:rsid w:val="00BA0FF5"/>
    <w:rsid w:val="00BA1236"/>
    <w:rsid w:val="00BA1417"/>
    <w:rsid w:val="00BA1B28"/>
    <w:rsid w:val="00BA1C17"/>
    <w:rsid w:val="00BA2A2C"/>
    <w:rsid w:val="00BA2EDD"/>
    <w:rsid w:val="00BA32E9"/>
    <w:rsid w:val="00BA332A"/>
    <w:rsid w:val="00BA34B2"/>
    <w:rsid w:val="00BA35C5"/>
    <w:rsid w:val="00BA36AF"/>
    <w:rsid w:val="00BA37BD"/>
    <w:rsid w:val="00BA399D"/>
    <w:rsid w:val="00BA3C36"/>
    <w:rsid w:val="00BA468F"/>
    <w:rsid w:val="00BA476E"/>
    <w:rsid w:val="00BA4B20"/>
    <w:rsid w:val="00BA4E43"/>
    <w:rsid w:val="00BA5193"/>
    <w:rsid w:val="00BA52D9"/>
    <w:rsid w:val="00BA575C"/>
    <w:rsid w:val="00BA5898"/>
    <w:rsid w:val="00BA5C07"/>
    <w:rsid w:val="00BA5E2C"/>
    <w:rsid w:val="00BA5E5A"/>
    <w:rsid w:val="00BA5E72"/>
    <w:rsid w:val="00BA5EDA"/>
    <w:rsid w:val="00BA6566"/>
    <w:rsid w:val="00BA69AD"/>
    <w:rsid w:val="00BA6C80"/>
    <w:rsid w:val="00BA6FBF"/>
    <w:rsid w:val="00BA76F9"/>
    <w:rsid w:val="00BA77D8"/>
    <w:rsid w:val="00BA78A4"/>
    <w:rsid w:val="00BA7B10"/>
    <w:rsid w:val="00BA7C02"/>
    <w:rsid w:val="00BA7C9A"/>
    <w:rsid w:val="00BA7D45"/>
    <w:rsid w:val="00BB0105"/>
    <w:rsid w:val="00BB041F"/>
    <w:rsid w:val="00BB0725"/>
    <w:rsid w:val="00BB14D5"/>
    <w:rsid w:val="00BB2060"/>
    <w:rsid w:val="00BB20DB"/>
    <w:rsid w:val="00BB22A1"/>
    <w:rsid w:val="00BB250E"/>
    <w:rsid w:val="00BB2C07"/>
    <w:rsid w:val="00BB2E8A"/>
    <w:rsid w:val="00BB2FF6"/>
    <w:rsid w:val="00BB3392"/>
    <w:rsid w:val="00BB3596"/>
    <w:rsid w:val="00BB35CE"/>
    <w:rsid w:val="00BB3666"/>
    <w:rsid w:val="00BB3713"/>
    <w:rsid w:val="00BB392D"/>
    <w:rsid w:val="00BB3C3A"/>
    <w:rsid w:val="00BB3E80"/>
    <w:rsid w:val="00BB3F2C"/>
    <w:rsid w:val="00BB3F3D"/>
    <w:rsid w:val="00BB3FCA"/>
    <w:rsid w:val="00BB42A9"/>
    <w:rsid w:val="00BB440C"/>
    <w:rsid w:val="00BB47D2"/>
    <w:rsid w:val="00BB4895"/>
    <w:rsid w:val="00BB4C0C"/>
    <w:rsid w:val="00BB4CB0"/>
    <w:rsid w:val="00BB4D3E"/>
    <w:rsid w:val="00BB4DDF"/>
    <w:rsid w:val="00BB4EC2"/>
    <w:rsid w:val="00BB4EF5"/>
    <w:rsid w:val="00BB50E3"/>
    <w:rsid w:val="00BB53AB"/>
    <w:rsid w:val="00BB558F"/>
    <w:rsid w:val="00BB58EF"/>
    <w:rsid w:val="00BB5E7D"/>
    <w:rsid w:val="00BB6814"/>
    <w:rsid w:val="00BB6ADD"/>
    <w:rsid w:val="00BB6EAB"/>
    <w:rsid w:val="00BB6FCC"/>
    <w:rsid w:val="00BB6FD0"/>
    <w:rsid w:val="00BB7479"/>
    <w:rsid w:val="00BB7488"/>
    <w:rsid w:val="00BB75E5"/>
    <w:rsid w:val="00BB771C"/>
    <w:rsid w:val="00BB7762"/>
    <w:rsid w:val="00BB79EA"/>
    <w:rsid w:val="00BB7ADE"/>
    <w:rsid w:val="00BC010D"/>
    <w:rsid w:val="00BC03EB"/>
    <w:rsid w:val="00BC0ADA"/>
    <w:rsid w:val="00BC0B8B"/>
    <w:rsid w:val="00BC141A"/>
    <w:rsid w:val="00BC198F"/>
    <w:rsid w:val="00BC1B48"/>
    <w:rsid w:val="00BC1C09"/>
    <w:rsid w:val="00BC1F14"/>
    <w:rsid w:val="00BC1F2C"/>
    <w:rsid w:val="00BC1F77"/>
    <w:rsid w:val="00BC1FFF"/>
    <w:rsid w:val="00BC23F1"/>
    <w:rsid w:val="00BC27B9"/>
    <w:rsid w:val="00BC27D9"/>
    <w:rsid w:val="00BC29C0"/>
    <w:rsid w:val="00BC2CA9"/>
    <w:rsid w:val="00BC307A"/>
    <w:rsid w:val="00BC3317"/>
    <w:rsid w:val="00BC35EC"/>
    <w:rsid w:val="00BC3C7D"/>
    <w:rsid w:val="00BC3E5E"/>
    <w:rsid w:val="00BC3EE3"/>
    <w:rsid w:val="00BC4172"/>
    <w:rsid w:val="00BC44EB"/>
    <w:rsid w:val="00BC46B6"/>
    <w:rsid w:val="00BC46FA"/>
    <w:rsid w:val="00BC4D8B"/>
    <w:rsid w:val="00BC50EF"/>
    <w:rsid w:val="00BC5249"/>
    <w:rsid w:val="00BC525C"/>
    <w:rsid w:val="00BC546E"/>
    <w:rsid w:val="00BC55D5"/>
    <w:rsid w:val="00BC5770"/>
    <w:rsid w:val="00BC5797"/>
    <w:rsid w:val="00BC5DB1"/>
    <w:rsid w:val="00BC5E3A"/>
    <w:rsid w:val="00BC609A"/>
    <w:rsid w:val="00BC64A3"/>
    <w:rsid w:val="00BC64B5"/>
    <w:rsid w:val="00BC6A56"/>
    <w:rsid w:val="00BC6D95"/>
    <w:rsid w:val="00BC6E9A"/>
    <w:rsid w:val="00BC702F"/>
    <w:rsid w:val="00BC7091"/>
    <w:rsid w:val="00BC71D9"/>
    <w:rsid w:val="00BC7C13"/>
    <w:rsid w:val="00BC7DCD"/>
    <w:rsid w:val="00BD0266"/>
    <w:rsid w:val="00BD02AA"/>
    <w:rsid w:val="00BD03EF"/>
    <w:rsid w:val="00BD0556"/>
    <w:rsid w:val="00BD065F"/>
    <w:rsid w:val="00BD0A6B"/>
    <w:rsid w:val="00BD0AB0"/>
    <w:rsid w:val="00BD0B35"/>
    <w:rsid w:val="00BD163F"/>
    <w:rsid w:val="00BD1767"/>
    <w:rsid w:val="00BD1888"/>
    <w:rsid w:val="00BD19F4"/>
    <w:rsid w:val="00BD1D36"/>
    <w:rsid w:val="00BD1D43"/>
    <w:rsid w:val="00BD1E2B"/>
    <w:rsid w:val="00BD2338"/>
    <w:rsid w:val="00BD239D"/>
    <w:rsid w:val="00BD2766"/>
    <w:rsid w:val="00BD2CDB"/>
    <w:rsid w:val="00BD2F0A"/>
    <w:rsid w:val="00BD2F29"/>
    <w:rsid w:val="00BD3698"/>
    <w:rsid w:val="00BD3C97"/>
    <w:rsid w:val="00BD3D56"/>
    <w:rsid w:val="00BD3F9D"/>
    <w:rsid w:val="00BD441F"/>
    <w:rsid w:val="00BD457D"/>
    <w:rsid w:val="00BD48A3"/>
    <w:rsid w:val="00BD4D90"/>
    <w:rsid w:val="00BD4EEC"/>
    <w:rsid w:val="00BD4F6E"/>
    <w:rsid w:val="00BD5599"/>
    <w:rsid w:val="00BD574B"/>
    <w:rsid w:val="00BD5953"/>
    <w:rsid w:val="00BD59E9"/>
    <w:rsid w:val="00BD643E"/>
    <w:rsid w:val="00BD6488"/>
    <w:rsid w:val="00BD665F"/>
    <w:rsid w:val="00BD6C2C"/>
    <w:rsid w:val="00BD6E8C"/>
    <w:rsid w:val="00BD6EB9"/>
    <w:rsid w:val="00BD7150"/>
    <w:rsid w:val="00BD7225"/>
    <w:rsid w:val="00BD750A"/>
    <w:rsid w:val="00BD7576"/>
    <w:rsid w:val="00BD75EE"/>
    <w:rsid w:val="00BD7764"/>
    <w:rsid w:val="00BD7779"/>
    <w:rsid w:val="00BD7A4A"/>
    <w:rsid w:val="00BD7BF4"/>
    <w:rsid w:val="00BD7C33"/>
    <w:rsid w:val="00BD7C9B"/>
    <w:rsid w:val="00BD7DB0"/>
    <w:rsid w:val="00BD7E93"/>
    <w:rsid w:val="00BD7F7E"/>
    <w:rsid w:val="00BE06FC"/>
    <w:rsid w:val="00BE0795"/>
    <w:rsid w:val="00BE0864"/>
    <w:rsid w:val="00BE0BCF"/>
    <w:rsid w:val="00BE0D64"/>
    <w:rsid w:val="00BE0F16"/>
    <w:rsid w:val="00BE10BD"/>
    <w:rsid w:val="00BE1351"/>
    <w:rsid w:val="00BE1716"/>
    <w:rsid w:val="00BE1A8B"/>
    <w:rsid w:val="00BE1B4F"/>
    <w:rsid w:val="00BE1F94"/>
    <w:rsid w:val="00BE249C"/>
    <w:rsid w:val="00BE2A71"/>
    <w:rsid w:val="00BE2CAC"/>
    <w:rsid w:val="00BE2D48"/>
    <w:rsid w:val="00BE33A3"/>
    <w:rsid w:val="00BE386B"/>
    <w:rsid w:val="00BE38C3"/>
    <w:rsid w:val="00BE3CC4"/>
    <w:rsid w:val="00BE3D9E"/>
    <w:rsid w:val="00BE40DE"/>
    <w:rsid w:val="00BE424A"/>
    <w:rsid w:val="00BE42DA"/>
    <w:rsid w:val="00BE4423"/>
    <w:rsid w:val="00BE48D1"/>
    <w:rsid w:val="00BE4CC4"/>
    <w:rsid w:val="00BE55CD"/>
    <w:rsid w:val="00BE56DD"/>
    <w:rsid w:val="00BE57B3"/>
    <w:rsid w:val="00BE58ED"/>
    <w:rsid w:val="00BE5DEF"/>
    <w:rsid w:val="00BE5E4E"/>
    <w:rsid w:val="00BE5EF7"/>
    <w:rsid w:val="00BE60A7"/>
    <w:rsid w:val="00BE61C9"/>
    <w:rsid w:val="00BE6324"/>
    <w:rsid w:val="00BE6482"/>
    <w:rsid w:val="00BE65D8"/>
    <w:rsid w:val="00BE6621"/>
    <w:rsid w:val="00BE6837"/>
    <w:rsid w:val="00BE683B"/>
    <w:rsid w:val="00BE692F"/>
    <w:rsid w:val="00BE6A56"/>
    <w:rsid w:val="00BE6BD6"/>
    <w:rsid w:val="00BE6CF6"/>
    <w:rsid w:val="00BE7153"/>
    <w:rsid w:val="00BE7642"/>
    <w:rsid w:val="00BE76D9"/>
    <w:rsid w:val="00BE7880"/>
    <w:rsid w:val="00BE7A58"/>
    <w:rsid w:val="00BE7B8D"/>
    <w:rsid w:val="00BE7DFB"/>
    <w:rsid w:val="00BF0408"/>
    <w:rsid w:val="00BF0421"/>
    <w:rsid w:val="00BF0B1E"/>
    <w:rsid w:val="00BF0B20"/>
    <w:rsid w:val="00BF0D47"/>
    <w:rsid w:val="00BF0E41"/>
    <w:rsid w:val="00BF1148"/>
    <w:rsid w:val="00BF11BC"/>
    <w:rsid w:val="00BF123C"/>
    <w:rsid w:val="00BF12AA"/>
    <w:rsid w:val="00BF18B3"/>
    <w:rsid w:val="00BF19E3"/>
    <w:rsid w:val="00BF1DA7"/>
    <w:rsid w:val="00BF204A"/>
    <w:rsid w:val="00BF2295"/>
    <w:rsid w:val="00BF28A8"/>
    <w:rsid w:val="00BF2E79"/>
    <w:rsid w:val="00BF31AB"/>
    <w:rsid w:val="00BF32A2"/>
    <w:rsid w:val="00BF35D7"/>
    <w:rsid w:val="00BF36C5"/>
    <w:rsid w:val="00BF37DF"/>
    <w:rsid w:val="00BF3A09"/>
    <w:rsid w:val="00BF3A0E"/>
    <w:rsid w:val="00BF3B60"/>
    <w:rsid w:val="00BF3C00"/>
    <w:rsid w:val="00BF3EC6"/>
    <w:rsid w:val="00BF3F74"/>
    <w:rsid w:val="00BF4019"/>
    <w:rsid w:val="00BF4108"/>
    <w:rsid w:val="00BF42A9"/>
    <w:rsid w:val="00BF451A"/>
    <w:rsid w:val="00BF4795"/>
    <w:rsid w:val="00BF47B7"/>
    <w:rsid w:val="00BF47EA"/>
    <w:rsid w:val="00BF482A"/>
    <w:rsid w:val="00BF4DBF"/>
    <w:rsid w:val="00BF4F79"/>
    <w:rsid w:val="00BF50C1"/>
    <w:rsid w:val="00BF5144"/>
    <w:rsid w:val="00BF5160"/>
    <w:rsid w:val="00BF55BF"/>
    <w:rsid w:val="00BF5888"/>
    <w:rsid w:val="00BF589D"/>
    <w:rsid w:val="00BF592E"/>
    <w:rsid w:val="00BF593C"/>
    <w:rsid w:val="00BF61B4"/>
    <w:rsid w:val="00BF642E"/>
    <w:rsid w:val="00BF6767"/>
    <w:rsid w:val="00BF69BC"/>
    <w:rsid w:val="00BF69DF"/>
    <w:rsid w:val="00BF6BC3"/>
    <w:rsid w:val="00BF6E32"/>
    <w:rsid w:val="00BF6EE8"/>
    <w:rsid w:val="00BF716E"/>
    <w:rsid w:val="00BF7231"/>
    <w:rsid w:val="00BF7B1B"/>
    <w:rsid w:val="00BF7BE5"/>
    <w:rsid w:val="00BF7C59"/>
    <w:rsid w:val="00BF7F50"/>
    <w:rsid w:val="00C006B4"/>
    <w:rsid w:val="00C006B6"/>
    <w:rsid w:val="00C006CD"/>
    <w:rsid w:val="00C00950"/>
    <w:rsid w:val="00C01188"/>
    <w:rsid w:val="00C011A3"/>
    <w:rsid w:val="00C012F8"/>
    <w:rsid w:val="00C013B2"/>
    <w:rsid w:val="00C014B2"/>
    <w:rsid w:val="00C016B5"/>
    <w:rsid w:val="00C0186A"/>
    <w:rsid w:val="00C01938"/>
    <w:rsid w:val="00C01B0A"/>
    <w:rsid w:val="00C01B25"/>
    <w:rsid w:val="00C01C4E"/>
    <w:rsid w:val="00C02048"/>
    <w:rsid w:val="00C0270D"/>
    <w:rsid w:val="00C02D19"/>
    <w:rsid w:val="00C02EC5"/>
    <w:rsid w:val="00C02F6D"/>
    <w:rsid w:val="00C033E1"/>
    <w:rsid w:val="00C036EA"/>
    <w:rsid w:val="00C03C60"/>
    <w:rsid w:val="00C03E2F"/>
    <w:rsid w:val="00C03FFB"/>
    <w:rsid w:val="00C04408"/>
    <w:rsid w:val="00C04453"/>
    <w:rsid w:val="00C04727"/>
    <w:rsid w:val="00C0496A"/>
    <w:rsid w:val="00C04BC9"/>
    <w:rsid w:val="00C04BE8"/>
    <w:rsid w:val="00C04C5A"/>
    <w:rsid w:val="00C05225"/>
    <w:rsid w:val="00C05860"/>
    <w:rsid w:val="00C05942"/>
    <w:rsid w:val="00C05B8B"/>
    <w:rsid w:val="00C0601F"/>
    <w:rsid w:val="00C060BF"/>
    <w:rsid w:val="00C06132"/>
    <w:rsid w:val="00C06224"/>
    <w:rsid w:val="00C0648B"/>
    <w:rsid w:val="00C0669B"/>
    <w:rsid w:val="00C067A1"/>
    <w:rsid w:val="00C069C3"/>
    <w:rsid w:val="00C0712B"/>
    <w:rsid w:val="00C07434"/>
    <w:rsid w:val="00C076EA"/>
    <w:rsid w:val="00C07C2E"/>
    <w:rsid w:val="00C101FA"/>
    <w:rsid w:val="00C10319"/>
    <w:rsid w:val="00C10327"/>
    <w:rsid w:val="00C10804"/>
    <w:rsid w:val="00C1088A"/>
    <w:rsid w:val="00C111A7"/>
    <w:rsid w:val="00C113B5"/>
    <w:rsid w:val="00C113D4"/>
    <w:rsid w:val="00C1140B"/>
    <w:rsid w:val="00C11466"/>
    <w:rsid w:val="00C11770"/>
    <w:rsid w:val="00C117C0"/>
    <w:rsid w:val="00C1197F"/>
    <w:rsid w:val="00C11F24"/>
    <w:rsid w:val="00C12029"/>
    <w:rsid w:val="00C12FEE"/>
    <w:rsid w:val="00C137A6"/>
    <w:rsid w:val="00C1409A"/>
    <w:rsid w:val="00C14696"/>
    <w:rsid w:val="00C14960"/>
    <w:rsid w:val="00C14B7C"/>
    <w:rsid w:val="00C15194"/>
    <w:rsid w:val="00C157DF"/>
    <w:rsid w:val="00C15B3A"/>
    <w:rsid w:val="00C15C60"/>
    <w:rsid w:val="00C15FFE"/>
    <w:rsid w:val="00C1601D"/>
    <w:rsid w:val="00C16147"/>
    <w:rsid w:val="00C1635B"/>
    <w:rsid w:val="00C165D2"/>
    <w:rsid w:val="00C16693"/>
    <w:rsid w:val="00C16849"/>
    <w:rsid w:val="00C168FC"/>
    <w:rsid w:val="00C16949"/>
    <w:rsid w:val="00C16D59"/>
    <w:rsid w:val="00C16F6D"/>
    <w:rsid w:val="00C1703B"/>
    <w:rsid w:val="00C17671"/>
    <w:rsid w:val="00C17A4B"/>
    <w:rsid w:val="00C17B35"/>
    <w:rsid w:val="00C17C17"/>
    <w:rsid w:val="00C17C7F"/>
    <w:rsid w:val="00C17E44"/>
    <w:rsid w:val="00C17F4A"/>
    <w:rsid w:val="00C202ED"/>
    <w:rsid w:val="00C20510"/>
    <w:rsid w:val="00C2054D"/>
    <w:rsid w:val="00C20649"/>
    <w:rsid w:val="00C20650"/>
    <w:rsid w:val="00C20947"/>
    <w:rsid w:val="00C20C7B"/>
    <w:rsid w:val="00C20DB1"/>
    <w:rsid w:val="00C21008"/>
    <w:rsid w:val="00C2149D"/>
    <w:rsid w:val="00C21532"/>
    <w:rsid w:val="00C21561"/>
    <w:rsid w:val="00C217E6"/>
    <w:rsid w:val="00C21B90"/>
    <w:rsid w:val="00C21E81"/>
    <w:rsid w:val="00C21F21"/>
    <w:rsid w:val="00C21F3B"/>
    <w:rsid w:val="00C22048"/>
    <w:rsid w:val="00C22143"/>
    <w:rsid w:val="00C2236F"/>
    <w:rsid w:val="00C223B5"/>
    <w:rsid w:val="00C22693"/>
    <w:rsid w:val="00C227BD"/>
    <w:rsid w:val="00C227D8"/>
    <w:rsid w:val="00C22A14"/>
    <w:rsid w:val="00C22E1A"/>
    <w:rsid w:val="00C22FA0"/>
    <w:rsid w:val="00C23078"/>
    <w:rsid w:val="00C231A8"/>
    <w:rsid w:val="00C231D8"/>
    <w:rsid w:val="00C23239"/>
    <w:rsid w:val="00C23ADB"/>
    <w:rsid w:val="00C23B21"/>
    <w:rsid w:val="00C23B54"/>
    <w:rsid w:val="00C23DB8"/>
    <w:rsid w:val="00C23E52"/>
    <w:rsid w:val="00C24296"/>
    <w:rsid w:val="00C24768"/>
    <w:rsid w:val="00C24860"/>
    <w:rsid w:val="00C24A51"/>
    <w:rsid w:val="00C24E87"/>
    <w:rsid w:val="00C24FAC"/>
    <w:rsid w:val="00C25B8D"/>
    <w:rsid w:val="00C25BE0"/>
    <w:rsid w:val="00C25E17"/>
    <w:rsid w:val="00C2607A"/>
    <w:rsid w:val="00C26092"/>
    <w:rsid w:val="00C26265"/>
    <w:rsid w:val="00C262F9"/>
    <w:rsid w:val="00C26490"/>
    <w:rsid w:val="00C265D2"/>
    <w:rsid w:val="00C268F4"/>
    <w:rsid w:val="00C26B04"/>
    <w:rsid w:val="00C2719E"/>
    <w:rsid w:val="00C2767F"/>
    <w:rsid w:val="00C278DF"/>
    <w:rsid w:val="00C27C2E"/>
    <w:rsid w:val="00C27E08"/>
    <w:rsid w:val="00C27FE3"/>
    <w:rsid w:val="00C301F2"/>
    <w:rsid w:val="00C30459"/>
    <w:rsid w:val="00C305A9"/>
    <w:rsid w:val="00C3092F"/>
    <w:rsid w:val="00C30A2F"/>
    <w:rsid w:val="00C30DF8"/>
    <w:rsid w:val="00C30F80"/>
    <w:rsid w:val="00C31775"/>
    <w:rsid w:val="00C317A1"/>
    <w:rsid w:val="00C319BE"/>
    <w:rsid w:val="00C31A75"/>
    <w:rsid w:val="00C3273C"/>
    <w:rsid w:val="00C32A21"/>
    <w:rsid w:val="00C33091"/>
    <w:rsid w:val="00C331E0"/>
    <w:rsid w:val="00C3338F"/>
    <w:rsid w:val="00C335CA"/>
    <w:rsid w:val="00C33879"/>
    <w:rsid w:val="00C338BB"/>
    <w:rsid w:val="00C33FDB"/>
    <w:rsid w:val="00C341CD"/>
    <w:rsid w:val="00C343DF"/>
    <w:rsid w:val="00C34521"/>
    <w:rsid w:val="00C34667"/>
    <w:rsid w:val="00C3499C"/>
    <w:rsid w:val="00C34C7C"/>
    <w:rsid w:val="00C34D98"/>
    <w:rsid w:val="00C34F16"/>
    <w:rsid w:val="00C352C0"/>
    <w:rsid w:val="00C352DB"/>
    <w:rsid w:val="00C353FA"/>
    <w:rsid w:val="00C35448"/>
    <w:rsid w:val="00C35501"/>
    <w:rsid w:val="00C35BAC"/>
    <w:rsid w:val="00C35E88"/>
    <w:rsid w:val="00C36089"/>
    <w:rsid w:val="00C36367"/>
    <w:rsid w:val="00C36486"/>
    <w:rsid w:val="00C3658F"/>
    <w:rsid w:val="00C36611"/>
    <w:rsid w:val="00C3698B"/>
    <w:rsid w:val="00C3699D"/>
    <w:rsid w:val="00C36C93"/>
    <w:rsid w:val="00C37262"/>
    <w:rsid w:val="00C3752D"/>
    <w:rsid w:val="00C37532"/>
    <w:rsid w:val="00C37911"/>
    <w:rsid w:val="00C379F9"/>
    <w:rsid w:val="00C37AE4"/>
    <w:rsid w:val="00C37BD0"/>
    <w:rsid w:val="00C37DF9"/>
    <w:rsid w:val="00C37E5C"/>
    <w:rsid w:val="00C40570"/>
    <w:rsid w:val="00C407C1"/>
    <w:rsid w:val="00C40857"/>
    <w:rsid w:val="00C40894"/>
    <w:rsid w:val="00C417F1"/>
    <w:rsid w:val="00C41A22"/>
    <w:rsid w:val="00C41A96"/>
    <w:rsid w:val="00C41F95"/>
    <w:rsid w:val="00C41FE6"/>
    <w:rsid w:val="00C42199"/>
    <w:rsid w:val="00C42248"/>
    <w:rsid w:val="00C42AA8"/>
    <w:rsid w:val="00C43184"/>
    <w:rsid w:val="00C4336A"/>
    <w:rsid w:val="00C43519"/>
    <w:rsid w:val="00C4366D"/>
    <w:rsid w:val="00C436F2"/>
    <w:rsid w:val="00C438CC"/>
    <w:rsid w:val="00C4394C"/>
    <w:rsid w:val="00C43AAF"/>
    <w:rsid w:val="00C43B60"/>
    <w:rsid w:val="00C43C56"/>
    <w:rsid w:val="00C440D6"/>
    <w:rsid w:val="00C44107"/>
    <w:rsid w:val="00C44349"/>
    <w:rsid w:val="00C4436B"/>
    <w:rsid w:val="00C44644"/>
    <w:rsid w:val="00C446B7"/>
    <w:rsid w:val="00C44A39"/>
    <w:rsid w:val="00C44ED2"/>
    <w:rsid w:val="00C45140"/>
    <w:rsid w:val="00C451B9"/>
    <w:rsid w:val="00C45271"/>
    <w:rsid w:val="00C453E3"/>
    <w:rsid w:val="00C455B5"/>
    <w:rsid w:val="00C4562E"/>
    <w:rsid w:val="00C45673"/>
    <w:rsid w:val="00C45710"/>
    <w:rsid w:val="00C45764"/>
    <w:rsid w:val="00C45B1A"/>
    <w:rsid w:val="00C46501"/>
    <w:rsid w:val="00C46591"/>
    <w:rsid w:val="00C4674F"/>
    <w:rsid w:val="00C46917"/>
    <w:rsid w:val="00C46CD8"/>
    <w:rsid w:val="00C46DAF"/>
    <w:rsid w:val="00C473B3"/>
    <w:rsid w:val="00C474AB"/>
    <w:rsid w:val="00C474F5"/>
    <w:rsid w:val="00C47596"/>
    <w:rsid w:val="00C47E6A"/>
    <w:rsid w:val="00C47F12"/>
    <w:rsid w:val="00C503F9"/>
    <w:rsid w:val="00C50779"/>
    <w:rsid w:val="00C509AF"/>
    <w:rsid w:val="00C50AF5"/>
    <w:rsid w:val="00C50BBE"/>
    <w:rsid w:val="00C50D1E"/>
    <w:rsid w:val="00C50EF7"/>
    <w:rsid w:val="00C50FAA"/>
    <w:rsid w:val="00C51122"/>
    <w:rsid w:val="00C5120E"/>
    <w:rsid w:val="00C513EA"/>
    <w:rsid w:val="00C51860"/>
    <w:rsid w:val="00C5192C"/>
    <w:rsid w:val="00C52164"/>
    <w:rsid w:val="00C522A1"/>
    <w:rsid w:val="00C524F8"/>
    <w:rsid w:val="00C524FB"/>
    <w:rsid w:val="00C5274E"/>
    <w:rsid w:val="00C52865"/>
    <w:rsid w:val="00C52AD2"/>
    <w:rsid w:val="00C52C74"/>
    <w:rsid w:val="00C52D3C"/>
    <w:rsid w:val="00C52EBA"/>
    <w:rsid w:val="00C53290"/>
    <w:rsid w:val="00C532FA"/>
    <w:rsid w:val="00C534D7"/>
    <w:rsid w:val="00C534FF"/>
    <w:rsid w:val="00C535A2"/>
    <w:rsid w:val="00C5360A"/>
    <w:rsid w:val="00C53E0C"/>
    <w:rsid w:val="00C53E2B"/>
    <w:rsid w:val="00C5446A"/>
    <w:rsid w:val="00C5471B"/>
    <w:rsid w:val="00C548EC"/>
    <w:rsid w:val="00C54AA6"/>
    <w:rsid w:val="00C5512D"/>
    <w:rsid w:val="00C55382"/>
    <w:rsid w:val="00C556AF"/>
    <w:rsid w:val="00C55B43"/>
    <w:rsid w:val="00C55D43"/>
    <w:rsid w:val="00C55D46"/>
    <w:rsid w:val="00C55DC9"/>
    <w:rsid w:val="00C561E4"/>
    <w:rsid w:val="00C5620A"/>
    <w:rsid w:val="00C56420"/>
    <w:rsid w:val="00C56949"/>
    <w:rsid w:val="00C56E58"/>
    <w:rsid w:val="00C56EDA"/>
    <w:rsid w:val="00C570B3"/>
    <w:rsid w:val="00C570F2"/>
    <w:rsid w:val="00C5772B"/>
    <w:rsid w:val="00C57894"/>
    <w:rsid w:val="00C57DC4"/>
    <w:rsid w:val="00C57E16"/>
    <w:rsid w:val="00C60141"/>
    <w:rsid w:val="00C605A8"/>
    <w:rsid w:val="00C60700"/>
    <w:rsid w:val="00C60CE7"/>
    <w:rsid w:val="00C60E9C"/>
    <w:rsid w:val="00C60FB9"/>
    <w:rsid w:val="00C61011"/>
    <w:rsid w:val="00C611BC"/>
    <w:rsid w:val="00C6143F"/>
    <w:rsid w:val="00C61790"/>
    <w:rsid w:val="00C61DFC"/>
    <w:rsid w:val="00C622DE"/>
    <w:rsid w:val="00C62309"/>
    <w:rsid w:val="00C6240F"/>
    <w:rsid w:val="00C625CA"/>
    <w:rsid w:val="00C62637"/>
    <w:rsid w:val="00C62BE3"/>
    <w:rsid w:val="00C62C54"/>
    <w:rsid w:val="00C62E23"/>
    <w:rsid w:val="00C62FB0"/>
    <w:rsid w:val="00C632A1"/>
    <w:rsid w:val="00C63786"/>
    <w:rsid w:val="00C63BF6"/>
    <w:rsid w:val="00C63C02"/>
    <w:rsid w:val="00C63C7A"/>
    <w:rsid w:val="00C63EC7"/>
    <w:rsid w:val="00C63F77"/>
    <w:rsid w:val="00C64343"/>
    <w:rsid w:val="00C645DA"/>
    <w:rsid w:val="00C64651"/>
    <w:rsid w:val="00C64672"/>
    <w:rsid w:val="00C646E3"/>
    <w:rsid w:val="00C647AC"/>
    <w:rsid w:val="00C648D8"/>
    <w:rsid w:val="00C649F4"/>
    <w:rsid w:val="00C64AD7"/>
    <w:rsid w:val="00C64DC0"/>
    <w:rsid w:val="00C651E2"/>
    <w:rsid w:val="00C656AD"/>
    <w:rsid w:val="00C65833"/>
    <w:rsid w:val="00C65EC4"/>
    <w:rsid w:val="00C66230"/>
    <w:rsid w:val="00C6637D"/>
    <w:rsid w:val="00C6651A"/>
    <w:rsid w:val="00C667B9"/>
    <w:rsid w:val="00C6682C"/>
    <w:rsid w:val="00C66941"/>
    <w:rsid w:val="00C6738C"/>
    <w:rsid w:val="00C67548"/>
    <w:rsid w:val="00C677C2"/>
    <w:rsid w:val="00C67FF5"/>
    <w:rsid w:val="00C7044E"/>
    <w:rsid w:val="00C7056C"/>
    <w:rsid w:val="00C70681"/>
    <w:rsid w:val="00C711F0"/>
    <w:rsid w:val="00C7176D"/>
    <w:rsid w:val="00C71773"/>
    <w:rsid w:val="00C71E2D"/>
    <w:rsid w:val="00C72754"/>
    <w:rsid w:val="00C72768"/>
    <w:rsid w:val="00C7281F"/>
    <w:rsid w:val="00C72AA4"/>
    <w:rsid w:val="00C72B26"/>
    <w:rsid w:val="00C7313F"/>
    <w:rsid w:val="00C735E4"/>
    <w:rsid w:val="00C73AEC"/>
    <w:rsid w:val="00C73CF8"/>
    <w:rsid w:val="00C73D1F"/>
    <w:rsid w:val="00C73FD0"/>
    <w:rsid w:val="00C7448F"/>
    <w:rsid w:val="00C74645"/>
    <w:rsid w:val="00C74731"/>
    <w:rsid w:val="00C74934"/>
    <w:rsid w:val="00C74A39"/>
    <w:rsid w:val="00C75161"/>
    <w:rsid w:val="00C755D1"/>
    <w:rsid w:val="00C758A8"/>
    <w:rsid w:val="00C75B61"/>
    <w:rsid w:val="00C75BAC"/>
    <w:rsid w:val="00C75C2E"/>
    <w:rsid w:val="00C75E57"/>
    <w:rsid w:val="00C75E6E"/>
    <w:rsid w:val="00C75F76"/>
    <w:rsid w:val="00C7612C"/>
    <w:rsid w:val="00C76281"/>
    <w:rsid w:val="00C76283"/>
    <w:rsid w:val="00C762DC"/>
    <w:rsid w:val="00C76481"/>
    <w:rsid w:val="00C7659B"/>
    <w:rsid w:val="00C76B25"/>
    <w:rsid w:val="00C76CC3"/>
    <w:rsid w:val="00C76D9A"/>
    <w:rsid w:val="00C77231"/>
    <w:rsid w:val="00C77362"/>
    <w:rsid w:val="00C773A2"/>
    <w:rsid w:val="00C773BF"/>
    <w:rsid w:val="00C77422"/>
    <w:rsid w:val="00C778E2"/>
    <w:rsid w:val="00C77D5E"/>
    <w:rsid w:val="00C77DD4"/>
    <w:rsid w:val="00C77EE3"/>
    <w:rsid w:val="00C800C7"/>
    <w:rsid w:val="00C800FA"/>
    <w:rsid w:val="00C80248"/>
    <w:rsid w:val="00C80444"/>
    <w:rsid w:val="00C805EA"/>
    <w:rsid w:val="00C80A40"/>
    <w:rsid w:val="00C80C10"/>
    <w:rsid w:val="00C80C1A"/>
    <w:rsid w:val="00C80D1C"/>
    <w:rsid w:val="00C8125E"/>
    <w:rsid w:val="00C8130D"/>
    <w:rsid w:val="00C81323"/>
    <w:rsid w:val="00C81373"/>
    <w:rsid w:val="00C815CB"/>
    <w:rsid w:val="00C81601"/>
    <w:rsid w:val="00C81654"/>
    <w:rsid w:val="00C8197F"/>
    <w:rsid w:val="00C81A15"/>
    <w:rsid w:val="00C81B6F"/>
    <w:rsid w:val="00C81EFF"/>
    <w:rsid w:val="00C820DE"/>
    <w:rsid w:val="00C82188"/>
    <w:rsid w:val="00C82198"/>
    <w:rsid w:val="00C824B0"/>
    <w:rsid w:val="00C82802"/>
    <w:rsid w:val="00C8292A"/>
    <w:rsid w:val="00C82D5D"/>
    <w:rsid w:val="00C82E63"/>
    <w:rsid w:val="00C82E91"/>
    <w:rsid w:val="00C82F0C"/>
    <w:rsid w:val="00C82FD2"/>
    <w:rsid w:val="00C8306E"/>
    <w:rsid w:val="00C8308C"/>
    <w:rsid w:val="00C831AB"/>
    <w:rsid w:val="00C83DB3"/>
    <w:rsid w:val="00C83E20"/>
    <w:rsid w:val="00C83E4B"/>
    <w:rsid w:val="00C83EB3"/>
    <w:rsid w:val="00C83ED9"/>
    <w:rsid w:val="00C84108"/>
    <w:rsid w:val="00C8414D"/>
    <w:rsid w:val="00C84296"/>
    <w:rsid w:val="00C843FF"/>
    <w:rsid w:val="00C84899"/>
    <w:rsid w:val="00C84FE7"/>
    <w:rsid w:val="00C85168"/>
    <w:rsid w:val="00C855B5"/>
    <w:rsid w:val="00C85979"/>
    <w:rsid w:val="00C85B47"/>
    <w:rsid w:val="00C85F35"/>
    <w:rsid w:val="00C8615D"/>
    <w:rsid w:val="00C862DE"/>
    <w:rsid w:val="00C866AF"/>
    <w:rsid w:val="00C86748"/>
    <w:rsid w:val="00C869A7"/>
    <w:rsid w:val="00C86AB5"/>
    <w:rsid w:val="00C87795"/>
    <w:rsid w:val="00C87870"/>
    <w:rsid w:val="00C87A4D"/>
    <w:rsid w:val="00C87B17"/>
    <w:rsid w:val="00C87DE4"/>
    <w:rsid w:val="00C9025B"/>
    <w:rsid w:val="00C903DF"/>
    <w:rsid w:val="00C90498"/>
    <w:rsid w:val="00C90517"/>
    <w:rsid w:val="00C91113"/>
    <w:rsid w:val="00C913A7"/>
    <w:rsid w:val="00C913FB"/>
    <w:rsid w:val="00C91632"/>
    <w:rsid w:val="00C9194D"/>
    <w:rsid w:val="00C919FA"/>
    <w:rsid w:val="00C91A1F"/>
    <w:rsid w:val="00C91B64"/>
    <w:rsid w:val="00C92366"/>
    <w:rsid w:val="00C9242B"/>
    <w:rsid w:val="00C925E6"/>
    <w:rsid w:val="00C925F2"/>
    <w:rsid w:val="00C926D1"/>
    <w:rsid w:val="00C92AC4"/>
    <w:rsid w:val="00C9328A"/>
    <w:rsid w:val="00C9340A"/>
    <w:rsid w:val="00C9355F"/>
    <w:rsid w:val="00C93BEA"/>
    <w:rsid w:val="00C941CA"/>
    <w:rsid w:val="00C94876"/>
    <w:rsid w:val="00C94932"/>
    <w:rsid w:val="00C94A46"/>
    <w:rsid w:val="00C94A7A"/>
    <w:rsid w:val="00C94B02"/>
    <w:rsid w:val="00C94DF2"/>
    <w:rsid w:val="00C94DF9"/>
    <w:rsid w:val="00C94F48"/>
    <w:rsid w:val="00C950AB"/>
    <w:rsid w:val="00C95159"/>
    <w:rsid w:val="00C95249"/>
    <w:rsid w:val="00C9559D"/>
    <w:rsid w:val="00C95BD8"/>
    <w:rsid w:val="00C95C23"/>
    <w:rsid w:val="00C95DE5"/>
    <w:rsid w:val="00C95EE4"/>
    <w:rsid w:val="00C95FD8"/>
    <w:rsid w:val="00C963E2"/>
    <w:rsid w:val="00C9669F"/>
    <w:rsid w:val="00C966C8"/>
    <w:rsid w:val="00C966CB"/>
    <w:rsid w:val="00C967C2"/>
    <w:rsid w:val="00C96A6B"/>
    <w:rsid w:val="00C96CE4"/>
    <w:rsid w:val="00C96F54"/>
    <w:rsid w:val="00C97090"/>
    <w:rsid w:val="00C976A0"/>
    <w:rsid w:val="00C97954"/>
    <w:rsid w:val="00C97AB0"/>
    <w:rsid w:val="00CA02F1"/>
    <w:rsid w:val="00CA0BBB"/>
    <w:rsid w:val="00CA0C76"/>
    <w:rsid w:val="00CA118A"/>
    <w:rsid w:val="00CA1204"/>
    <w:rsid w:val="00CA1403"/>
    <w:rsid w:val="00CA14ED"/>
    <w:rsid w:val="00CA1552"/>
    <w:rsid w:val="00CA1792"/>
    <w:rsid w:val="00CA1893"/>
    <w:rsid w:val="00CA19C2"/>
    <w:rsid w:val="00CA1B1E"/>
    <w:rsid w:val="00CA1D2A"/>
    <w:rsid w:val="00CA1E0A"/>
    <w:rsid w:val="00CA1E6D"/>
    <w:rsid w:val="00CA2331"/>
    <w:rsid w:val="00CA236F"/>
    <w:rsid w:val="00CA2563"/>
    <w:rsid w:val="00CA283D"/>
    <w:rsid w:val="00CA2E31"/>
    <w:rsid w:val="00CA32B7"/>
    <w:rsid w:val="00CA34E0"/>
    <w:rsid w:val="00CA35DE"/>
    <w:rsid w:val="00CA36D8"/>
    <w:rsid w:val="00CA3702"/>
    <w:rsid w:val="00CA37B3"/>
    <w:rsid w:val="00CA3B73"/>
    <w:rsid w:val="00CA3CC7"/>
    <w:rsid w:val="00CA3D9B"/>
    <w:rsid w:val="00CA3E2B"/>
    <w:rsid w:val="00CA4141"/>
    <w:rsid w:val="00CA428B"/>
    <w:rsid w:val="00CA4414"/>
    <w:rsid w:val="00CA48DC"/>
    <w:rsid w:val="00CA4A5F"/>
    <w:rsid w:val="00CA4AC7"/>
    <w:rsid w:val="00CA52BD"/>
    <w:rsid w:val="00CA5391"/>
    <w:rsid w:val="00CA54B6"/>
    <w:rsid w:val="00CA5801"/>
    <w:rsid w:val="00CA587F"/>
    <w:rsid w:val="00CA5CBC"/>
    <w:rsid w:val="00CA5DD1"/>
    <w:rsid w:val="00CA5F6B"/>
    <w:rsid w:val="00CA619E"/>
    <w:rsid w:val="00CA630E"/>
    <w:rsid w:val="00CA63C7"/>
    <w:rsid w:val="00CA665B"/>
    <w:rsid w:val="00CA67FE"/>
    <w:rsid w:val="00CA6A12"/>
    <w:rsid w:val="00CA6B31"/>
    <w:rsid w:val="00CA6BCE"/>
    <w:rsid w:val="00CA6C09"/>
    <w:rsid w:val="00CA6CE3"/>
    <w:rsid w:val="00CA6F2D"/>
    <w:rsid w:val="00CA6F36"/>
    <w:rsid w:val="00CA70B7"/>
    <w:rsid w:val="00CA7537"/>
    <w:rsid w:val="00CA764F"/>
    <w:rsid w:val="00CA7B47"/>
    <w:rsid w:val="00CA7D91"/>
    <w:rsid w:val="00CA7E9E"/>
    <w:rsid w:val="00CB0440"/>
    <w:rsid w:val="00CB06EB"/>
    <w:rsid w:val="00CB092B"/>
    <w:rsid w:val="00CB0C96"/>
    <w:rsid w:val="00CB0E26"/>
    <w:rsid w:val="00CB1129"/>
    <w:rsid w:val="00CB13E1"/>
    <w:rsid w:val="00CB147F"/>
    <w:rsid w:val="00CB150A"/>
    <w:rsid w:val="00CB1A1B"/>
    <w:rsid w:val="00CB1A51"/>
    <w:rsid w:val="00CB1CA8"/>
    <w:rsid w:val="00CB22D8"/>
    <w:rsid w:val="00CB231A"/>
    <w:rsid w:val="00CB24C5"/>
    <w:rsid w:val="00CB24CB"/>
    <w:rsid w:val="00CB26E6"/>
    <w:rsid w:val="00CB26F4"/>
    <w:rsid w:val="00CB2727"/>
    <w:rsid w:val="00CB2CB3"/>
    <w:rsid w:val="00CB2D8E"/>
    <w:rsid w:val="00CB2EFC"/>
    <w:rsid w:val="00CB30DF"/>
    <w:rsid w:val="00CB3137"/>
    <w:rsid w:val="00CB3387"/>
    <w:rsid w:val="00CB350F"/>
    <w:rsid w:val="00CB36AA"/>
    <w:rsid w:val="00CB37AE"/>
    <w:rsid w:val="00CB3858"/>
    <w:rsid w:val="00CB38ED"/>
    <w:rsid w:val="00CB3DF7"/>
    <w:rsid w:val="00CB3E1E"/>
    <w:rsid w:val="00CB40BD"/>
    <w:rsid w:val="00CB41EF"/>
    <w:rsid w:val="00CB44C6"/>
    <w:rsid w:val="00CB4607"/>
    <w:rsid w:val="00CB4794"/>
    <w:rsid w:val="00CB47C1"/>
    <w:rsid w:val="00CB4876"/>
    <w:rsid w:val="00CB48EB"/>
    <w:rsid w:val="00CB4DFF"/>
    <w:rsid w:val="00CB4F87"/>
    <w:rsid w:val="00CB5565"/>
    <w:rsid w:val="00CB5E18"/>
    <w:rsid w:val="00CB6393"/>
    <w:rsid w:val="00CB69EB"/>
    <w:rsid w:val="00CB6F14"/>
    <w:rsid w:val="00CB715C"/>
    <w:rsid w:val="00CB726E"/>
    <w:rsid w:val="00CB7311"/>
    <w:rsid w:val="00CB73EC"/>
    <w:rsid w:val="00CB7866"/>
    <w:rsid w:val="00CB7A8D"/>
    <w:rsid w:val="00CB7AF5"/>
    <w:rsid w:val="00CB7B0A"/>
    <w:rsid w:val="00CB7E5D"/>
    <w:rsid w:val="00CC02A8"/>
    <w:rsid w:val="00CC0395"/>
    <w:rsid w:val="00CC03BD"/>
    <w:rsid w:val="00CC049A"/>
    <w:rsid w:val="00CC07C7"/>
    <w:rsid w:val="00CC08CA"/>
    <w:rsid w:val="00CC09C6"/>
    <w:rsid w:val="00CC0A90"/>
    <w:rsid w:val="00CC0D45"/>
    <w:rsid w:val="00CC0DF4"/>
    <w:rsid w:val="00CC134C"/>
    <w:rsid w:val="00CC1617"/>
    <w:rsid w:val="00CC18A1"/>
    <w:rsid w:val="00CC1956"/>
    <w:rsid w:val="00CC1CED"/>
    <w:rsid w:val="00CC1EB4"/>
    <w:rsid w:val="00CC1FF3"/>
    <w:rsid w:val="00CC212E"/>
    <w:rsid w:val="00CC2C6B"/>
    <w:rsid w:val="00CC2E92"/>
    <w:rsid w:val="00CC2F51"/>
    <w:rsid w:val="00CC32B5"/>
    <w:rsid w:val="00CC3D5B"/>
    <w:rsid w:val="00CC3EEA"/>
    <w:rsid w:val="00CC3F66"/>
    <w:rsid w:val="00CC432A"/>
    <w:rsid w:val="00CC43E4"/>
    <w:rsid w:val="00CC4836"/>
    <w:rsid w:val="00CC523D"/>
    <w:rsid w:val="00CC5287"/>
    <w:rsid w:val="00CC529B"/>
    <w:rsid w:val="00CC53B5"/>
    <w:rsid w:val="00CC53CB"/>
    <w:rsid w:val="00CC5797"/>
    <w:rsid w:val="00CC5809"/>
    <w:rsid w:val="00CC5810"/>
    <w:rsid w:val="00CC5888"/>
    <w:rsid w:val="00CC58FA"/>
    <w:rsid w:val="00CC5909"/>
    <w:rsid w:val="00CC5924"/>
    <w:rsid w:val="00CC5DF3"/>
    <w:rsid w:val="00CC6106"/>
    <w:rsid w:val="00CC61F9"/>
    <w:rsid w:val="00CC67E2"/>
    <w:rsid w:val="00CC6B97"/>
    <w:rsid w:val="00CC6C16"/>
    <w:rsid w:val="00CC6D98"/>
    <w:rsid w:val="00CC6E6D"/>
    <w:rsid w:val="00CC73C4"/>
    <w:rsid w:val="00CC7485"/>
    <w:rsid w:val="00CC74DB"/>
    <w:rsid w:val="00CC7FBD"/>
    <w:rsid w:val="00CD0273"/>
    <w:rsid w:val="00CD0280"/>
    <w:rsid w:val="00CD0437"/>
    <w:rsid w:val="00CD05D5"/>
    <w:rsid w:val="00CD0849"/>
    <w:rsid w:val="00CD0BDD"/>
    <w:rsid w:val="00CD0C7B"/>
    <w:rsid w:val="00CD0D9A"/>
    <w:rsid w:val="00CD0D9B"/>
    <w:rsid w:val="00CD0F63"/>
    <w:rsid w:val="00CD13EC"/>
    <w:rsid w:val="00CD1844"/>
    <w:rsid w:val="00CD198B"/>
    <w:rsid w:val="00CD19E3"/>
    <w:rsid w:val="00CD1E68"/>
    <w:rsid w:val="00CD1FF6"/>
    <w:rsid w:val="00CD205F"/>
    <w:rsid w:val="00CD2079"/>
    <w:rsid w:val="00CD2116"/>
    <w:rsid w:val="00CD211A"/>
    <w:rsid w:val="00CD25AB"/>
    <w:rsid w:val="00CD25DD"/>
    <w:rsid w:val="00CD26E8"/>
    <w:rsid w:val="00CD29A6"/>
    <w:rsid w:val="00CD2D37"/>
    <w:rsid w:val="00CD2E1B"/>
    <w:rsid w:val="00CD30A1"/>
    <w:rsid w:val="00CD314A"/>
    <w:rsid w:val="00CD323D"/>
    <w:rsid w:val="00CD3719"/>
    <w:rsid w:val="00CD397F"/>
    <w:rsid w:val="00CD3BAA"/>
    <w:rsid w:val="00CD3EC6"/>
    <w:rsid w:val="00CD3FC9"/>
    <w:rsid w:val="00CD4526"/>
    <w:rsid w:val="00CD4588"/>
    <w:rsid w:val="00CD4F2C"/>
    <w:rsid w:val="00CD5356"/>
    <w:rsid w:val="00CD550A"/>
    <w:rsid w:val="00CD565B"/>
    <w:rsid w:val="00CD577A"/>
    <w:rsid w:val="00CD579B"/>
    <w:rsid w:val="00CD5917"/>
    <w:rsid w:val="00CD59D6"/>
    <w:rsid w:val="00CD5AD6"/>
    <w:rsid w:val="00CD6018"/>
    <w:rsid w:val="00CD6246"/>
    <w:rsid w:val="00CD6671"/>
    <w:rsid w:val="00CD686A"/>
    <w:rsid w:val="00CD6A91"/>
    <w:rsid w:val="00CD6B33"/>
    <w:rsid w:val="00CD6BDC"/>
    <w:rsid w:val="00CD7681"/>
    <w:rsid w:val="00CD768F"/>
    <w:rsid w:val="00CD7B48"/>
    <w:rsid w:val="00CD7BFD"/>
    <w:rsid w:val="00CE0152"/>
    <w:rsid w:val="00CE020B"/>
    <w:rsid w:val="00CE0440"/>
    <w:rsid w:val="00CE049D"/>
    <w:rsid w:val="00CE05C1"/>
    <w:rsid w:val="00CE0729"/>
    <w:rsid w:val="00CE0825"/>
    <w:rsid w:val="00CE095E"/>
    <w:rsid w:val="00CE0F36"/>
    <w:rsid w:val="00CE10C2"/>
    <w:rsid w:val="00CE11BA"/>
    <w:rsid w:val="00CE1330"/>
    <w:rsid w:val="00CE1F01"/>
    <w:rsid w:val="00CE1F6D"/>
    <w:rsid w:val="00CE22D2"/>
    <w:rsid w:val="00CE24A1"/>
    <w:rsid w:val="00CE2568"/>
    <w:rsid w:val="00CE277B"/>
    <w:rsid w:val="00CE2B3F"/>
    <w:rsid w:val="00CE2C87"/>
    <w:rsid w:val="00CE2CC9"/>
    <w:rsid w:val="00CE31D6"/>
    <w:rsid w:val="00CE31ED"/>
    <w:rsid w:val="00CE3502"/>
    <w:rsid w:val="00CE3633"/>
    <w:rsid w:val="00CE37AA"/>
    <w:rsid w:val="00CE37EC"/>
    <w:rsid w:val="00CE3CF4"/>
    <w:rsid w:val="00CE4795"/>
    <w:rsid w:val="00CE4CA3"/>
    <w:rsid w:val="00CE4D0A"/>
    <w:rsid w:val="00CE50B0"/>
    <w:rsid w:val="00CE5174"/>
    <w:rsid w:val="00CE5361"/>
    <w:rsid w:val="00CE5437"/>
    <w:rsid w:val="00CE558D"/>
    <w:rsid w:val="00CE5865"/>
    <w:rsid w:val="00CE586E"/>
    <w:rsid w:val="00CE59A6"/>
    <w:rsid w:val="00CE5AF1"/>
    <w:rsid w:val="00CE5E1B"/>
    <w:rsid w:val="00CE6066"/>
    <w:rsid w:val="00CE6141"/>
    <w:rsid w:val="00CE6189"/>
    <w:rsid w:val="00CE64D5"/>
    <w:rsid w:val="00CE678B"/>
    <w:rsid w:val="00CE67AC"/>
    <w:rsid w:val="00CE694D"/>
    <w:rsid w:val="00CE6A66"/>
    <w:rsid w:val="00CE6C94"/>
    <w:rsid w:val="00CE6F64"/>
    <w:rsid w:val="00CE7073"/>
    <w:rsid w:val="00CE7167"/>
    <w:rsid w:val="00CE75B0"/>
    <w:rsid w:val="00CE786B"/>
    <w:rsid w:val="00CE78B3"/>
    <w:rsid w:val="00CE7B94"/>
    <w:rsid w:val="00CE7CA2"/>
    <w:rsid w:val="00CE7E2A"/>
    <w:rsid w:val="00CF0631"/>
    <w:rsid w:val="00CF06D0"/>
    <w:rsid w:val="00CF0784"/>
    <w:rsid w:val="00CF08BC"/>
    <w:rsid w:val="00CF0996"/>
    <w:rsid w:val="00CF0A10"/>
    <w:rsid w:val="00CF0A25"/>
    <w:rsid w:val="00CF0EF5"/>
    <w:rsid w:val="00CF11D2"/>
    <w:rsid w:val="00CF11D4"/>
    <w:rsid w:val="00CF1212"/>
    <w:rsid w:val="00CF1892"/>
    <w:rsid w:val="00CF19F5"/>
    <w:rsid w:val="00CF1A33"/>
    <w:rsid w:val="00CF1C96"/>
    <w:rsid w:val="00CF1EEB"/>
    <w:rsid w:val="00CF236A"/>
    <w:rsid w:val="00CF25E2"/>
    <w:rsid w:val="00CF2829"/>
    <w:rsid w:val="00CF29D5"/>
    <w:rsid w:val="00CF2C3F"/>
    <w:rsid w:val="00CF2EEA"/>
    <w:rsid w:val="00CF2F3C"/>
    <w:rsid w:val="00CF2FB8"/>
    <w:rsid w:val="00CF3701"/>
    <w:rsid w:val="00CF3753"/>
    <w:rsid w:val="00CF3DD0"/>
    <w:rsid w:val="00CF3F49"/>
    <w:rsid w:val="00CF435B"/>
    <w:rsid w:val="00CF462B"/>
    <w:rsid w:val="00CF4EAE"/>
    <w:rsid w:val="00CF524B"/>
    <w:rsid w:val="00CF5318"/>
    <w:rsid w:val="00CF544B"/>
    <w:rsid w:val="00CF55A7"/>
    <w:rsid w:val="00CF5D41"/>
    <w:rsid w:val="00CF6189"/>
    <w:rsid w:val="00CF66D3"/>
    <w:rsid w:val="00CF67D9"/>
    <w:rsid w:val="00CF6832"/>
    <w:rsid w:val="00CF6CEC"/>
    <w:rsid w:val="00CF6D72"/>
    <w:rsid w:val="00CF7664"/>
    <w:rsid w:val="00CF78C2"/>
    <w:rsid w:val="00CF7C70"/>
    <w:rsid w:val="00CF7D62"/>
    <w:rsid w:val="00CF7D79"/>
    <w:rsid w:val="00CF7FA1"/>
    <w:rsid w:val="00D0008C"/>
    <w:rsid w:val="00D004ED"/>
    <w:rsid w:val="00D006FB"/>
    <w:rsid w:val="00D00941"/>
    <w:rsid w:val="00D00E30"/>
    <w:rsid w:val="00D00EFA"/>
    <w:rsid w:val="00D01288"/>
    <w:rsid w:val="00D01317"/>
    <w:rsid w:val="00D01688"/>
    <w:rsid w:val="00D01CDF"/>
    <w:rsid w:val="00D02021"/>
    <w:rsid w:val="00D02086"/>
    <w:rsid w:val="00D02151"/>
    <w:rsid w:val="00D021BC"/>
    <w:rsid w:val="00D021D2"/>
    <w:rsid w:val="00D024D9"/>
    <w:rsid w:val="00D0262E"/>
    <w:rsid w:val="00D02C24"/>
    <w:rsid w:val="00D02CA7"/>
    <w:rsid w:val="00D02F9B"/>
    <w:rsid w:val="00D0312E"/>
    <w:rsid w:val="00D03424"/>
    <w:rsid w:val="00D0356D"/>
    <w:rsid w:val="00D035F3"/>
    <w:rsid w:val="00D0370E"/>
    <w:rsid w:val="00D03A38"/>
    <w:rsid w:val="00D04151"/>
    <w:rsid w:val="00D044AE"/>
    <w:rsid w:val="00D044F4"/>
    <w:rsid w:val="00D04540"/>
    <w:rsid w:val="00D046A6"/>
    <w:rsid w:val="00D047EE"/>
    <w:rsid w:val="00D04A00"/>
    <w:rsid w:val="00D04D52"/>
    <w:rsid w:val="00D04D57"/>
    <w:rsid w:val="00D04F7B"/>
    <w:rsid w:val="00D0502D"/>
    <w:rsid w:val="00D05330"/>
    <w:rsid w:val="00D053A8"/>
    <w:rsid w:val="00D05616"/>
    <w:rsid w:val="00D0568A"/>
    <w:rsid w:val="00D057BB"/>
    <w:rsid w:val="00D059E4"/>
    <w:rsid w:val="00D05C6C"/>
    <w:rsid w:val="00D05C83"/>
    <w:rsid w:val="00D062B7"/>
    <w:rsid w:val="00D06397"/>
    <w:rsid w:val="00D064A7"/>
    <w:rsid w:val="00D065C5"/>
    <w:rsid w:val="00D06A03"/>
    <w:rsid w:val="00D06A8C"/>
    <w:rsid w:val="00D06AC4"/>
    <w:rsid w:val="00D06ED4"/>
    <w:rsid w:val="00D06FEE"/>
    <w:rsid w:val="00D076BE"/>
    <w:rsid w:val="00D07761"/>
    <w:rsid w:val="00D07865"/>
    <w:rsid w:val="00D0789B"/>
    <w:rsid w:val="00D10210"/>
    <w:rsid w:val="00D1034E"/>
    <w:rsid w:val="00D10720"/>
    <w:rsid w:val="00D10C72"/>
    <w:rsid w:val="00D110D4"/>
    <w:rsid w:val="00D112BE"/>
    <w:rsid w:val="00D1145E"/>
    <w:rsid w:val="00D11A65"/>
    <w:rsid w:val="00D122E5"/>
    <w:rsid w:val="00D12AC0"/>
    <w:rsid w:val="00D12B13"/>
    <w:rsid w:val="00D1339D"/>
    <w:rsid w:val="00D1368B"/>
    <w:rsid w:val="00D1372D"/>
    <w:rsid w:val="00D1384D"/>
    <w:rsid w:val="00D13974"/>
    <w:rsid w:val="00D13A25"/>
    <w:rsid w:val="00D13F64"/>
    <w:rsid w:val="00D13F74"/>
    <w:rsid w:val="00D1414F"/>
    <w:rsid w:val="00D147B6"/>
    <w:rsid w:val="00D15034"/>
    <w:rsid w:val="00D151CA"/>
    <w:rsid w:val="00D152D6"/>
    <w:rsid w:val="00D152E3"/>
    <w:rsid w:val="00D153A8"/>
    <w:rsid w:val="00D15600"/>
    <w:rsid w:val="00D15921"/>
    <w:rsid w:val="00D15B84"/>
    <w:rsid w:val="00D16549"/>
    <w:rsid w:val="00D1691C"/>
    <w:rsid w:val="00D16A6F"/>
    <w:rsid w:val="00D16B67"/>
    <w:rsid w:val="00D16C61"/>
    <w:rsid w:val="00D16E3B"/>
    <w:rsid w:val="00D16F40"/>
    <w:rsid w:val="00D171A6"/>
    <w:rsid w:val="00D176A1"/>
    <w:rsid w:val="00D1792D"/>
    <w:rsid w:val="00D17C08"/>
    <w:rsid w:val="00D17C76"/>
    <w:rsid w:val="00D17C99"/>
    <w:rsid w:val="00D17CEC"/>
    <w:rsid w:val="00D17CF3"/>
    <w:rsid w:val="00D203A8"/>
    <w:rsid w:val="00D20496"/>
    <w:rsid w:val="00D20C09"/>
    <w:rsid w:val="00D211B8"/>
    <w:rsid w:val="00D21511"/>
    <w:rsid w:val="00D21675"/>
    <w:rsid w:val="00D21793"/>
    <w:rsid w:val="00D217A8"/>
    <w:rsid w:val="00D217D6"/>
    <w:rsid w:val="00D21A2A"/>
    <w:rsid w:val="00D221E8"/>
    <w:rsid w:val="00D222BC"/>
    <w:rsid w:val="00D22446"/>
    <w:rsid w:val="00D228B4"/>
    <w:rsid w:val="00D229F5"/>
    <w:rsid w:val="00D22B2C"/>
    <w:rsid w:val="00D231CF"/>
    <w:rsid w:val="00D23306"/>
    <w:rsid w:val="00D234B8"/>
    <w:rsid w:val="00D23612"/>
    <w:rsid w:val="00D23DBA"/>
    <w:rsid w:val="00D23ECB"/>
    <w:rsid w:val="00D240F9"/>
    <w:rsid w:val="00D24295"/>
    <w:rsid w:val="00D24AEB"/>
    <w:rsid w:val="00D24CB9"/>
    <w:rsid w:val="00D251E5"/>
    <w:rsid w:val="00D2521E"/>
    <w:rsid w:val="00D257C8"/>
    <w:rsid w:val="00D257DA"/>
    <w:rsid w:val="00D26012"/>
    <w:rsid w:val="00D2642A"/>
    <w:rsid w:val="00D2653B"/>
    <w:rsid w:val="00D26557"/>
    <w:rsid w:val="00D26633"/>
    <w:rsid w:val="00D26816"/>
    <w:rsid w:val="00D26B48"/>
    <w:rsid w:val="00D26E4F"/>
    <w:rsid w:val="00D26F45"/>
    <w:rsid w:val="00D270A1"/>
    <w:rsid w:val="00D271A1"/>
    <w:rsid w:val="00D27414"/>
    <w:rsid w:val="00D2744F"/>
    <w:rsid w:val="00D27588"/>
    <w:rsid w:val="00D27692"/>
    <w:rsid w:val="00D278AF"/>
    <w:rsid w:val="00D2795F"/>
    <w:rsid w:val="00D27DEB"/>
    <w:rsid w:val="00D27E79"/>
    <w:rsid w:val="00D27F43"/>
    <w:rsid w:val="00D30205"/>
    <w:rsid w:val="00D303A7"/>
    <w:rsid w:val="00D3049B"/>
    <w:rsid w:val="00D30781"/>
    <w:rsid w:val="00D30859"/>
    <w:rsid w:val="00D30996"/>
    <w:rsid w:val="00D30C5B"/>
    <w:rsid w:val="00D30D58"/>
    <w:rsid w:val="00D310ED"/>
    <w:rsid w:val="00D3114C"/>
    <w:rsid w:val="00D3116C"/>
    <w:rsid w:val="00D315FC"/>
    <w:rsid w:val="00D31F91"/>
    <w:rsid w:val="00D32013"/>
    <w:rsid w:val="00D321E8"/>
    <w:rsid w:val="00D3228B"/>
    <w:rsid w:val="00D327CA"/>
    <w:rsid w:val="00D327DA"/>
    <w:rsid w:val="00D3293B"/>
    <w:rsid w:val="00D32ACE"/>
    <w:rsid w:val="00D32E43"/>
    <w:rsid w:val="00D33423"/>
    <w:rsid w:val="00D33455"/>
    <w:rsid w:val="00D3367E"/>
    <w:rsid w:val="00D337BB"/>
    <w:rsid w:val="00D3383F"/>
    <w:rsid w:val="00D33CAF"/>
    <w:rsid w:val="00D34022"/>
    <w:rsid w:val="00D34465"/>
    <w:rsid w:val="00D344BC"/>
    <w:rsid w:val="00D344C6"/>
    <w:rsid w:val="00D3454F"/>
    <w:rsid w:val="00D3475E"/>
    <w:rsid w:val="00D348C4"/>
    <w:rsid w:val="00D34AA1"/>
    <w:rsid w:val="00D34CB4"/>
    <w:rsid w:val="00D34E76"/>
    <w:rsid w:val="00D351C3"/>
    <w:rsid w:val="00D35434"/>
    <w:rsid w:val="00D35706"/>
    <w:rsid w:val="00D358C1"/>
    <w:rsid w:val="00D359A5"/>
    <w:rsid w:val="00D35BE3"/>
    <w:rsid w:val="00D35CF5"/>
    <w:rsid w:val="00D35E02"/>
    <w:rsid w:val="00D35E49"/>
    <w:rsid w:val="00D35FA8"/>
    <w:rsid w:val="00D361A4"/>
    <w:rsid w:val="00D36538"/>
    <w:rsid w:val="00D36627"/>
    <w:rsid w:val="00D367F1"/>
    <w:rsid w:val="00D36E00"/>
    <w:rsid w:val="00D37004"/>
    <w:rsid w:val="00D371AF"/>
    <w:rsid w:val="00D376D3"/>
    <w:rsid w:val="00D37700"/>
    <w:rsid w:val="00D37A9D"/>
    <w:rsid w:val="00D37E9B"/>
    <w:rsid w:val="00D40360"/>
    <w:rsid w:val="00D403E6"/>
    <w:rsid w:val="00D404DD"/>
    <w:rsid w:val="00D40554"/>
    <w:rsid w:val="00D40A24"/>
    <w:rsid w:val="00D40A43"/>
    <w:rsid w:val="00D40DE9"/>
    <w:rsid w:val="00D410E0"/>
    <w:rsid w:val="00D41155"/>
    <w:rsid w:val="00D41210"/>
    <w:rsid w:val="00D41329"/>
    <w:rsid w:val="00D4148A"/>
    <w:rsid w:val="00D41CA2"/>
    <w:rsid w:val="00D41FF3"/>
    <w:rsid w:val="00D42073"/>
    <w:rsid w:val="00D4238C"/>
    <w:rsid w:val="00D423AE"/>
    <w:rsid w:val="00D423C9"/>
    <w:rsid w:val="00D4247C"/>
    <w:rsid w:val="00D42527"/>
    <w:rsid w:val="00D425FC"/>
    <w:rsid w:val="00D42628"/>
    <w:rsid w:val="00D42BDE"/>
    <w:rsid w:val="00D42D2E"/>
    <w:rsid w:val="00D430FA"/>
    <w:rsid w:val="00D4351E"/>
    <w:rsid w:val="00D435E5"/>
    <w:rsid w:val="00D43A6B"/>
    <w:rsid w:val="00D43A99"/>
    <w:rsid w:val="00D43CB0"/>
    <w:rsid w:val="00D43E29"/>
    <w:rsid w:val="00D43F8A"/>
    <w:rsid w:val="00D4423C"/>
    <w:rsid w:val="00D44311"/>
    <w:rsid w:val="00D44789"/>
    <w:rsid w:val="00D447F6"/>
    <w:rsid w:val="00D4488F"/>
    <w:rsid w:val="00D449CB"/>
    <w:rsid w:val="00D44A29"/>
    <w:rsid w:val="00D44E1A"/>
    <w:rsid w:val="00D45220"/>
    <w:rsid w:val="00D454C0"/>
    <w:rsid w:val="00D456F9"/>
    <w:rsid w:val="00D4603C"/>
    <w:rsid w:val="00D461A1"/>
    <w:rsid w:val="00D462CD"/>
    <w:rsid w:val="00D466D3"/>
    <w:rsid w:val="00D470F9"/>
    <w:rsid w:val="00D4710A"/>
    <w:rsid w:val="00D474ED"/>
    <w:rsid w:val="00D47A32"/>
    <w:rsid w:val="00D47AD5"/>
    <w:rsid w:val="00D47BDB"/>
    <w:rsid w:val="00D503ED"/>
    <w:rsid w:val="00D503EE"/>
    <w:rsid w:val="00D50648"/>
    <w:rsid w:val="00D507ED"/>
    <w:rsid w:val="00D50A55"/>
    <w:rsid w:val="00D50CAD"/>
    <w:rsid w:val="00D50D7E"/>
    <w:rsid w:val="00D50E84"/>
    <w:rsid w:val="00D51082"/>
    <w:rsid w:val="00D517C9"/>
    <w:rsid w:val="00D51B11"/>
    <w:rsid w:val="00D51C07"/>
    <w:rsid w:val="00D51CEC"/>
    <w:rsid w:val="00D51D78"/>
    <w:rsid w:val="00D521C8"/>
    <w:rsid w:val="00D52213"/>
    <w:rsid w:val="00D52265"/>
    <w:rsid w:val="00D5235E"/>
    <w:rsid w:val="00D526B7"/>
    <w:rsid w:val="00D52FA2"/>
    <w:rsid w:val="00D530BC"/>
    <w:rsid w:val="00D53179"/>
    <w:rsid w:val="00D5323B"/>
    <w:rsid w:val="00D53290"/>
    <w:rsid w:val="00D532EE"/>
    <w:rsid w:val="00D533E6"/>
    <w:rsid w:val="00D53540"/>
    <w:rsid w:val="00D5361D"/>
    <w:rsid w:val="00D53719"/>
    <w:rsid w:val="00D53AAC"/>
    <w:rsid w:val="00D53C03"/>
    <w:rsid w:val="00D53F67"/>
    <w:rsid w:val="00D543AC"/>
    <w:rsid w:val="00D54600"/>
    <w:rsid w:val="00D54968"/>
    <w:rsid w:val="00D54A5F"/>
    <w:rsid w:val="00D54BF9"/>
    <w:rsid w:val="00D55265"/>
    <w:rsid w:val="00D55485"/>
    <w:rsid w:val="00D554ED"/>
    <w:rsid w:val="00D554FE"/>
    <w:rsid w:val="00D557A2"/>
    <w:rsid w:val="00D5607A"/>
    <w:rsid w:val="00D56134"/>
    <w:rsid w:val="00D562AB"/>
    <w:rsid w:val="00D5744A"/>
    <w:rsid w:val="00D576FB"/>
    <w:rsid w:val="00D577EA"/>
    <w:rsid w:val="00D57888"/>
    <w:rsid w:val="00D60616"/>
    <w:rsid w:val="00D60A13"/>
    <w:rsid w:val="00D60AA3"/>
    <w:rsid w:val="00D60ADC"/>
    <w:rsid w:val="00D61365"/>
    <w:rsid w:val="00D616A9"/>
    <w:rsid w:val="00D617FB"/>
    <w:rsid w:val="00D6199A"/>
    <w:rsid w:val="00D61CE0"/>
    <w:rsid w:val="00D61F9D"/>
    <w:rsid w:val="00D622E5"/>
    <w:rsid w:val="00D62457"/>
    <w:rsid w:val="00D6248A"/>
    <w:rsid w:val="00D626BF"/>
    <w:rsid w:val="00D62782"/>
    <w:rsid w:val="00D6296D"/>
    <w:rsid w:val="00D62C23"/>
    <w:rsid w:val="00D62CCD"/>
    <w:rsid w:val="00D6343D"/>
    <w:rsid w:val="00D6381E"/>
    <w:rsid w:val="00D63A9D"/>
    <w:rsid w:val="00D63B6F"/>
    <w:rsid w:val="00D641B6"/>
    <w:rsid w:val="00D6421F"/>
    <w:rsid w:val="00D642F0"/>
    <w:rsid w:val="00D64317"/>
    <w:rsid w:val="00D645B5"/>
    <w:rsid w:val="00D64725"/>
    <w:rsid w:val="00D648C4"/>
    <w:rsid w:val="00D64A65"/>
    <w:rsid w:val="00D64C38"/>
    <w:rsid w:val="00D64D00"/>
    <w:rsid w:val="00D64E67"/>
    <w:rsid w:val="00D6504D"/>
    <w:rsid w:val="00D6535E"/>
    <w:rsid w:val="00D656A2"/>
    <w:rsid w:val="00D65EF2"/>
    <w:rsid w:val="00D65F89"/>
    <w:rsid w:val="00D65F9F"/>
    <w:rsid w:val="00D6618F"/>
    <w:rsid w:val="00D665EA"/>
    <w:rsid w:val="00D66802"/>
    <w:rsid w:val="00D66B77"/>
    <w:rsid w:val="00D66E43"/>
    <w:rsid w:val="00D66F2E"/>
    <w:rsid w:val="00D66FDC"/>
    <w:rsid w:val="00D6739C"/>
    <w:rsid w:val="00D67780"/>
    <w:rsid w:val="00D67BC9"/>
    <w:rsid w:val="00D67C1E"/>
    <w:rsid w:val="00D67F14"/>
    <w:rsid w:val="00D7007D"/>
    <w:rsid w:val="00D70490"/>
    <w:rsid w:val="00D706E8"/>
    <w:rsid w:val="00D708DB"/>
    <w:rsid w:val="00D70A44"/>
    <w:rsid w:val="00D70D18"/>
    <w:rsid w:val="00D70FBC"/>
    <w:rsid w:val="00D7105A"/>
    <w:rsid w:val="00D71071"/>
    <w:rsid w:val="00D712C1"/>
    <w:rsid w:val="00D71533"/>
    <w:rsid w:val="00D7161F"/>
    <w:rsid w:val="00D7166F"/>
    <w:rsid w:val="00D7193C"/>
    <w:rsid w:val="00D719B7"/>
    <w:rsid w:val="00D71EF8"/>
    <w:rsid w:val="00D71F88"/>
    <w:rsid w:val="00D72619"/>
    <w:rsid w:val="00D72663"/>
    <w:rsid w:val="00D72C26"/>
    <w:rsid w:val="00D72E2C"/>
    <w:rsid w:val="00D72F69"/>
    <w:rsid w:val="00D72FC9"/>
    <w:rsid w:val="00D73089"/>
    <w:rsid w:val="00D7370D"/>
    <w:rsid w:val="00D738B5"/>
    <w:rsid w:val="00D73C2F"/>
    <w:rsid w:val="00D73CDE"/>
    <w:rsid w:val="00D73D1E"/>
    <w:rsid w:val="00D73F56"/>
    <w:rsid w:val="00D74045"/>
    <w:rsid w:val="00D7432E"/>
    <w:rsid w:val="00D7460D"/>
    <w:rsid w:val="00D74613"/>
    <w:rsid w:val="00D748FF"/>
    <w:rsid w:val="00D7498A"/>
    <w:rsid w:val="00D749E3"/>
    <w:rsid w:val="00D74A51"/>
    <w:rsid w:val="00D74BAD"/>
    <w:rsid w:val="00D74C0C"/>
    <w:rsid w:val="00D751DC"/>
    <w:rsid w:val="00D75451"/>
    <w:rsid w:val="00D755B8"/>
    <w:rsid w:val="00D7580B"/>
    <w:rsid w:val="00D75B87"/>
    <w:rsid w:val="00D75C44"/>
    <w:rsid w:val="00D75D63"/>
    <w:rsid w:val="00D75E4C"/>
    <w:rsid w:val="00D76237"/>
    <w:rsid w:val="00D7672B"/>
    <w:rsid w:val="00D76820"/>
    <w:rsid w:val="00D768EB"/>
    <w:rsid w:val="00D76CA9"/>
    <w:rsid w:val="00D76E78"/>
    <w:rsid w:val="00D76F1E"/>
    <w:rsid w:val="00D76F4F"/>
    <w:rsid w:val="00D76FB2"/>
    <w:rsid w:val="00D770E9"/>
    <w:rsid w:val="00D773C3"/>
    <w:rsid w:val="00D77C8C"/>
    <w:rsid w:val="00D77D55"/>
    <w:rsid w:val="00D77ECA"/>
    <w:rsid w:val="00D77F67"/>
    <w:rsid w:val="00D8008A"/>
    <w:rsid w:val="00D80736"/>
    <w:rsid w:val="00D80918"/>
    <w:rsid w:val="00D80A3D"/>
    <w:rsid w:val="00D80BB7"/>
    <w:rsid w:val="00D80D16"/>
    <w:rsid w:val="00D810DE"/>
    <w:rsid w:val="00D815B3"/>
    <w:rsid w:val="00D8163B"/>
    <w:rsid w:val="00D8174D"/>
    <w:rsid w:val="00D81827"/>
    <w:rsid w:val="00D8183B"/>
    <w:rsid w:val="00D81A8F"/>
    <w:rsid w:val="00D81FDB"/>
    <w:rsid w:val="00D826AD"/>
    <w:rsid w:val="00D82779"/>
    <w:rsid w:val="00D82837"/>
    <w:rsid w:val="00D82A1E"/>
    <w:rsid w:val="00D83247"/>
    <w:rsid w:val="00D832BF"/>
    <w:rsid w:val="00D8341C"/>
    <w:rsid w:val="00D8357A"/>
    <w:rsid w:val="00D835B0"/>
    <w:rsid w:val="00D83804"/>
    <w:rsid w:val="00D83ADF"/>
    <w:rsid w:val="00D83F21"/>
    <w:rsid w:val="00D84B39"/>
    <w:rsid w:val="00D84B8E"/>
    <w:rsid w:val="00D84D88"/>
    <w:rsid w:val="00D85169"/>
    <w:rsid w:val="00D85261"/>
    <w:rsid w:val="00D85304"/>
    <w:rsid w:val="00D854AB"/>
    <w:rsid w:val="00D857A5"/>
    <w:rsid w:val="00D859D8"/>
    <w:rsid w:val="00D861A8"/>
    <w:rsid w:val="00D865A9"/>
    <w:rsid w:val="00D867E1"/>
    <w:rsid w:val="00D86930"/>
    <w:rsid w:val="00D86CEC"/>
    <w:rsid w:val="00D87107"/>
    <w:rsid w:val="00D8748C"/>
    <w:rsid w:val="00D87739"/>
    <w:rsid w:val="00D87C88"/>
    <w:rsid w:val="00D87DA2"/>
    <w:rsid w:val="00D90388"/>
    <w:rsid w:val="00D90740"/>
    <w:rsid w:val="00D90766"/>
    <w:rsid w:val="00D9132E"/>
    <w:rsid w:val="00D91577"/>
    <w:rsid w:val="00D91B49"/>
    <w:rsid w:val="00D91E9A"/>
    <w:rsid w:val="00D91EF2"/>
    <w:rsid w:val="00D91F50"/>
    <w:rsid w:val="00D922B4"/>
    <w:rsid w:val="00D923A0"/>
    <w:rsid w:val="00D924C8"/>
    <w:rsid w:val="00D92661"/>
    <w:rsid w:val="00D929EA"/>
    <w:rsid w:val="00D92F3E"/>
    <w:rsid w:val="00D92F40"/>
    <w:rsid w:val="00D92F6B"/>
    <w:rsid w:val="00D92F71"/>
    <w:rsid w:val="00D931DC"/>
    <w:rsid w:val="00D9337C"/>
    <w:rsid w:val="00D933BE"/>
    <w:rsid w:val="00D93A2E"/>
    <w:rsid w:val="00D93A59"/>
    <w:rsid w:val="00D93AE8"/>
    <w:rsid w:val="00D93AFF"/>
    <w:rsid w:val="00D94344"/>
    <w:rsid w:val="00D94786"/>
    <w:rsid w:val="00D94987"/>
    <w:rsid w:val="00D94C2B"/>
    <w:rsid w:val="00D94F38"/>
    <w:rsid w:val="00D95057"/>
    <w:rsid w:val="00D952FC"/>
    <w:rsid w:val="00D95424"/>
    <w:rsid w:val="00D9559D"/>
    <w:rsid w:val="00D95EAB"/>
    <w:rsid w:val="00D9629D"/>
    <w:rsid w:val="00D96474"/>
    <w:rsid w:val="00D96645"/>
    <w:rsid w:val="00D967ED"/>
    <w:rsid w:val="00D9691C"/>
    <w:rsid w:val="00D969D9"/>
    <w:rsid w:val="00D96BBF"/>
    <w:rsid w:val="00D96BFD"/>
    <w:rsid w:val="00D96DAA"/>
    <w:rsid w:val="00D96E6A"/>
    <w:rsid w:val="00D96E8E"/>
    <w:rsid w:val="00D973FD"/>
    <w:rsid w:val="00D97EA2"/>
    <w:rsid w:val="00D97F3D"/>
    <w:rsid w:val="00D97FF7"/>
    <w:rsid w:val="00DA0406"/>
    <w:rsid w:val="00DA046D"/>
    <w:rsid w:val="00DA062F"/>
    <w:rsid w:val="00DA0B76"/>
    <w:rsid w:val="00DA0E36"/>
    <w:rsid w:val="00DA0F50"/>
    <w:rsid w:val="00DA0FD0"/>
    <w:rsid w:val="00DA122E"/>
    <w:rsid w:val="00DA12F1"/>
    <w:rsid w:val="00DA14FB"/>
    <w:rsid w:val="00DA1843"/>
    <w:rsid w:val="00DA1B77"/>
    <w:rsid w:val="00DA1B85"/>
    <w:rsid w:val="00DA1D1B"/>
    <w:rsid w:val="00DA21B8"/>
    <w:rsid w:val="00DA233C"/>
    <w:rsid w:val="00DA2370"/>
    <w:rsid w:val="00DA2497"/>
    <w:rsid w:val="00DA27A5"/>
    <w:rsid w:val="00DA2A1E"/>
    <w:rsid w:val="00DA2D81"/>
    <w:rsid w:val="00DA2E47"/>
    <w:rsid w:val="00DA2FA9"/>
    <w:rsid w:val="00DA31A4"/>
    <w:rsid w:val="00DA330E"/>
    <w:rsid w:val="00DA3463"/>
    <w:rsid w:val="00DA35FA"/>
    <w:rsid w:val="00DA3904"/>
    <w:rsid w:val="00DA3DD2"/>
    <w:rsid w:val="00DA3EE7"/>
    <w:rsid w:val="00DA4152"/>
    <w:rsid w:val="00DA4178"/>
    <w:rsid w:val="00DA426F"/>
    <w:rsid w:val="00DA472A"/>
    <w:rsid w:val="00DA4737"/>
    <w:rsid w:val="00DA4A9C"/>
    <w:rsid w:val="00DA4BB5"/>
    <w:rsid w:val="00DA4C3B"/>
    <w:rsid w:val="00DA4DCA"/>
    <w:rsid w:val="00DA5258"/>
    <w:rsid w:val="00DA5403"/>
    <w:rsid w:val="00DA5572"/>
    <w:rsid w:val="00DA562C"/>
    <w:rsid w:val="00DA56BE"/>
    <w:rsid w:val="00DA579D"/>
    <w:rsid w:val="00DA59D6"/>
    <w:rsid w:val="00DA5A25"/>
    <w:rsid w:val="00DA5AE2"/>
    <w:rsid w:val="00DA5BE5"/>
    <w:rsid w:val="00DA6148"/>
    <w:rsid w:val="00DA61D6"/>
    <w:rsid w:val="00DA6372"/>
    <w:rsid w:val="00DA6552"/>
    <w:rsid w:val="00DA6566"/>
    <w:rsid w:val="00DA694F"/>
    <w:rsid w:val="00DA745A"/>
    <w:rsid w:val="00DA74FA"/>
    <w:rsid w:val="00DA75C8"/>
    <w:rsid w:val="00DA7888"/>
    <w:rsid w:val="00DA7C88"/>
    <w:rsid w:val="00DB0002"/>
    <w:rsid w:val="00DB02C9"/>
    <w:rsid w:val="00DB035E"/>
    <w:rsid w:val="00DB03E5"/>
    <w:rsid w:val="00DB08B9"/>
    <w:rsid w:val="00DB0A2F"/>
    <w:rsid w:val="00DB0BA3"/>
    <w:rsid w:val="00DB0C34"/>
    <w:rsid w:val="00DB0C4E"/>
    <w:rsid w:val="00DB11E0"/>
    <w:rsid w:val="00DB162C"/>
    <w:rsid w:val="00DB18DF"/>
    <w:rsid w:val="00DB1A51"/>
    <w:rsid w:val="00DB1BE0"/>
    <w:rsid w:val="00DB1E64"/>
    <w:rsid w:val="00DB289E"/>
    <w:rsid w:val="00DB29DA"/>
    <w:rsid w:val="00DB2A7E"/>
    <w:rsid w:val="00DB2B6D"/>
    <w:rsid w:val="00DB2E68"/>
    <w:rsid w:val="00DB2E76"/>
    <w:rsid w:val="00DB2EB1"/>
    <w:rsid w:val="00DB302B"/>
    <w:rsid w:val="00DB3070"/>
    <w:rsid w:val="00DB3460"/>
    <w:rsid w:val="00DB3461"/>
    <w:rsid w:val="00DB36D0"/>
    <w:rsid w:val="00DB39AD"/>
    <w:rsid w:val="00DB3B28"/>
    <w:rsid w:val="00DB3E03"/>
    <w:rsid w:val="00DB3FBB"/>
    <w:rsid w:val="00DB40CA"/>
    <w:rsid w:val="00DB4AC8"/>
    <w:rsid w:val="00DB4D54"/>
    <w:rsid w:val="00DB4E81"/>
    <w:rsid w:val="00DB50D5"/>
    <w:rsid w:val="00DB55B0"/>
    <w:rsid w:val="00DB55F6"/>
    <w:rsid w:val="00DB56C3"/>
    <w:rsid w:val="00DB58BA"/>
    <w:rsid w:val="00DB6AB5"/>
    <w:rsid w:val="00DB6B79"/>
    <w:rsid w:val="00DB6BD1"/>
    <w:rsid w:val="00DB6EAB"/>
    <w:rsid w:val="00DB7036"/>
    <w:rsid w:val="00DB73B9"/>
    <w:rsid w:val="00DB74AC"/>
    <w:rsid w:val="00DB7A20"/>
    <w:rsid w:val="00DB7B3D"/>
    <w:rsid w:val="00DB7BC5"/>
    <w:rsid w:val="00DC01E3"/>
    <w:rsid w:val="00DC0429"/>
    <w:rsid w:val="00DC05F2"/>
    <w:rsid w:val="00DC06BE"/>
    <w:rsid w:val="00DC0B7F"/>
    <w:rsid w:val="00DC0EB2"/>
    <w:rsid w:val="00DC0F50"/>
    <w:rsid w:val="00DC0F57"/>
    <w:rsid w:val="00DC1EB5"/>
    <w:rsid w:val="00DC1F57"/>
    <w:rsid w:val="00DC228E"/>
    <w:rsid w:val="00DC257B"/>
    <w:rsid w:val="00DC27CF"/>
    <w:rsid w:val="00DC2ACD"/>
    <w:rsid w:val="00DC2C29"/>
    <w:rsid w:val="00DC2E69"/>
    <w:rsid w:val="00DC3247"/>
    <w:rsid w:val="00DC3314"/>
    <w:rsid w:val="00DC3622"/>
    <w:rsid w:val="00DC365A"/>
    <w:rsid w:val="00DC3D27"/>
    <w:rsid w:val="00DC3E13"/>
    <w:rsid w:val="00DC4010"/>
    <w:rsid w:val="00DC41D2"/>
    <w:rsid w:val="00DC4344"/>
    <w:rsid w:val="00DC43A1"/>
    <w:rsid w:val="00DC443D"/>
    <w:rsid w:val="00DC4684"/>
    <w:rsid w:val="00DC47B2"/>
    <w:rsid w:val="00DC486D"/>
    <w:rsid w:val="00DC4A30"/>
    <w:rsid w:val="00DC4B2C"/>
    <w:rsid w:val="00DC4BC6"/>
    <w:rsid w:val="00DC5835"/>
    <w:rsid w:val="00DC5BA1"/>
    <w:rsid w:val="00DC636A"/>
    <w:rsid w:val="00DC63EC"/>
    <w:rsid w:val="00DC6679"/>
    <w:rsid w:val="00DC670B"/>
    <w:rsid w:val="00DC6AF2"/>
    <w:rsid w:val="00DC6D85"/>
    <w:rsid w:val="00DC6F72"/>
    <w:rsid w:val="00DC6FD8"/>
    <w:rsid w:val="00DC72D8"/>
    <w:rsid w:val="00DC76C2"/>
    <w:rsid w:val="00DC77B3"/>
    <w:rsid w:val="00DC7BD0"/>
    <w:rsid w:val="00DC7C62"/>
    <w:rsid w:val="00DC7CDA"/>
    <w:rsid w:val="00DC7F0B"/>
    <w:rsid w:val="00DD0576"/>
    <w:rsid w:val="00DD05BA"/>
    <w:rsid w:val="00DD05FF"/>
    <w:rsid w:val="00DD0671"/>
    <w:rsid w:val="00DD0E94"/>
    <w:rsid w:val="00DD13E6"/>
    <w:rsid w:val="00DD1517"/>
    <w:rsid w:val="00DD1542"/>
    <w:rsid w:val="00DD1C68"/>
    <w:rsid w:val="00DD1C6D"/>
    <w:rsid w:val="00DD22AD"/>
    <w:rsid w:val="00DD24BD"/>
    <w:rsid w:val="00DD25B2"/>
    <w:rsid w:val="00DD286A"/>
    <w:rsid w:val="00DD2AB5"/>
    <w:rsid w:val="00DD2B9D"/>
    <w:rsid w:val="00DD349F"/>
    <w:rsid w:val="00DD3A86"/>
    <w:rsid w:val="00DD3FD9"/>
    <w:rsid w:val="00DD471B"/>
    <w:rsid w:val="00DD4BCD"/>
    <w:rsid w:val="00DD4C51"/>
    <w:rsid w:val="00DD5055"/>
    <w:rsid w:val="00DD51E5"/>
    <w:rsid w:val="00DD5401"/>
    <w:rsid w:val="00DD5463"/>
    <w:rsid w:val="00DD556C"/>
    <w:rsid w:val="00DD56EA"/>
    <w:rsid w:val="00DD598A"/>
    <w:rsid w:val="00DD5F98"/>
    <w:rsid w:val="00DD5FD2"/>
    <w:rsid w:val="00DD60F8"/>
    <w:rsid w:val="00DD62FA"/>
    <w:rsid w:val="00DD6794"/>
    <w:rsid w:val="00DD6C4C"/>
    <w:rsid w:val="00DD6DB8"/>
    <w:rsid w:val="00DD710E"/>
    <w:rsid w:val="00DD712F"/>
    <w:rsid w:val="00DD72F4"/>
    <w:rsid w:val="00DD734D"/>
    <w:rsid w:val="00DD7653"/>
    <w:rsid w:val="00DD76C2"/>
    <w:rsid w:val="00DD7727"/>
    <w:rsid w:val="00DD7B69"/>
    <w:rsid w:val="00DD7C57"/>
    <w:rsid w:val="00DD7EAE"/>
    <w:rsid w:val="00DD7F8C"/>
    <w:rsid w:val="00DE0384"/>
    <w:rsid w:val="00DE039C"/>
    <w:rsid w:val="00DE0525"/>
    <w:rsid w:val="00DE0547"/>
    <w:rsid w:val="00DE05F9"/>
    <w:rsid w:val="00DE0D68"/>
    <w:rsid w:val="00DE14EE"/>
    <w:rsid w:val="00DE17DF"/>
    <w:rsid w:val="00DE1887"/>
    <w:rsid w:val="00DE1B7E"/>
    <w:rsid w:val="00DE2113"/>
    <w:rsid w:val="00DE243F"/>
    <w:rsid w:val="00DE2499"/>
    <w:rsid w:val="00DE2717"/>
    <w:rsid w:val="00DE282B"/>
    <w:rsid w:val="00DE28F1"/>
    <w:rsid w:val="00DE2A27"/>
    <w:rsid w:val="00DE2C1D"/>
    <w:rsid w:val="00DE2C87"/>
    <w:rsid w:val="00DE2EA4"/>
    <w:rsid w:val="00DE2FB3"/>
    <w:rsid w:val="00DE3138"/>
    <w:rsid w:val="00DE334C"/>
    <w:rsid w:val="00DE351E"/>
    <w:rsid w:val="00DE3976"/>
    <w:rsid w:val="00DE3DA6"/>
    <w:rsid w:val="00DE3E30"/>
    <w:rsid w:val="00DE3F0A"/>
    <w:rsid w:val="00DE47BA"/>
    <w:rsid w:val="00DE4B66"/>
    <w:rsid w:val="00DE50FE"/>
    <w:rsid w:val="00DE5333"/>
    <w:rsid w:val="00DE55CA"/>
    <w:rsid w:val="00DE566B"/>
    <w:rsid w:val="00DE5A63"/>
    <w:rsid w:val="00DE5AEF"/>
    <w:rsid w:val="00DE6405"/>
    <w:rsid w:val="00DE67A6"/>
    <w:rsid w:val="00DE6A98"/>
    <w:rsid w:val="00DE6C20"/>
    <w:rsid w:val="00DE6D16"/>
    <w:rsid w:val="00DE6F1F"/>
    <w:rsid w:val="00DE6F71"/>
    <w:rsid w:val="00DE7256"/>
    <w:rsid w:val="00DE734A"/>
    <w:rsid w:val="00DE769E"/>
    <w:rsid w:val="00DE7B3B"/>
    <w:rsid w:val="00DE7BF9"/>
    <w:rsid w:val="00DF0201"/>
    <w:rsid w:val="00DF0878"/>
    <w:rsid w:val="00DF0B7B"/>
    <w:rsid w:val="00DF0EB7"/>
    <w:rsid w:val="00DF0F9C"/>
    <w:rsid w:val="00DF1464"/>
    <w:rsid w:val="00DF1930"/>
    <w:rsid w:val="00DF1941"/>
    <w:rsid w:val="00DF1A3A"/>
    <w:rsid w:val="00DF229D"/>
    <w:rsid w:val="00DF2413"/>
    <w:rsid w:val="00DF2762"/>
    <w:rsid w:val="00DF2835"/>
    <w:rsid w:val="00DF2C51"/>
    <w:rsid w:val="00DF3064"/>
    <w:rsid w:val="00DF30D7"/>
    <w:rsid w:val="00DF329F"/>
    <w:rsid w:val="00DF345F"/>
    <w:rsid w:val="00DF388C"/>
    <w:rsid w:val="00DF3C2C"/>
    <w:rsid w:val="00DF4381"/>
    <w:rsid w:val="00DF44D9"/>
    <w:rsid w:val="00DF4502"/>
    <w:rsid w:val="00DF47F6"/>
    <w:rsid w:val="00DF48DF"/>
    <w:rsid w:val="00DF4B69"/>
    <w:rsid w:val="00DF4F03"/>
    <w:rsid w:val="00DF4FB1"/>
    <w:rsid w:val="00DF505C"/>
    <w:rsid w:val="00DF5126"/>
    <w:rsid w:val="00DF550D"/>
    <w:rsid w:val="00DF568A"/>
    <w:rsid w:val="00DF5C2D"/>
    <w:rsid w:val="00DF5F72"/>
    <w:rsid w:val="00DF682C"/>
    <w:rsid w:val="00DF689E"/>
    <w:rsid w:val="00DF6910"/>
    <w:rsid w:val="00DF693C"/>
    <w:rsid w:val="00DF6AA9"/>
    <w:rsid w:val="00DF6AD2"/>
    <w:rsid w:val="00DF6E4A"/>
    <w:rsid w:val="00DF707A"/>
    <w:rsid w:val="00DF722D"/>
    <w:rsid w:val="00DF7417"/>
    <w:rsid w:val="00DF7743"/>
    <w:rsid w:val="00DF7912"/>
    <w:rsid w:val="00DF797C"/>
    <w:rsid w:val="00DF79CA"/>
    <w:rsid w:val="00DF7AEB"/>
    <w:rsid w:val="00DF7D23"/>
    <w:rsid w:val="00DF7E64"/>
    <w:rsid w:val="00E00077"/>
    <w:rsid w:val="00E0021A"/>
    <w:rsid w:val="00E00308"/>
    <w:rsid w:val="00E00374"/>
    <w:rsid w:val="00E0061D"/>
    <w:rsid w:val="00E0078F"/>
    <w:rsid w:val="00E00C1B"/>
    <w:rsid w:val="00E00EE0"/>
    <w:rsid w:val="00E00FD0"/>
    <w:rsid w:val="00E01148"/>
    <w:rsid w:val="00E01161"/>
    <w:rsid w:val="00E01465"/>
    <w:rsid w:val="00E0189B"/>
    <w:rsid w:val="00E01921"/>
    <w:rsid w:val="00E01DCB"/>
    <w:rsid w:val="00E01DF3"/>
    <w:rsid w:val="00E01F90"/>
    <w:rsid w:val="00E0231F"/>
    <w:rsid w:val="00E02A88"/>
    <w:rsid w:val="00E02CCD"/>
    <w:rsid w:val="00E02F24"/>
    <w:rsid w:val="00E02FE4"/>
    <w:rsid w:val="00E03173"/>
    <w:rsid w:val="00E037A1"/>
    <w:rsid w:val="00E03822"/>
    <w:rsid w:val="00E03FC1"/>
    <w:rsid w:val="00E03FDB"/>
    <w:rsid w:val="00E040D0"/>
    <w:rsid w:val="00E0432C"/>
    <w:rsid w:val="00E04481"/>
    <w:rsid w:val="00E04843"/>
    <w:rsid w:val="00E04AFE"/>
    <w:rsid w:val="00E04C6D"/>
    <w:rsid w:val="00E04F84"/>
    <w:rsid w:val="00E0561E"/>
    <w:rsid w:val="00E05692"/>
    <w:rsid w:val="00E05985"/>
    <w:rsid w:val="00E05AB3"/>
    <w:rsid w:val="00E05F43"/>
    <w:rsid w:val="00E06484"/>
    <w:rsid w:val="00E06A95"/>
    <w:rsid w:val="00E06BF6"/>
    <w:rsid w:val="00E06D79"/>
    <w:rsid w:val="00E06D7B"/>
    <w:rsid w:val="00E07284"/>
    <w:rsid w:val="00E07294"/>
    <w:rsid w:val="00E07396"/>
    <w:rsid w:val="00E07556"/>
    <w:rsid w:val="00E07B83"/>
    <w:rsid w:val="00E07E40"/>
    <w:rsid w:val="00E07F6C"/>
    <w:rsid w:val="00E10149"/>
    <w:rsid w:val="00E10192"/>
    <w:rsid w:val="00E10546"/>
    <w:rsid w:val="00E10784"/>
    <w:rsid w:val="00E107B4"/>
    <w:rsid w:val="00E10875"/>
    <w:rsid w:val="00E10B1B"/>
    <w:rsid w:val="00E10C5B"/>
    <w:rsid w:val="00E11131"/>
    <w:rsid w:val="00E111C4"/>
    <w:rsid w:val="00E11231"/>
    <w:rsid w:val="00E1132B"/>
    <w:rsid w:val="00E113F8"/>
    <w:rsid w:val="00E11BB5"/>
    <w:rsid w:val="00E11DBC"/>
    <w:rsid w:val="00E11EA1"/>
    <w:rsid w:val="00E11F3C"/>
    <w:rsid w:val="00E11FDE"/>
    <w:rsid w:val="00E1214B"/>
    <w:rsid w:val="00E128E7"/>
    <w:rsid w:val="00E12A47"/>
    <w:rsid w:val="00E12C6B"/>
    <w:rsid w:val="00E12D1D"/>
    <w:rsid w:val="00E12E50"/>
    <w:rsid w:val="00E12F29"/>
    <w:rsid w:val="00E12F97"/>
    <w:rsid w:val="00E131DF"/>
    <w:rsid w:val="00E1335F"/>
    <w:rsid w:val="00E13FBD"/>
    <w:rsid w:val="00E141CA"/>
    <w:rsid w:val="00E14355"/>
    <w:rsid w:val="00E144F0"/>
    <w:rsid w:val="00E14685"/>
    <w:rsid w:val="00E14947"/>
    <w:rsid w:val="00E14EA3"/>
    <w:rsid w:val="00E14EB4"/>
    <w:rsid w:val="00E14EC8"/>
    <w:rsid w:val="00E15026"/>
    <w:rsid w:val="00E15029"/>
    <w:rsid w:val="00E15093"/>
    <w:rsid w:val="00E15689"/>
    <w:rsid w:val="00E15844"/>
    <w:rsid w:val="00E1587C"/>
    <w:rsid w:val="00E1596C"/>
    <w:rsid w:val="00E159D2"/>
    <w:rsid w:val="00E15F09"/>
    <w:rsid w:val="00E1694D"/>
    <w:rsid w:val="00E16CB6"/>
    <w:rsid w:val="00E16E34"/>
    <w:rsid w:val="00E16F43"/>
    <w:rsid w:val="00E17770"/>
    <w:rsid w:val="00E179E7"/>
    <w:rsid w:val="00E17A0A"/>
    <w:rsid w:val="00E17B57"/>
    <w:rsid w:val="00E17D45"/>
    <w:rsid w:val="00E17E12"/>
    <w:rsid w:val="00E20337"/>
    <w:rsid w:val="00E20386"/>
    <w:rsid w:val="00E2053B"/>
    <w:rsid w:val="00E206B3"/>
    <w:rsid w:val="00E208E7"/>
    <w:rsid w:val="00E20BB2"/>
    <w:rsid w:val="00E2141A"/>
    <w:rsid w:val="00E218C2"/>
    <w:rsid w:val="00E21992"/>
    <w:rsid w:val="00E21C87"/>
    <w:rsid w:val="00E21DAE"/>
    <w:rsid w:val="00E2201F"/>
    <w:rsid w:val="00E2269B"/>
    <w:rsid w:val="00E228EE"/>
    <w:rsid w:val="00E22912"/>
    <w:rsid w:val="00E22A2D"/>
    <w:rsid w:val="00E22C0C"/>
    <w:rsid w:val="00E22C34"/>
    <w:rsid w:val="00E22FB5"/>
    <w:rsid w:val="00E2318A"/>
    <w:rsid w:val="00E235A6"/>
    <w:rsid w:val="00E237B6"/>
    <w:rsid w:val="00E23969"/>
    <w:rsid w:val="00E23A07"/>
    <w:rsid w:val="00E23B68"/>
    <w:rsid w:val="00E23C87"/>
    <w:rsid w:val="00E23DF2"/>
    <w:rsid w:val="00E23FB0"/>
    <w:rsid w:val="00E24032"/>
    <w:rsid w:val="00E24040"/>
    <w:rsid w:val="00E242A2"/>
    <w:rsid w:val="00E249F0"/>
    <w:rsid w:val="00E24CC5"/>
    <w:rsid w:val="00E24F58"/>
    <w:rsid w:val="00E25525"/>
    <w:rsid w:val="00E2565C"/>
    <w:rsid w:val="00E25704"/>
    <w:rsid w:val="00E25939"/>
    <w:rsid w:val="00E25A13"/>
    <w:rsid w:val="00E25CAB"/>
    <w:rsid w:val="00E25F7A"/>
    <w:rsid w:val="00E25FD4"/>
    <w:rsid w:val="00E261E2"/>
    <w:rsid w:val="00E26489"/>
    <w:rsid w:val="00E266D8"/>
    <w:rsid w:val="00E267E7"/>
    <w:rsid w:val="00E26860"/>
    <w:rsid w:val="00E268A0"/>
    <w:rsid w:val="00E26A1A"/>
    <w:rsid w:val="00E26EE5"/>
    <w:rsid w:val="00E271B3"/>
    <w:rsid w:val="00E2737E"/>
    <w:rsid w:val="00E275E9"/>
    <w:rsid w:val="00E27858"/>
    <w:rsid w:val="00E27A24"/>
    <w:rsid w:val="00E30025"/>
    <w:rsid w:val="00E3029B"/>
    <w:rsid w:val="00E304AC"/>
    <w:rsid w:val="00E30579"/>
    <w:rsid w:val="00E30597"/>
    <w:rsid w:val="00E30613"/>
    <w:rsid w:val="00E3065D"/>
    <w:rsid w:val="00E307CC"/>
    <w:rsid w:val="00E308D4"/>
    <w:rsid w:val="00E309BA"/>
    <w:rsid w:val="00E30B9B"/>
    <w:rsid w:val="00E30F27"/>
    <w:rsid w:val="00E30FAE"/>
    <w:rsid w:val="00E316B6"/>
    <w:rsid w:val="00E31BD4"/>
    <w:rsid w:val="00E31DEF"/>
    <w:rsid w:val="00E323C7"/>
    <w:rsid w:val="00E3271C"/>
    <w:rsid w:val="00E3280E"/>
    <w:rsid w:val="00E32982"/>
    <w:rsid w:val="00E32A06"/>
    <w:rsid w:val="00E32B98"/>
    <w:rsid w:val="00E32D3C"/>
    <w:rsid w:val="00E33287"/>
    <w:rsid w:val="00E3328F"/>
    <w:rsid w:val="00E33953"/>
    <w:rsid w:val="00E33958"/>
    <w:rsid w:val="00E33A6A"/>
    <w:rsid w:val="00E33D8B"/>
    <w:rsid w:val="00E33EC3"/>
    <w:rsid w:val="00E3405F"/>
    <w:rsid w:val="00E3406C"/>
    <w:rsid w:val="00E34329"/>
    <w:rsid w:val="00E34391"/>
    <w:rsid w:val="00E3440C"/>
    <w:rsid w:val="00E346AB"/>
    <w:rsid w:val="00E347B4"/>
    <w:rsid w:val="00E347F3"/>
    <w:rsid w:val="00E34810"/>
    <w:rsid w:val="00E34835"/>
    <w:rsid w:val="00E34843"/>
    <w:rsid w:val="00E349FE"/>
    <w:rsid w:val="00E34A17"/>
    <w:rsid w:val="00E34D52"/>
    <w:rsid w:val="00E3503E"/>
    <w:rsid w:val="00E353D0"/>
    <w:rsid w:val="00E354D1"/>
    <w:rsid w:val="00E355B1"/>
    <w:rsid w:val="00E355C8"/>
    <w:rsid w:val="00E359FA"/>
    <w:rsid w:val="00E35BBE"/>
    <w:rsid w:val="00E36293"/>
    <w:rsid w:val="00E366AF"/>
    <w:rsid w:val="00E367FC"/>
    <w:rsid w:val="00E36AFC"/>
    <w:rsid w:val="00E3711C"/>
    <w:rsid w:val="00E37316"/>
    <w:rsid w:val="00E37848"/>
    <w:rsid w:val="00E3784F"/>
    <w:rsid w:val="00E37C9F"/>
    <w:rsid w:val="00E37CC0"/>
    <w:rsid w:val="00E37DF7"/>
    <w:rsid w:val="00E37E35"/>
    <w:rsid w:val="00E40051"/>
    <w:rsid w:val="00E40C27"/>
    <w:rsid w:val="00E40CF3"/>
    <w:rsid w:val="00E40EA2"/>
    <w:rsid w:val="00E411BA"/>
    <w:rsid w:val="00E41598"/>
    <w:rsid w:val="00E4161E"/>
    <w:rsid w:val="00E41696"/>
    <w:rsid w:val="00E41715"/>
    <w:rsid w:val="00E417B3"/>
    <w:rsid w:val="00E41D24"/>
    <w:rsid w:val="00E41E1D"/>
    <w:rsid w:val="00E420A8"/>
    <w:rsid w:val="00E420C8"/>
    <w:rsid w:val="00E42619"/>
    <w:rsid w:val="00E429D9"/>
    <w:rsid w:val="00E42A92"/>
    <w:rsid w:val="00E432EF"/>
    <w:rsid w:val="00E4338D"/>
    <w:rsid w:val="00E435C8"/>
    <w:rsid w:val="00E43611"/>
    <w:rsid w:val="00E43620"/>
    <w:rsid w:val="00E4375A"/>
    <w:rsid w:val="00E43888"/>
    <w:rsid w:val="00E43C8F"/>
    <w:rsid w:val="00E4437F"/>
    <w:rsid w:val="00E443D8"/>
    <w:rsid w:val="00E443FF"/>
    <w:rsid w:val="00E44533"/>
    <w:rsid w:val="00E4453E"/>
    <w:rsid w:val="00E446DF"/>
    <w:rsid w:val="00E44B0D"/>
    <w:rsid w:val="00E44F97"/>
    <w:rsid w:val="00E455CF"/>
    <w:rsid w:val="00E45A6F"/>
    <w:rsid w:val="00E45B4E"/>
    <w:rsid w:val="00E45FFE"/>
    <w:rsid w:val="00E460EE"/>
    <w:rsid w:val="00E46100"/>
    <w:rsid w:val="00E46101"/>
    <w:rsid w:val="00E46265"/>
    <w:rsid w:val="00E46436"/>
    <w:rsid w:val="00E465A1"/>
    <w:rsid w:val="00E46713"/>
    <w:rsid w:val="00E46990"/>
    <w:rsid w:val="00E46A27"/>
    <w:rsid w:val="00E46AEF"/>
    <w:rsid w:val="00E46BB1"/>
    <w:rsid w:val="00E46C6A"/>
    <w:rsid w:val="00E46CB1"/>
    <w:rsid w:val="00E46E59"/>
    <w:rsid w:val="00E47127"/>
    <w:rsid w:val="00E47484"/>
    <w:rsid w:val="00E475F6"/>
    <w:rsid w:val="00E477A1"/>
    <w:rsid w:val="00E47BDB"/>
    <w:rsid w:val="00E47DAD"/>
    <w:rsid w:val="00E5038F"/>
    <w:rsid w:val="00E50A4B"/>
    <w:rsid w:val="00E50D53"/>
    <w:rsid w:val="00E50DFA"/>
    <w:rsid w:val="00E50F67"/>
    <w:rsid w:val="00E513E0"/>
    <w:rsid w:val="00E516BB"/>
    <w:rsid w:val="00E51A3C"/>
    <w:rsid w:val="00E51E30"/>
    <w:rsid w:val="00E521DF"/>
    <w:rsid w:val="00E529A5"/>
    <w:rsid w:val="00E52A24"/>
    <w:rsid w:val="00E52CCB"/>
    <w:rsid w:val="00E52DB2"/>
    <w:rsid w:val="00E52EA6"/>
    <w:rsid w:val="00E530A7"/>
    <w:rsid w:val="00E53275"/>
    <w:rsid w:val="00E533A9"/>
    <w:rsid w:val="00E534CC"/>
    <w:rsid w:val="00E53506"/>
    <w:rsid w:val="00E53887"/>
    <w:rsid w:val="00E539DF"/>
    <w:rsid w:val="00E53B0E"/>
    <w:rsid w:val="00E54023"/>
    <w:rsid w:val="00E546FF"/>
    <w:rsid w:val="00E5493B"/>
    <w:rsid w:val="00E54B59"/>
    <w:rsid w:val="00E54D3D"/>
    <w:rsid w:val="00E5508F"/>
    <w:rsid w:val="00E55117"/>
    <w:rsid w:val="00E55745"/>
    <w:rsid w:val="00E55933"/>
    <w:rsid w:val="00E55B70"/>
    <w:rsid w:val="00E55DB5"/>
    <w:rsid w:val="00E55E2A"/>
    <w:rsid w:val="00E55E65"/>
    <w:rsid w:val="00E55F23"/>
    <w:rsid w:val="00E563E0"/>
    <w:rsid w:val="00E56512"/>
    <w:rsid w:val="00E566C8"/>
    <w:rsid w:val="00E56967"/>
    <w:rsid w:val="00E56AA3"/>
    <w:rsid w:val="00E56AFB"/>
    <w:rsid w:val="00E56D06"/>
    <w:rsid w:val="00E56D4D"/>
    <w:rsid w:val="00E57189"/>
    <w:rsid w:val="00E572A4"/>
    <w:rsid w:val="00E572B9"/>
    <w:rsid w:val="00E5732E"/>
    <w:rsid w:val="00E57AEF"/>
    <w:rsid w:val="00E57BB7"/>
    <w:rsid w:val="00E57C0F"/>
    <w:rsid w:val="00E57D3D"/>
    <w:rsid w:val="00E57F88"/>
    <w:rsid w:val="00E600B5"/>
    <w:rsid w:val="00E60404"/>
    <w:rsid w:val="00E606DE"/>
    <w:rsid w:val="00E606F3"/>
    <w:rsid w:val="00E6092B"/>
    <w:rsid w:val="00E60A4A"/>
    <w:rsid w:val="00E60C15"/>
    <w:rsid w:val="00E60D5D"/>
    <w:rsid w:val="00E60EAC"/>
    <w:rsid w:val="00E61126"/>
    <w:rsid w:val="00E61555"/>
    <w:rsid w:val="00E6176C"/>
    <w:rsid w:val="00E617C7"/>
    <w:rsid w:val="00E619E1"/>
    <w:rsid w:val="00E61B26"/>
    <w:rsid w:val="00E61D4B"/>
    <w:rsid w:val="00E62162"/>
    <w:rsid w:val="00E6230E"/>
    <w:rsid w:val="00E62463"/>
    <w:rsid w:val="00E62C33"/>
    <w:rsid w:val="00E62DD1"/>
    <w:rsid w:val="00E62E39"/>
    <w:rsid w:val="00E62FB8"/>
    <w:rsid w:val="00E630D3"/>
    <w:rsid w:val="00E632D5"/>
    <w:rsid w:val="00E63560"/>
    <w:rsid w:val="00E6364B"/>
    <w:rsid w:val="00E636B2"/>
    <w:rsid w:val="00E637FC"/>
    <w:rsid w:val="00E63BDD"/>
    <w:rsid w:val="00E63DC6"/>
    <w:rsid w:val="00E63DCA"/>
    <w:rsid w:val="00E63E33"/>
    <w:rsid w:val="00E64335"/>
    <w:rsid w:val="00E64474"/>
    <w:rsid w:val="00E6485F"/>
    <w:rsid w:val="00E648B2"/>
    <w:rsid w:val="00E6497E"/>
    <w:rsid w:val="00E64C8A"/>
    <w:rsid w:val="00E64E33"/>
    <w:rsid w:val="00E64E3D"/>
    <w:rsid w:val="00E65078"/>
    <w:rsid w:val="00E6583E"/>
    <w:rsid w:val="00E6590E"/>
    <w:rsid w:val="00E65B15"/>
    <w:rsid w:val="00E65B63"/>
    <w:rsid w:val="00E65DB3"/>
    <w:rsid w:val="00E66227"/>
    <w:rsid w:val="00E664E1"/>
    <w:rsid w:val="00E669D4"/>
    <w:rsid w:val="00E66A7C"/>
    <w:rsid w:val="00E66AA0"/>
    <w:rsid w:val="00E66AFB"/>
    <w:rsid w:val="00E66BC9"/>
    <w:rsid w:val="00E66D32"/>
    <w:rsid w:val="00E66DA0"/>
    <w:rsid w:val="00E670A4"/>
    <w:rsid w:val="00E6726D"/>
    <w:rsid w:val="00E67320"/>
    <w:rsid w:val="00E67773"/>
    <w:rsid w:val="00E67B8F"/>
    <w:rsid w:val="00E67C85"/>
    <w:rsid w:val="00E706CC"/>
    <w:rsid w:val="00E709D3"/>
    <w:rsid w:val="00E70A64"/>
    <w:rsid w:val="00E71225"/>
    <w:rsid w:val="00E712F0"/>
    <w:rsid w:val="00E716C6"/>
    <w:rsid w:val="00E71947"/>
    <w:rsid w:val="00E719B8"/>
    <w:rsid w:val="00E71A6A"/>
    <w:rsid w:val="00E71BE6"/>
    <w:rsid w:val="00E721AB"/>
    <w:rsid w:val="00E72256"/>
    <w:rsid w:val="00E72338"/>
    <w:rsid w:val="00E7247F"/>
    <w:rsid w:val="00E72E72"/>
    <w:rsid w:val="00E733C5"/>
    <w:rsid w:val="00E73524"/>
    <w:rsid w:val="00E73736"/>
    <w:rsid w:val="00E73817"/>
    <w:rsid w:val="00E73B1D"/>
    <w:rsid w:val="00E73C65"/>
    <w:rsid w:val="00E7401F"/>
    <w:rsid w:val="00E7475D"/>
    <w:rsid w:val="00E74A6C"/>
    <w:rsid w:val="00E74C28"/>
    <w:rsid w:val="00E74F53"/>
    <w:rsid w:val="00E75084"/>
    <w:rsid w:val="00E75795"/>
    <w:rsid w:val="00E757BD"/>
    <w:rsid w:val="00E75923"/>
    <w:rsid w:val="00E75F0F"/>
    <w:rsid w:val="00E75F25"/>
    <w:rsid w:val="00E75FF2"/>
    <w:rsid w:val="00E76356"/>
    <w:rsid w:val="00E76A0D"/>
    <w:rsid w:val="00E76D8C"/>
    <w:rsid w:val="00E773D8"/>
    <w:rsid w:val="00E77475"/>
    <w:rsid w:val="00E7748C"/>
    <w:rsid w:val="00E77505"/>
    <w:rsid w:val="00E77A0E"/>
    <w:rsid w:val="00E77D1D"/>
    <w:rsid w:val="00E77DE9"/>
    <w:rsid w:val="00E80081"/>
    <w:rsid w:val="00E806E4"/>
    <w:rsid w:val="00E8081B"/>
    <w:rsid w:val="00E80B41"/>
    <w:rsid w:val="00E80BF5"/>
    <w:rsid w:val="00E81730"/>
    <w:rsid w:val="00E81A7E"/>
    <w:rsid w:val="00E81F50"/>
    <w:rsid w:val="00E8214A"/>
    <w:rsid w:val="00E8215D"/>
    <w:rsid w:val="00E823F3"/>
    <w:rsid w:val="00E82744"/>
    <w:rsid w:val="00E8282B"/>
    <w:rsid w:val="00E830F4"/>
    <w:rsid w:val="00E830FB"/>
    <w:rsid w:val="00E8318B"/>
    <w:rsid w:val="00E83307"/>
    <w:rsid w:val="00E8382C"/>
    <w:rsid w:val="00E83B34"/>
    <w:rsid w:val="00E84050"/>
    <w:rsid w:val="00E84113"/>
    <w:rsid w:val="00E841B1"/>
    <w:rsid w:val="00E844DC"/>
    <w:rsid w:val="00E845A4"/>
    <w:rsid w:val="00E84744"/>
    <w:rsid w:val="00E84955"/>
    <w:rsid w:val="00E84DEA"/>
    <w:rsid w:val="00E84E32"/>
    <w:rsid w:val="00E84EB4"/>
    <w:rsid w:val="00E84FAC"/>
    <w:rsid w:val="00E85121"/>
    <w:rsid w:val="00E85158"/>
    <w:rsid w:val="00E853EF"/>
    <w:rsid w:val="00E859DF"/>
    <w:rsid w:val="00E86056"/>
    <w:rsid w:val="00E8613D"/>
    <w:rsid w:val="00E86482"/>
    <w:rsid w:val="00E865D8"/>
    <w:rsid w:val="00E86684"/>
    <w:rsid w:val="00E8673A"/>
    <w:rsid w:val="00E86849"/>
    <w:rsid w:val="00E8696B"/>
    <w:rsid w:val="00E86A55"/>
    <w:rsid w:val="00E86A70"/>
    <w:rsid w:val="00E86BC4"/>
    <w:rsid w:val="00E86CD0"/>
    <w:rsid w:val="00E870CB"/>
    <w:rsid w:val="00E871F0"/>
    <w:rsid w:val="00E8732D"/>
    <w:rsid w:val="00E8775E"/>
    <w:rsid w:val="00E87E38"/>
    <w:rsid w:val="00E87FAA"/>
    <w:rsid w:val="00E901BF"/>
    <w:rsid w:val="00E90505"/>
    <w:rsid w:val="00E90780"/>
    <w:rsid w:val="00E90BF7"/>
    <w:rsid w:val="00E913C9"/>
    <w:rsid w:val="00E91471"/>
    <w:rsid w:val="00E915AD"/>
    <w:rsid w:val="00E9190C"/>
    <w:rsid w:val="00E91955"/>
    <w:rsid w:val="00E919F4"/>
    <w:rsid w:val="00E919FF"/>
    <w:rsid w:val="00E91D76"/>
    <w:rsid w:val="00E91ED2"/>
    <w:rsid w:val="00E91FBB"/>
    <w:rsid w:val="00E92038"/>
    <w:rsid w:val="00E92052"/>
    <w:rsid w:val="00E922A9"/>
    <w:rsid w:val="00E92428"/>
    <w:rsid w:val="00E92523"/>
    <w:rsid w:val="00E9291B"/>
    <w:rsid w:val="00E9293E"/>
    <w:rsid w:val="00E92AAC"/>
    <w:rsid w:val="00E92C4C"/>
    <w:rsid w:val="00E92DE4"/>
    <w:rsid w:val="00E92F25"/>
    <w:rsid w:val="00E93224"/>
    <w:rsid w:val="00E9343D"/>
    <w:rsid w:val="00E935BD"/>
    <w:rsid w:val="00E935D0"/>
    <w:rsid w:val="00E93C64"/>
    <w:rsid w:val="00E93CDE"/>
    <w:rsid w:val="00E93E04"/>
    <w:rsid w:val="00E9403C"/>
    <w:rsid w:val="00E94256"/>
    <w:rsid w:val="00E94275"/>
    <w:rsid w:val="00E94570"/>
    <w:rsid w:val="00E945AF"/>
    <w:rsid w:val="00E947F2"/>
    <w:rsid w:val="00E94E6C"/>
    <w:rsid w:val="00E94EB0"/>
    <w:rsid w:val="00E9500C"/>
    <w:rsid w:val="00E95A75"/>
    <w:rsid w:val="00E95F60"/>
    <w:rsid w:val="00E961C9"/>
    <w:rsid w:val="00E96280"/>
    <w:rsid w:val="00E964D1"/>
    <w:rsid w:val="00E96528"/>
    <w:rsid w:val="00E96799"/>
    <w:rsid w:val="00E96EDE"/>
    <w:rsid w:val="00E9733B"/>
    <w:rsid w:val="00E974BD"/>
    <w:rsid w:val="00E97616"/>
    <w:rsid w:val="00E9783F"/>
    <w:rsid w:val="00E97C2D"/>
    <w:rsid w:val="00EA01D9"/>
    <w:rsid w:val="00EA03B3"/>
    <w:rsid w:val="00EA04A3"/>
    <w:rsid w:val="00EA06BE"/>
    <w:rsid w:val="00EA081D"/>
    <w:rsid w:val="00EA1596"/>
    <w:rsid w:val="00EA16CC"/>
    <w:rsid w:val="00EA1921"/>
    <w:rsid w:val="00EA1AEB"/>
    <w:rsid w:val="00EA1BC9"/>
    <w:rsid w:val="00EA1DE5"/>
    <w:rsid w:val="00EA1E62"/>
    <w:rsid w:val="00EA251D"/>
    <w:rsid w:val="00EA2A80"/>
    <w:rsid w:val="00EA2E55"/>
    <w:rsid w:val="00EA2F75"/>
    <w:rsid w:val="00EA2FC3"/>
    <w:rsid w:val="00EA3079"/>
    <w:rsid w:val="00EA31A9"/>
    <w:rsid w:val="00EA325E"/>
    <w:rsid w:val="00EA354B"/>
    <w:rsid w:val="00EA3632"/>
    <w:rsid w:val="00EA3671"/>
    <w:rsid w:val="00EA36E2"/>
    <w:rsid w:val="00EA3DF8"/>
    <w:rsid w:val="00EA4CF3"/>
    <w:rsid w:val="00EA4D19"/>
    <w:rsid w:val="00EA4EB4"/>
    <w:rsid w:val="00EA542F"/>
    <w:rsid w:val="00EA59FB"/>
    <w:rsid w:val="00EA5D0D"/>
    <w:rsid w:val="00EA6107"/>
    <w:rsid w:val="00EA655F"/>
    <w:rsid w:val="00EA6F52"/>
    <w:rsid w:val="00EA70A8"/>
    <w:rsid w:val="00EA7304"/>
    <w:rsid w:val="00EA7445"/>
    <w:rsid w:val="00EA75B8"/>
    <w:rsid w:val="00EA7731"/>
    <w:rsid w:val="00EA78F0"/>
    <w:rsid w:val="00EA7993"/>
    <w:rsid w:val="00EA7E96"/>
    <w:rsid w:val="00EB0327"/>
    <w:rsid w:val="00EB037F"/>
    <w:rsid w:val="00EB0489"/>
    <w:rsid w:val="00EB0751"/>
    <w:rsid w:val="00EB0875"/>
    <w:rsid w:val="00EB1102"/>
    <w:rsid w:val="00EB14E8"/>
    <w:rsid w:val="00EB158E"/>
    <w:rsid w:val="00EB15E3"/>
    <w:rsid w:val="00EB18EB"/>
    <w:rsid w:val="00EB1A5F"/>
    <w:rsid w:val="00EB1CC9"/>
    <w:rsid w:val="00EB1E71"/>
    <w:rsid w:val="00EB1FD8"/>
    <w:rsid w:val="00EB2947"/>
    <w:rsid w:val="00EB294B"/>
    <w:rsid w:val="00EB2A25"/>
    <w:rsid w:val="00EB2C95"/>
    <w:rsid w:val="00EB3159"/>
    <w:rsid w:val="00EB315C"/>
    <w:rsid w:val="00EB3238"/>
    <w:rsid w:val="00EB33C4"/>
    <w:rsid w:val="00EB3438"/>
    <w:rsid w:val="00EB3DE9"/>
    <w:rsid w:val="00EB3ECF"/>
    <w:rsid w:val="00EB4058"/>
    <w:rsid w:val="00EB40B6"/>
    <w:rsid w:val="00EB43E7"/>
    <w:rsid w:val="00EB46FC"/>
    <w:rsid w:val="00EB4C54"/>
    <w:rsid w:val="00EB4F06"/>
    <w:rsid w:val="00EB4F89"/>
    <w:rsid w:val="00EB52B3"/>
    <w:rsid w:val="00EB5363"/>
    <w:rsid w:val="00EB5371"/>
    <w:rsid w:val="00EB551F"/>
    <w:rsid w:val="00EB5815"/>
    <w:rsid w:val="00EB5BAD"/>
    <w:rsid w:val="00EB61A5"/>
    <w:rsid w:val="00EB6365"/>
    <w:rsid w:val="00EB6463"/>
    <w:rsid w:val="00EB67B0"/>
    <w:rsid w:val="00EB6A5E"/>
    <w:rsid w:val="00EB6B8A"/>
    <w:rsid w:val="00EB6DE5"/>
    <w:rsid w:val="00EB6E66"/>
    <w:rsid w:val="00EB702E"/>
    <w:rsid w:val="00EB74AA"/>
    <w:rsid w:val="00EB76FE"/>
    <w:rsid w:val="00EB7F7F"/>
    <w:rsid w:val="00EC01B2"/>
    <w:rsid w:val="00EC0291"/>
    <w:rsid w:val="00EC03C3"/>
    <w:rsid w:val="00EC0520"/>
    <w:rsid w:val="00EC05F5"/>
    <w:rsid w:val="00EC0A3A"/>
    <w:rsid w:val="00EC0B55"/>
    <w:rsid w:val="00EC0E39"/>
    <w:rsid w:val="00EC122F"/>
    <w:rsid w:val="00EC12E7"/>
    <w:rsid w:val="00EC133D"/>
    <w:rsid w:val="00EC14B7"/>
    <w:rsid w:val="00EC17C2"/>
    <w:rsid w:val="00EC1CEC"/>
    <w:rsid w:val="00EC1D37"/>
    <w:rsid w:val="00EC1E0D"/>
    <w:rsid w:val="00EC26E1"/>
    <w:rsid w:val="00EC28F6"/>
    <w:rsid w:val="00EC315C"/>
    <w:rsid w:val="00EC3273"/>
    <w:rsid w:val="00EC3398"/>
    <w:rsid w:val="00EC3407"/>
    <w:rsid w:val="00EC355A"/>
    <w:rsid w:val="00EC365D"/>
    <w:rsid w:val="00EC38BB"/>
    <w:rsid w:val="00EC3990"/>
    <w:rsid w:val="00EC3BB7"/>
    <w:rsid w:val="00EC436C"/>
    <w:rsid w:val="00EC46DA"/>
    <w:rsid w:val="00EC4C45"/>
    <w:rsid w:val="00EC4E89"/>
    <w:rsid w:val="00EC50E6"/>
    <w:rsid w:val="00EC520C"/>
    <w:rsid w:val="00EC52B2"/>
    <w:rsid w:val="00EC56D3"/>
    <w:rsid w:val="00EC5B70"/>
    <w:rsid w:val="00EC5E5A"/>
    <w:rsid w:val="00EC6321"/>
    <w:rsid w:val="00EC640A"/>
    <w:rsid w:val="00EC64F8"/>
    <w:rsid w:val="00EC6B33"/>
    <w:rsid w:val="00EC6E62"/>
    <w:rsid w:val="00EC6EC8"/>
    <w:rsid w:val="00EC6F2C"/>
    <w:rsid w:val="00EC7A2C"/>
    <w:rsid w:val="00ED02E6"/>
    <w:rsid w:val="00ED056E"/>
    <w:rsid w:val="00ED0901"/>
    <w:rsid w:val="00ED0F3E"/>
    <w:rsid w:val="00ED0FAD"/>
    <w:rsid w:val="00ED1211"/>
    <w:rsid w:val="00ED12C4"/>
    <w:rsid w:val="00ED1865"/>
    <w:rsid w:val="00ED1967"/>
    <w:rsid w:val="00ED1CF4"/>
    <w:rsid w:val="00ED1F3A"/>
    <w:rsid w:val="00ED2C6E"/>
    <w:rsid w:val="00ED2E11"/>
    <w:rsid w:val="00ED2F06"/>
    <w:rsid w:val="00ED2FBF"/>
    <w:rsid w:val="00ED2FFA"/>
    <w:rsid w:val="00ED3218"/>
    <w:rsid w:val="00ED35CC"/>
    <w:rsid w:val="00ED3726"/>
    <w:rsid w:val="00ED3AC8"/>
    <w:rsid w:val="00ED3C91"/>
    <w:rsid w:val="00ED464E"/>
    <w:rsid w:val="00ED47E3"/>
    <w:rsid w:val="00ED4964"/>
    <w:rsid w:val="00ED4D33"/>
    <w:rsid w:val="00ED5078"/>
    <w:rsid w:val="00ED50D7"/>
    <w:rsid w:val="00ED526B"/>
    <w:rsid w:val="00ED5582"/>
    <w:rsid w:val="00ED56C3"/>
    <w:rsid w:val="00ED5FE9"/>
    <w:rsid w:val="00ED6114"/>
    <w:rsid w:val="00ED63D9"/>
    <w:rsid w:val="00ED682E"/>
    <w:rsid w:val="00ED69E0"/>
    <w:rsid w:val="00ED6B29"/>
    <w:rsid w:val="00ED6DA6"/>
    <w:rsid w:val="00ED6DCD"/>
    <w:rsid w:val="00ED70CD"/>
    <w:rsid w:val="00ED71E8"/>
    <w:rsid w:val="00ED7856"/>
    <w:rsid w:val="00ED7A88"/>
    <w:rsid w:val="00ED7E9B"/>
    <w:rsid w:val="00EE01CF"/>
    <w:rsid w:val="00EE02FC"/>
    <w:rsid w:val="00EE073B"/>
    <w:rsid w:val="00EE077E"/>
    <w:rsid w:val="00EE0A47"/>
    <w:rsid w:val="00EE0F5E"/>
    <w:rsid w:val="00EE131B"/>
    <w:rsid w:val="00EE19D6"/>
    <w:rsid w:val="00EE1B6A"/>
    <w:rsid w:val="00EE1F87"/>
    <w:rsid w:val="00EE22C3"/>
    <w:rsid w:val="00EE2448"/>
    <w:rsid w:val="00EE2F17"/>
    <w:rsid w:val="00EE30F0"/>
    <w:rsid w:val="00EE3115"/>
    <w:rsid w:val="00EE3145"/>
    <w:rsid w:val="00EE320B"/>
    <w:rsid w:val="00EE3621"/>
    <w:rsid w:val="00EE3B7B"/>
    <w:rsid w:val="00EE3D6A"/>
    <w:rsid w:val="00EE3F87"/>
    <w:rsid w:val="00EE4638"/>
    <w:rsid w:val="00EE4873"/>
    <w:rsid w:val="00EE4A6C"/>
    <w:rsid w:val="00EE4D29"/>
    <w:rsid w:val="00EE4D9E"/>
    <w:rsid w:val="00EE5273"/>
    <w:rsid w:val="00EE52F3"/>
    <w:rsid w:val="00EE5AEA"/>
    <w:rsid w:val="00EE5D56"/>
    <w:rsid w:val="00EE62F1"/>
    <w:rsid w:val="00EE6611"/>
    <w:rsid w:val="00EE68F8"/>
    <w:rsid w:val="00EE6E8A"/>
    <w:rsid w:val="00EE7097"/>
    <w:rsid w:val="00EE7192"/>
    <w:rsid w:val="00EE750B"/>
    <w:rsid w:val="00EE7723"/>
    <w:rsid w:val="00EE7913"/>
    <w:rsid w:val="00EE7985"/>
    <w:rsid w:val="00EE7B10"/>
    <w:rsid w:val="00EE7B49"/>
    <w:rsid w:val="00EF03CC"/>
    <w:rsid w:val="00EF0450"/>
    <w:rsid w:val="00EF04EA"/>
    <w:rsid w:val="00EF05B8"/>
    <w:rsid w:val="00EF05CD"/>
    <w:rsid w:val="00EF0BDC"/>
    <w:rsid w:val="00EF0C63"/>
    <w:rsid w:val="00EF0F62"/>
    <w:rsid w:val="00EF14C8"/>
    <w:rsid w:val="00EF15AF"/>
    <w:rsid w:val="00EF15EF"/>
    <w:rsid w:val="00EF162C"/>
    <w:rsid w:val="00EF16B2"/>
    <w:rsid w:val="00EF1D87"/>
    <w:rsid w:val="00EF217A"/>
    <w:rsid w:val="00EF2239"/>
    <w:rsid w:val="00EF22FC"/>
    <w:rsid w:val="00EF2B64"/>
    <w:rsid w:val="00EF2DA2"/>
    <w:rsid w:val="00EF2E6D"/>
    <w:rsid w:val="00EF2FD7"/>
    <w:rsid w:val="00EF3176"/>
    <w:rsid w:val="00EF358D"/>
    <w:rsid w:val="00EF3615"/>
    <w:rsid w:val="00EF3A0B"/>
    <w:rsid w:val="00EF3BBF"/>
    <w:rsid w:val="00EF3D62"/>
    <w:rsid w:val="00EF49C2"/>
    <w:rsid w:val="00EF4A30"/>
    <w:rsid w:val="00EF4A95"/>
    <w:rsid w:val="00EF4B4E"/>
    <w:rsid w:val="00EF4BB0"/>
    <w:rsid w:val="00EF4CAE"/>
    <w:rsid w:val="00EF4EF0"/>
    <w:rsid w:val="00EF500D"/>
    <w:rsid w:val="00EF51E4"/>
    <w:rsid w:val="00EF52EA"/>
    <w:rsid w:val="00EF5469"/>
    <w:rsid w:val="00EF55C1"/>
    <w:rsid w:val="00EF5826"/>
    <w:rsid w:val="00EF58E4"/>
    <w:rsid w:val="00EF592A"/>
    <w:rsid w:val="00EF5DB2"/>
    <w:rsid w:val="00EF61F0"/>
    <w:rsid w:val="00EF63CA"/>
    <w:rsid w:val="00EF6793"/>
    <w:rsid w:val="00EF698F"/>
    <w:rsid w:val="00EF6C6B"/>
    <w:rsid w:val="00EF6CE5"/>
    <w:rsid w:val="00EF76F0"/>
    <w:rsid w:val="00EF7739"/>
    <w:rsid w:val="00EF7A1B"/>
    <w:rsid w:val="00EF7B08"/>
    <w:rsid w:val="00EF7C4A"/>
    <w:rsid w:val="00EF7CB3"/>
    <w:rsid w:val="00EF7D25"/>
    <w:rsid w:val="00EF7E1B"/>
    <w:rsid w:val="00F0013B"/>
    <w:rsid w:val="00F00240"/>
    <w:rsid w:val="00F00499"/>
    <w:rsid w:val="00F00699"/>
    <w:rsid w:val="00F006A9"/>
    <w:rsid w:val="00F0072D"/>
    <w:rsid w:val="00F0078B"/>
    <w:rsid w:val="00F0078D"/>
    <w:rsid w:val="00F007A5"/>
    <w:rsid w:val="00F0093C"/>
    <w:rsid w:val="00F00AF9"/>
    <w:rsid w:val="00F00CF9"/>
    <w:rsid w:val="00F00E2A"/>
    <w:rsid w:val="00F015DD"/>
    <w:rsid w:val="00F017DF"/>
    <w:rsid w:val="00F01822"/>
    <w:rsid w:val="00F01A15"/>
    <w:rsid w:val="00F01DBF"/>
    <w:rsid w:val="00F02D5B"/>
    <w:rsid w:val="00F02F4D"/>
    <w:rsid w:val="00F0375E"/>
    <w:rsid w:val="00F0382B"/>
    <w:rsid w:val="00F03AB5"/>
    <w:rsid w:val="00F03C40"/>
    <w:rsid w:val="00F03CF0"/>
    <w:rsid w:val="00F04399"/>
    <w:rsid w:val="00F043BB"/>
    <w:rsid w:val="00F0470C"/>
    <w:rsid w:val="00F04A58"/>
    <w:rsid w:val="00F04CFB"/>
    <w:rsid w:val="00F052B9"/>
    <w:rsid w:val="00F05574"/>
    <w:rsid w:val="00F05999"/>
    <w:rsid w:val="00F05E89"/>
    <w:rsid w:val="00F05FED"/>
    <w:rsid w:val="00F064EE"/>
    <w:rsid w:val="00F06615"/>
    <w:rsid w:val="00F0672A"/>
    <w:rsid w:val="00F068C4"/>
    <w:rsid w:val="00F06AB8"/>
    <w:rsid w:val="00F06B37"/>
    <w:rsid w:val="00F06B42"/>
    <w:rsid w:val="00F06BE8"/>
    <w:rsid w:val="00F0737E"/>
    <w:rsid w:val="00F0747D"/>
    <w:rsid w:val="00F075BB"/>
    <w:rsid w:val="00F0769D"/>
    <w:rsid w:val="00F078B2"/>
    <w:rsid w:val="00F078D0"/>
    <w:rsid w:val="00F079F4"/>
    <w:rsid w:val="00F07BDB"/>
    <w:rsid w:val="00F07DE4"/>
    <w:rsid w:val="00F10247"/>
    <w:rsid w:val="00F10890"/>
    <w:rsid w:val="00F10922"/>
    <w:rsid w:val="00F10B4B"/>
    <w:rsid w:val="00F10BB0"/>
    <w:rsid w:val="00F10F58"/>
    <w:rsid w:val="00F11553"/>
    <w:rsid w:val="00F11BFD"/>
    <w:rsid w:val="00F11DEE"/>
    <w:rsid w:val="00F121FC"/>
    <w:rsid w:val="00F1222D"/>
    <w:rsid w:val="00F12825"/>
    <w:rsid w:val="00F12951"/>
    <w:rsid w:val="00F12A85"/>
    <w:rsid w:val="00F12CB1"/>
    <w:rsid w:val="00F131F1"/>
    <w:rsid w:val="00F132C8"/>
    <w:rsid w:val="00F13547"/>
    <w:rsid w:val="00F1356F"/>
    <w:rsid w:val="00F138D5"/>
    <w:rsid w:val="00F13B7D"/>
    <w:rsid w:val="00F13C0A"/>
    <w:rsid w:val="00F13CB2"/>
    <w:rsid w:val="00F13CD0"/>
    <w:rsid w:val="00F13E1B"/>
    <w:rsid w:val="00F13EC0"/>
    <w:rsid w:val="00F13F32"/>
    <w:rsid w:val="00F14075"/>
    <w:rsid w:val="00F1491E"/>
    <w:rsid w:val="00F14C5D"/>
    <w:rsid w:val="00F14D63"/>
    <w:rsid w:val="00F14F3B"/>
    <w:rsid w:val="00F152B2"/>
    <w:rsid w:val="00F152BD"/>
    <w:rsid w:val="00F15722"/>
    <w:rsid w:val="00F15AE6"/>
    <w:rsid w:val="00F15BFF"/>
    <w:rsid w:val="00F15CBD"/>
    <w:rsid w:val="00F15FDE"/>
    <w:rsid w:val="00F160D4"/>
    <w:rsid w:val="00F163AD"/>
    <w:rsid w:val="00F165EB"/>
    <w:rsid w:val="00F16F59"/>
    <w:rsid w:val="00F16F7C"/>
    <w:rsid w:val="00F16F95"/>
    <w:rsid w:val="00F17034"/>
    <w:rsid w:val="00F1732C"/>
    <w:rsid w:val="00F173EC"/>
    <w:rsid w:val="00F17743"/>
    <w:rsid w:val="00F17C10"/>
    <w:rsid w:val="00F20780"/>
    <w:rsid w:val="00F20D11"/>
    <w:rsid w:val="00F20D38"/>
    <w:rsid w:val="00F2133D"/>
    <w:rsid w:val="00F213AB"/>
    <w:rsid w:val="00F2176F"/>
    <w:rsid w:val="00F21F68"/>
    <w:rsid w:val="00F22090"/>
    <w:rsid w:val="00F2214E"/>
    <w:rsid w:val="00F2260B"/>
    <w:rsid w:val="00F229E9"/>
    <w:rsid w:val="00F230A4"/>
    <w:rsid w:val="00F23251"/>
    <w:rsid w:val="00F23660"/>
    <w:rsid w:val="00F23A91"/>
    <w:rsid w:val="00F23B06"/>
    <w:rsid w:val="00F23C7A"/>
    <w:rsid w:val="00F23F15"/>
    <w:rsid w:val="00F23F6C"/>
    <w:rsid w:val="00F2420A"/>
    <w:rsid w:val="00F24308"/>
    <w:rsid w:val="00F24531"/>
    <w:rsid w:val="00F246C2"/>
    <w:rsid w:val="00F24728"/>
    <w:rsid w:val="00F24ADE"/>
    <w:rsid w:val="00F24CC9"/>
    <w:rsid w:val="00F24D3A"/>
    <w:rsid w:val="00F251E7"/>
    <w:rsid w:val="00F251EE"/>
    <w:rsid w:val="00F2524E"/>
    <w:rsid w:val="00F25532"/>
    <w:rsid w:val="00F257AE"/>
    <w:rsid w:val="00F25C5B"/>
    <w:rsid w:val="00F25CA8"/>
    <w:rsid w:val="00F25E26"/>
    <w:rsid w:val="00F2630E"/>
    <w:rsid w:val="00F265F4"/>
    <w:rsid w:val="00F266A3"/>
    <w:rsid w:val="00F26D6A"/>
    <w:rsid w:val="00F26E19"/>
    <w:rsid w:val="00F270E0"/>
    <w:rsid w:val="00F271FA"/>
    <w:rsid w:val="00F27427"/>
    <w:rsid w:val="00F27693"/>
    <w:rsid w:val="00F27714"/>
    <w:rsid w:val="00F27D0B"/>
    <w:rsid w:val="00F27D1A"/>
    <w:rsid w:val="00F27E11"/>
    <w:rsid w:val="00F27F52"/>
    <w:rsid w:val="00F27F57"/>
    <w:rsid w:val="00F30932"/>
    <w:rsid w:val="00F30BEC"/>
    <w:rsid w:val="00F30BF5"/>
    <w:rsid w:val="00F30E41"/>
    <w:rsid w:val="00F3140A"/>
    <w:rsid w:val="00F31537"/>
    <w:rsid w:val="00F31662"/>
    <w:rsid w:val="00F316FD"/>
    <w:rsid w:val="00F31815"/>
    <w:rsid w:val="00F318D9"/>
    <w:rsid w:val="00F31A43"/>
    <w:rsid w:val="00F31DAF"/>
    <w:rsid w:val="00F31E59"/>
    <w:rsid w:val="00F3273B"/>
    <w:rsid w:val="00F32899"/>
    <w:rsid w:val="00F32915"/>
    <w:rsid w:val="00F32B92"/>
    <w:rsid w:val="00F32B99"/>
    <w:rsid w:val="00F32E18"/>
    <w:rsid w:val="00F33511"/>
    <w:rsid w:val="00F33580"/>
    <w:rsid w:val="00F335D1"/>
    <w:rsid w:val="00F336EC"/>
    <w:rsid w:val="00F3378B"/>
    <w:rsid w:val="00F337B9"/>
    <w:rsid w:val="00F3395F"/>
    <w:rsid w:val="00F33E2D"/>
    <w:rsid w:val="00F33F37"/>
    <w:rsid w:val="00F340FA"/>
    <w:rsid w:val="00F345CB"/>
    <w:rsid w:val="00F34860"/>
    <w:rsid w:val="00F34978"/>
    <w:rsid w:val="00F34CAD"/>
    <w:rsid w:val="00F34DA6"/>
    <w:rsid w:val="00F34F43"/>
    <w:rsid w:val="00F3505E"/>
    <w:rsid w:val="00F353DE"/>
    <w:rsid w:val="00F3550D"/>
    <w:rsid w:val="00F3557A"/>
    <w:rsid w:val="00F3568C"/>
    <w:rsid w:val="00F35869"/>
    <w:rsid w:val="00F35A39"/>
    <w:rsid w:val="00F35A4C"/>
    <w:rsid w:val="00F3601A"/>
    <w:rsid w:val="00F360F5"/>
    <w:rsid w:val="00F3620D"/>
    <w:rsid w:val="00F36351"/>
    <w:rsid w:val="00F36562"/>
    <w:rsid w:val="00F36CE1"/>
    <w:rsid w:val="00F36F77"/>
    <w:rsid w:val="00F36FE8"/>
    <w:rsid w:val="00F403B4"/>
    <w:rsid w:val="00F40528"/>
    <w:rsid w:val="00F40743"/>
    <w:rsid w:val="00F40AC8"/>
    <w:rsid w:val="00F40AEC"/>
    <w:rsid w:val="00F40D5D"/>
    <w:rsid w:val="00F40F07"/>
    <w:rsid w:val="00F40F7B"/>
    <w:rsid w:val="00F41064"/>
    <w:rsid w:val="00F41156"/>
    <w:rsid w:val="00F413BC"/>
    <w:rsid w:val="00F41438"/>
    <w:rsid w:val="00F41A4A"/>
    <w:rsid w:val="00F41B2C"/>
    <w:rsid w:val="00F41E9F"/>
    <w:rsid w:val="00F422C8"/>
    <w:rsid w:val="00F42770"/>
    <w:rsid w:val="00F428D1"/>
    <w:rsid w:val="00F42B1F"/>
    <w:rsid w:val="00F42C17"/>
    <w:rsid w:val="00F42EA8"/>
    <w:rsid w:val="00F4309E"/>
    <w:rsid w:val="00F430D2"/>
    <w:rsid w:val="00F430D9"/>
    <w:rsid w:val="00F431B2"/>
    <w:rsid w:val="00F433F1"/>
    <w:rsid w:val="00F434B7"/>
    <w:rsid w:val="00F436CE"/>
    <w:rsid w:val="00F439C2"/>
    <w:rsid w:val="00F43E4F"/>
    <w:rsid w:val="00F44172"/>
    <w:rsid w:val="00F441A8"/>
    <w:rsid w:val="00F44502"/>
    <w:rsid w:val="00F44F10"/>
    <w:rsid w:val="00F44F80"/>
    <w:rsid w:val="00F453C3"/>
    <w:rsid w:val="00F456F6"/>
    <w:rsid w:val="00F458AF"/>
    <w:rsid w:val="00F4596D"/>
    <w:rsid w:val="00F45BC6"/>
    <w:rsid w:val="00F45EF9"/>
    <w:rsid w:val="00F4639D"/>
    <w:rsid w:val="00F4655B"/>
    <w:rsid w:val="00F465EC"/>
    <w:rsid w:val="00F4663A"/>
    <w:rsid w:val="00F46A19"/>
    <w:rsid w:val="00F46B99"/>
    <w:rsid w:val="00F46C75"/>
    <w:rsid w:val="00F46E08"/>
    <w:rsid w:val="00F477C8"/>
    <w:rsid w:val="00F478C9"/>
    <w:rsid w:val="00F50254"/>
    <w:rsid w:val="00F502BB"/>
    <w:rsid w:val="00F502F2"/>
    <w:rsid w:val="00F50324"/>
    <w:rsid w:val="00F503FF"/>
    <w:rsid w:val="00F504E2"/>
    <w:rsid w:val="00F50754"/>
    <w:rsid w:val="00F50969"/>
    <w:rsid w:val="00F50AE4"/>
    <w:rsid w:val="00F50DF2"/>
    <w:rsid w:val="00F50E91"/>
    <w:rsid w:val="00F5110E"/>
    <w:rsid w:val="00F5114C"/>
    <w:rsid w:val="00F51607"/>
    <w:rsid w:val="00F51E04"/>
    <w:rsid w:val="00F52073"/>
    <w:rsid w:val="00F520B5"/>
    <w:rsid w:val="00F52170"/>
    <w:rsid w:val="00F52193"/>
    <w:rsid w:val="00F522BF"/>
    <w:rsid w:val="00F5281F"/>
    <w:rsid w:val="00F52A50"/>
    <w:rsid w:val="00F52C12"/>
    <w:rsid w:val="00F52CAA"/>
    <w:rsid w:val="00F52F9A"/>
    <w:rsid w:val="00F53022"/>
    <w:rsid w:val="00F535E5"/>
    <w:rsid w:val="00F5373A"/>
    <w:rsid w:val="00F53977"/>
    <w:rsid w:val="00F53A1F"/>
    <w:rsid w:val="00F53B94"/>
    <w:rsid w:val="00F541D4"/>
    <w:rsid w:val="00F54350"/>
    <w:rsid w:val="00F54716"/>
    <w:rsid w:val="00F547F4"/>
    <w:rsid w:val="00F54A8F"/>
    <w:rsid w:val="00F54B67"/>
    <w:rsid w:val="00F54DF5"/>
    <w:rsid w:val="00F551EF"/>
    <w:rsid w:val="00F5559D"/>
    <w:rsid w:val="00F55CBA"/>
    <w:rsid w:val="00F569DE"/>
    <w:rsid w:val="00F56C6B"/>
    <w:rsid w:val="00F56E79"/>
    <w:rsid w:val="00F56E84"/>
    <w:rsid w:val="00F5709E"/>
    <w:rsid w:val="00F573DE"/>
    <w:rsid w:val="00F577BA"/>
    <w:rsid w:val="00F5791C"/>
    <w:rsid w:val="00F57A6C"/>
    <w:rsid w:val="00F57EB4"/>
    <w:rsid w:val="00F57FED"/>
    <w:rsid w:val="00F601B8"/>
    <w:rsid w:val="00F60499"/>
    <w:rsid w:val="00F6051B"/>
    <w:rsid w:val="00F605FD"/>
    <w:rsid w:val="00F60B08"/>
    <w:rsid w:val="00F60B1A"/>
    <w:rsid w:val="00F612A4"/>
    <w:rsid w:val="00F61C90"/>
    <w:rsid w:val="00F61DD9"/>
    <w:rsid w:val="00F61E1D"/>
    <w:rsid w:val="00F61F30"/>
    <w:rsid w:val="00F6256B"/>
    <w:rsid w:val="00F62EFC"/>
    <w:rsid w:val="00F63215"/>
    <w:rsid w:val="00F63225"/>
    <w:rsid w:val="00F63420"/>
    <w:rsid w:val="00F636D4"/>
    <w:rsid w:val="00F63713"/>
    <w:rsid w:val="00F63874"/>
    <w:rsid w:val="00F644C8"/>
    <w:rsid w:val="00F64566"/>
    <w:rsid w:val="00F64A2C"/>
    <w:rsid w:val="00F64C68"/>
    <w:rsid w:val="00F64F8A"/>
    <w:rsid w:val="00F651CB"/>
    <w:rsid w:val="00F6547B"/>
    <w:rsid w:val="00F654BF"/>
    <w:rsid w:val="00F65950"/>
    <w:rsid w:val="00F6596D"/>
    <w:rsid w:val="00F659F2"/>
    <w:rsid w:val="00F65B84"/>
    <w:rsid w:val="00F65DB0"/>
    <w:rsid w:val="00F6602A"/>
    <w:rsid w:val="00F6607F"/>
    <w:rsid w:val="00F664BF"/>
    <w:rsid w:val="00F668E2"/>
    <w:rsid w:val="00F66B2B"/>
    <w:rsid w:val="00F66BCC"/>
    <w:rsid w:val="00F66D04"/>
    <w:rsid w:val="00F66E40"/>
    <w:rsid w:val="00F66F80"/>
    <w:rsid w:val="00F67281"/>
    <w:rsid w:val="00F67903"/>
    <w:rsid w:val="00F679F5"/>
    <w:rsid w:val="00F67B90"/>
    <w:rsid w:val="00F67E42"/>
    <w:rsid w:val="00F67FE3"/>
    <w:rsid w:val="00F70161"/>
    <w:rsid w:val="00F701AC"/>
    <w:rsid w:val="00F70405"/>
    <w:rsid w:val="00F70460"/>
    <w:rsid w:val="00F7072E"/>
    <w:rsid w:val="00F708AC"/>
    <w:rsid w:val="00F70ADB"/>
    <w:rsid w:val="00F70F98"/>
    <w:rsid w:val="00F711B2"/>
    <w:rsid w:val="00F71B5C"/>
    <w:rsid w:val="00F71D24"/>
    <w:rsid w:val="00F72271"/>
    <w:rsid w:val="00F7252F"/>
    <w:rsid w:val="00F72E9D"/>
    <w:rsid w:val="00F73287"/>
    <w:rsid w:val="00F73298"/>
    <w:rsid w:val="00F73440"/>
    <w:rsid w:val="00F734E6"/>
    <w:rsid w:val="00F736CF"/>
    <w:rsid w:val="00F739FB"/>
    <w:rsid w:val="00F73ABB"/>
    <w:rsid w:val="00F73C65"/>
    <w:rsid w:val="00F73F9E"/>
    <w:rsid w:val="00F74066"/>
    <w:rsid w:val="00F74246"/>
    <w:rsid w:val="00F7429C"/>
    <w:rsid w:val="00F744CD"/>
    <w:rsid w:val="00F74796"/>
    <w:rsid w:val="00F74ADE"/>
    <w:rsid w:val="00F74F9D"/>
    <w:rsid w:val="00F75154"/>
    <w:rsid w:val="00F754CC"/>
    <w:rsid w:val="00F756D6"/>
    <w:rsid w:val="00F75A5F"/>
    <w:rsid w:val="00F75E83"/>
    <w:rsid w:val="00F75F9B"/>
    <w:rsid w:val="00F76318"/>
    <w:rsid w:val="00F7643F"/>
    <w:rsid w:val="00F7691B"/>
    <w:rsid w:val="00F76B3F"/>
    <w:rsid w:val="00F76E42"/>
    <w:rsid w:val="00F76F7C"/>
    <w:rsid w:val="00F773B2"/>
    <w:rsid w:val="00F7745B"/>
    <w:rsid w:val="00F775CC"/>
    <w:rsid w:val="00F77A4C"/>
    <w:rsid w:val="00F8048B"/>
    <w:rsid w:val="00F805B9"/>
    <w:rsid w:val="00F80924"/>
    <w:rsid w:val="00F80BDD"/>
    <w:rsid w:val="00F80E43"/>
    <w:rsid w:val="00F81235"/>
    <w:rsid w:val="00F81539"/>
    <w:rsid w:val="00F815D6"/>
    <w:rsid w:val="00F81911"/>
    <w:rsid w:val="00F81B36"/>
    <w:rsid w:val="00F81D5F"/>
    <w:rsid w:val="00F81DF4"/>
    <w:rsid w:val="00F82179"/>
    <w:rsid w:val="00F825F0"/>
    <w:rsid w:val="00F832A9"/>
    <w:rsid w:val="00F837A4"/>
    <w:rsid w:val="00F83AF6"/>
    <w:rsid w:val="00F83F16"/>
    <w:rsid w:val="00F8420A"/>
    <w:rsid w:val="00F84241"/>
    <w:rsid w:val="00F8425F"/>
    <w:rsid w:val="00F84D47"/>
    <w:rsid w:val="00F85389"/>
    <w:rsid w:val="00F856F2"/>
    <w:rsid w:val="00F857C5"/>
    <w:rsid w:val="00F85BD6"/>
    <w:rsid w:val="00F85EF4"/>
    <w:rsid w:val="00F8614E"/>
    <w:rsid w:val="00F865A0"/>
    <w:rsid w:val="00F86989"/>
    <w:rsid w:val="00F869A3"/>
    <w:rsid w:val="00F869B5"/>
    <w:rsid w:val="00F8713E"/>
    <w:rsid w:val="00F872D0"/>
    <w:rsid w:val="00F8769E"/>
    <w:rsid w:val="00F879F7"/>
    <w:rsid w:val="00F87D6D"/>
    <w:rsid w:val="00F87E3D"/>
    <w:rsid w:val="00F90142"/>
    <w:rsid w:val="00F90151"/>
    <w:rsid w:val="00F901F3"/>
    <w:rsid w:val="00F902F3"/>
    <w:rsid w:val="00F903F1"/>
    <w:rsid w:val="00F90687"/>
    <w:rsid w:val="00F90959"/>
    <w:rsid w:val="00F911A2"/>
    <w:rsid w:val="00F9152D"/>
    <w:rsid w:val="00F916EF"/>
    <w:rsid w:val="00F919A6"/>
    <w:rsid w:val="00F91A38"/>
    <w:rsid w:val="00F91B66"/>
    <w:rsid w:val="00F91D52"/>
    <w:rsid w:val="00F91ED7"/>
    <w:rsid w:val="00F92663"/>
    <w:rsid w:val="00F92A5E"/>
    <w:rsid w:val="00F92CAC"/>
    <w:rsid w:val="00F9302B"/>
    <w:rsid w:val="00F9310A"/>
    <w:rsid w:val="00F93803"/>
    <w:rsid w:val="00F93A8B"/>
    <w:rsid w:val="00F93AB5"/>
    <w:rsid w:val="00F93C49"/>
    <w:rsid w:val="00F93D5D"/>
    <w:rsid w:val="00F93D77"/>
    <w:rsid w:val="00F9402D"/>
    <w:rsid w:val="00F94215"/>
    <w:rsid w:val="00F94451"/>
    <w:rsid w:val="00F9445B"/>
    <w:rsid w:val="00F944BA"/>
    <w:rsid w:val="00F94510"/>
    <w:rsid w:val="00F949D8"/>
    <w:rsid w:val="00F950A9"/>
    <w:rsid w:val="00F950BA"/>
    <w:rsid w:val="00F950F0"/>
    <w:rsid w:val="00F95591"/>
    <w:rsid w:val="00F95B78"/>
    <w:rsid w:val="00F95FA1"/>
    <w:rsid w:val="00F961B0"/>
    <w:rsid w:val="00F96359"/>
    <w:rsid w:val="00F96790"/>
    <w:rsid w:val="00F967A9"/>
    <w:rsid w:val="00F96F41"/>
    <w:rsid w:val="00F975AB"/>
    <w:rsid w:val="00F97761"/>
    <w:rsid w:val="00F9787E"/>
    <w:rsid w:val="00F97B79"/>
    <w:rsid w:val="00F97D4C"/>
    <w:rsid w:val="00F97E69"/>
    <w:rsid w:val="00FA0408"/>
    <w:rsid w:val="00FA06F3"/>
    <w:rsid w:val="00FA0881"/>
    <w:rsid w:val="00FA0AA0"/>
    <w:rsid w:val="00FA17C2"/>
    <w:rsid w:val="00FA1CF1"/>
    <w:rsid w:val="00FA22E2"/>
    <w:rsid w:val="00FA25A0"/>
    <w:rsid w:val="00FA2684"/>
    <w:rsid w:val="00FA27D0"/>
    <w:rsid w:val="00FA3245"/>
    <w:rsid w:val="00FA3299"/>
    <w:rsid w:val="00FA33D8"/>
    <w:rsid w:val="00FA3441"/>
    <w:rsid w:val="00FA35D9"/>
    <w:rsid w:val="00FA37F8"/>
    <w:rsid w:val="00FA3B31"/>
    <w:rsid w:val="00FA3C5B"/>
    <w:rsid w:val="00FA3E81"/>
    <w:rsid w:val="00FA3F90"/>
    <w:rsid w:val="00FA4040"/>
    <w:rsid w:val="00FA49FD"/>
    <w:rsid w:val="00FA4BAC"/>
    <w:rsid w:val="00FA4D91"/>
    <w:rsid w:val="00FA4E5B"/>
    <w:rsid w:val="00FA4F97"/>
    <w:rsid w:val="00FA4FBE"/>
    <w:rsid w:val="00FA4FE7"/>
    <w:rsid w:val="00FA50B2"/>
    <w:rsid w:val="00FA56DC"/>
    <w:rsid w:val="00FA5704"/>
    <w:rsid w:val="00FA57BA"/>
    <w:rsid w:val="00FA59D5"/>
    <w:rsid w:val="00FA614F"/>
    <w:rsid w:val="00FA6269"/>
    <w:rsid w:val="00FA633C"/>
    <w:rsid w:val="00FA65DA"/>
    <w:rsid w:val="00FA6627"/>
    <w:rsid w:val="00FA66A4"/>
    <w:rsid w:val="00FA66BC"/>
    <w:rsid w:val="00FA6AE2"/>
    <w:rsid w:val="00FA6C60"/>
    <w:rsid w:val="00FA7633"/>
    <w:rsid w:val="00FA7784"/>
    <w:rsid w:val="00FA79AB"/>
    <w:rsid w:val="00FA7C7B"/>
    <w:rsid w:val="00FA7F8B"/>
    <w:rsid w:val="00FB04DA"/>
    <w:rsid w:val="00FB052A"/>
    <w:rsid w:val="00FB062C"/>
    <w:rsid w:val="00FB073C"/>
    <w:rsid w:val="00FB0784"/>
    <w:rsid w:val="00FB0944"/>
    <w:rsid w:val="00FB0A6F"/>
    <w:rsid w:val="00FB0C72"/>
    <w:rsid w:val="00FB11AA"/>
    <w:rsid w:val="00FB1453"/>
    <w:rsid w:val="00FB17BD"/>
    <w:rsid w:val="00FB185C"/>
    <w:rsid w:val="00FB195D"/>
    <w:rsid w:val="00FB19C7"/>
    <w:rsid w:val="00FB1C0C"/>
    <w:rsid w:val="00FB20B9"/>
    <w:rsid w:val="00FB20FD"/>
    <w:rsid w:val="00FB2309"/>
    <w:rsid w:val="00FB23B5"/>
    <w:rsid w:val="00FB24DF"/>
    <w:rsid w:val="00FB25F5"/>
    <w:rsid w:val="00FB278F"/>
    <w:rsid w:val="00FB2A53"/>
    <w:rsid w:val="00FB2F7A"/>
    <w:rsid w:val="00FB2F9F"/>
    <w:rsid w:val="00FB303F"/>
    <w:rsid w:val="00FB31DF"/>
    <w:rsid w:val="00FB31F2"/>
    <w:rsid w:val="00FB340B"/>
    <w:rsid w:val="00FB36FC"/>
    <w:rsid w:val="00FB370C"/>
    <w:rsid w:val="00FB39A8"/>
    <w:rsid w:val="00FB3B47"/>
    <w:rsid w:val="00FB418F"/>
    <w:rsid w:val="00FB41AA"/>
    <w:rsid w:val="00FB4599"/>
    <w:rsid w:val="00FB4629"/>
    <w:rsid w:val="00FB4AA7"/>
    <w:rsid w:val="00FB4B17"/>
    <w:rsid w:val="00FB4B8D"/>
    <w:rsid w:val="00FB4D61"/>
    <w:rsid w:val="00FB50BD"/>
    <w:rsid w:val="00FB52DD"/>
    <w:rsid w:val="00FB5335"/>
    <w:rsid w:val="00FB56A8"/>
    <w:rsid w:val="00FB5759"/>
    <w:rsid w:val="00FB63A2"/>
    <w:rsid w:val="00FB662E"/>
    <w:rsid w:val="00FB67F6"/>
    <w:rsid w:val="00FB69A8"/>
    <w:rsid w:val="00FB6C67"/>
    <w:rsid w:val="00FB6CC9"/>
    <w:rsid w:val="00FB6CCC"/>
    <w:rsid w:val="00FB6CD9"/>
    <w:rsid w:val="00FB6CF9"/>
    <w:rsid w:val="00FB6D22"/>
    <w:rsid w:val="00FB6D62"/>
    <w:rsid w:val="00FB7058"/>
    <w:rsid w:val="00FB7088"/>
    <w:rsid w:val="00FB7176"/>
    <w:rsid w:val="00FB7247"/>
    <w:rsid w:val="00FB7533"/>
    <w:rsid w:val="00FB7582"/>
    <w:rsid w:val="00FB7694"/>
    <w:rsid w:val="00FB7A63"/>
    <w:rsid w:val="00FB7A73"/>
    <w:rsid w:val="00FB7A91"/>
    <w:rsid w:val="00FB7B24"/>
    <w:rsid w:val="00FB7D57"/>
    <w:rsid w:val="00FB7E78"/>
    <w:rsid w:val="00FB7F05"/>
    <w:rsid w:val="00FC0193"/>
    <w:rsid w:val="00FC06B3"/>
    <w:rsid w:val="00FC0B08"/>
    <w:rsid w:val="00FC0B76"/>
    <w:rsid w:val="00FC0B7A"/>
    <w:rsid w:val="00FC0CC0"/>
    <w:rsid w:val="00FC16DD"/>
    <w:rsid w:val="00FC1776"/>
    <w:rsid w:val="00FC17C4"/>
    <w:rsid w:val="00FC17C7"/>
    <w:rsid w:val="00FC1974"/>
    <w:rsid w:val="00FC1E5E"/>
    <w:rsid w:val="00FC227D"/>
    <w:rsid w:val="00FC248B"/>
    <w:rsid w:val="00FC256D"/>
    <w:rsid w:val="00FC261B"/>
    <w:rsid w:val="00FC2E59"/>
    <w:rsid w:val="00FC3497"/>
    <w:rsid w:val="00FC3688"/>
    <w:rsid w:val="00FC3E03"/>
    <w:rsid w:val="00FC4070"/>
    <w:rsid w:val="00FC4382"/>
    <w:rsid w:val="00FC44B1"/>
    <w:rsid w:val="00FC4A1A"/>
    <w:rsid w:val="00FC4B0D"/>
    <w:rsid w:val="00FC4B47"/>
    <w:rsid w:val="00FC4B4E"/>
    <w:rsid w:val="00FC4DE6"/>
    <w:rsid w:val="00FC4E8D"/>
    <w:rsid w:val="00FC4F1B"/>
    <w:rsid w:val="00FC4F5C"/>
    <w:rsid w:val="00FC4F9E"/>
    <w:rsid w:val="00FC5029"/>
    <w:rsid w:val="00FC51B6"/>
    <w:rsid w:val="00FC528F"/>
    <w:rsid w:val="00FC5515"/>
    <w:rsid w:val="00FC57FD"/>
    <w:rsid w:val="00FC5CEC"/>
    <w:rsid w:val="00FC5DBA"/>
    <w:rsid w:val="00FC5E06"/>
    <w:rsid w:val="00FC5F00"/>
    <w:rsid w:val="00FC5FBD"/>
    <w:rsid w:val="00FC5FC3"/>
    <w:rsid w:val="00FC623B"/>
    <w:rsid w:val="00FC6580"/>
    <w:rsid w:val="00FC6A44"/>
    <w:rsid w:val="00FC6ADC"/>
    <w:rsid w:val="00FC6DDE"/>
    <w:rsid w:val="00FC6F45"/>
    <w:rsid w:val="00FC705B"/>
    <w:rsid w:val="00FC70CD"/>
    <w:rsid w:val="00FC70F7"/>
    <w:rsid w:val="00FC7BEA"/>
    <w:rsid w:val="00FC7C18"/>
    <w:rsid w:val="00FC7DD0"/>
    <w:rsid w:val="00FC7E19"/>
    <w:rsid w:val="00FC7F32"/>
    <w:rsid w:val="00FC7F5D"/>
    <w:rsid w:val="00FD004F"/>
    <w:rsid w:val="00FD0203"/>
    <w:rsid w:val="00FD02E8"/>
    <w:rsid w:val="00FD06C4"/>
    <w:rsid w:val="00FD073D"/>
    <w:rsid w:val="00FD0819"/>
    <w:rsid w:val="00FD0A95"/>
    <w:rsid w:val="00FD0B05"/>
    <w:rsid w:val="00FD0BFB"/>
    <w:rsid w:val="00FD0C48"/>
    <w:rsid w:val="00FD0C57"/>
    <w:rsid w:val="00FD0D05"/>
    <w:rsid w:val="00FD0DE4"/>
    <w:rsid w:val="00FD0E47"/>
    <w:rsid w:val="00FD11B0"/>
    <w:rsid w:val="00FD1285"/>
    <w:rsid w:val="00FD1ABB"/>
    <w:rsid w:val="00FD1AF9"/>
    <w:rsid w:val="00FD1F0D"/>
    <w:rsid w:val="00FD2322"/>
    <w:rsid w:val="00FD272C"/>
    <w:rsid w:val="00FD27B4"/>
    <w:rsid w:val="00FD2867"/>
    <w:rsid w:val="00FD2D24"/>
    <w:rsid w:val="00FD2DB7"/>
    <w:rsid w:val="00FD325B"/>
    <w:rsid w:val="00FD32DC"/>
    <w:rsid w:val="00FD3572"/>
    <w:rsid w:val="00FD36CF"/>
    <w:rsid w:val="00FD3E94"/>
    <w:rsid w:val="00FD419D"/>
    <w:rsid w:val="00FD4690"/>
    <w:rsid w:val="00FD46AB"/>
    <w:rsid w:val="00FD49D8"/>
    <w:rsid w:val="00FD5492"/>
    <w:rsid w:val="00FD5521"/>
    <w:rsid w:val="00FD5749"/>
    <w:rsid w:val="00FD5764"/>
    <w:rsid w:val="00FD5832"/>
    <w:rsid w:val="00FD5A1B"/>
    <w:rsid w:val="00FD5C30"/>
    <w:rsid w:val="00FD5CB1"/>
    <w:rsid w:val="00FD62D8"/>
    <w:rsid w:val="00FD66D1"/>
    <w:rsid w:val="00FD6908"/>
    <w:rsid w:val="00FD7191"/>
    <w:rsid w:val="00FD7434"/>
    <w:rsid w:val="00FD74C2"/>
    <w:rsid w:val="00FD76D5"/>
    <w:rsid w:val="00FD7D6C"/>
    <w:rsid w:val="00FD7F37"/>
    <w:rsid w:val="00FE00D5"/>
    <w:rsid w:val="00FE0122"/>
    <w:rsid w:val="00FE04B4"/>
    <w:rsid w:val="00FE07A5"/>
    <w:rsid w:val="00FE08EA"/>
    <w:rsid w:val="00FE0B85"/>
    <w:rsid w:val="00FE0C37"/>
    <w:rsid w:val="00FE158F"/>
    <w:rsid w:val="00FE1617"/>
    <w:rsid w:val="00FE1839"/>
    <w:rsid w:val="00FE1910"/>
    <w:rsid w:val="00FE1938"/>
    <w:rsid w:val="00FE1BE8"/>
    <w:rsid w:val="00FE20E9"/>
    <w:rsid w:val="00FE20F7"/>
    <w:rsid w:val="00FE2202"/>
    <w:rsid w:val="00FE2241"/>
    <w:rsid w:val="00FE2470"/>
    <w:rsid w:val="00FE2644"/>
    <w:rsid w:val="00FE2E67"/>
    <w:rsid w:val="00FE31AD"/>
    <w:rsid w:val="00FE345A"/>
    <w:rsid w:val="00FE3483"/>
    <w:rsid w:val="00FE3542"/>
    <w:rsid w:val="00FE3C85"/>
    <w:rsid w:val="00FE3D48"/>
    <w:rsid w:val="00FE44C9"/>
    <w:rsid w:val="00FE4563"/>
    <w:rsid w:val="00FE4898"/>
    <w:rsid w:val="00FE4C07"/>
    <w:rsid w:val="00FE4FC6"/>
    <w:rsid w:val="00FE5277"/>
    <w:rsid w:val="00FE5281"/>
    <w:rsid w:val="00FE576C"/>
    <w:rsid w:val="00FE580B"/>
    <w:rsid w:val="00FE587A"/>
    <w:rsid w:val="00FE58A1"/>
    <w:rsid w:val="00FE59A8"/>
    <w:rsid w:val="00FE5A7B"/>
    <w:rsid w:val="00FE5AF7"/>
    <w:rsid w:val="00FE5C29"/>
    <w:rsid w:val="00FE5DA4"/>
    <w:rsid w:val="00FE68D6"/>
    <w:rsid w:val="00FE6B32"/>
    <w:rsid w:val="00FE72C5"/>
    <w:rsid w:val="00FE72F0"/>
    <w:rsid w:val="00FE75B9"/>
    <w:rsid w:val="00FE77D7"/>
    <w:rsid w:val="00FE784D"/>
    <w:rsid w:val="00FE799F"/>
    <w:rsid w:val="00FE7CCB"/>
    <w:rsid w:val="00FE7EFD"/>
    <w:rsid w:val="00FF00E3"/>
    <w:rsid w:val="00FF0256"/>
    <w:rsid w:val="00FF07A2"/>
    <w:rsid w:val="00FF0A42"/>
    <w:rsid w:val="00FF0ABD"/>
    <w:rsid w:val="00FF0EA2"/>
    <w:rsid w:val="00FF0FCD"/>
    <w:rsid w:val="00FF1138"/>
    <w:rsid w:val="00FF1247"/>
    <w:rsid w:val="00FF1392"/>
    <w:rsid w:val="00FF14C3"/>
    <w:rsid w:val="00FF1590"/>
    <w:rsid w:val="00FF16D5"/>
    <w:rsid w:val="00FF1780"/>
    <w:rsid w:val="00FF187D"/>
    <w:rsid w:val="00FF1930"/>
    <w:rsid w:val="00FF1A64"/>
    <w:rsid w:val="00FF1FF5"/>
    <w:rsid w:val="00FF22FB"/>
    <w:rsid w:val="00FF236F"/>
    <w:rsid w:val="00FF2439"/>
    <w:rsid w:val="00FF24BE"/>
    <w:rsid w:val="00FF2706"/>
    <w:rsid w:val="00FF27C3"/>
    <w:rsid w:val="00FF2A71"/>
    <w:rsid w:val="00FF316C"/>
    <w:rsid w:val="00FF34A7"/>
    <w:rsid w:val="00FF354C"/>
    <w:rsid w:val="00FF386A"/>
    <w:rsid w:val="00FF3A23"/>
    <w:rsid w:val="00FF3CC8"/>
    <w:rsid w:val="00FF3D2A"/>
    <w:rsid w:val="00FF3F89"/>
    <w:rsid w:val="00FF4119"/>
    <w:rsid w:val="00FF4191"/>
    <w:rsid w:val="00FF4521"/>
    <w:rsid w:val="00FF469E"/>
    <w:rsid w:val="00FF46BD"/>
    <w:rsid w:val="00FF46E6"/>
    <w:rsid w:val="00FF46E7"/>
    <w:rsid w:val="00FF4B97"/>
    <w:rsid w:val="00FF4BF2"/>
    <w:rsid w:val="00FF4BF7"/>
    <w:rsid w:val="00FF51C1"/>
    <w:rsid w:val="00FF5E9C"/>
    <w:rsid w:val="00FF618A"/>
    <w:rsid w:val="00FF68D1"/>
    <w:rsid w:val="00FF68E1"/>
    <w:rsid w:val="00FF6C64"/>
    <w:rsid w:val="00FF6D6E"/>
    <w:rsid w:val="00FF70ED"/>
    <w:rsid w:val="00FF75B4"/>
    <w:rsid w:val="00FF7AF3"/>
    <w:rsid w:val="00FF7C3A"/>
    <w:rsid w:val="00FF7E18"/>
    <w:rsid w:val="00FF7EFC"/>
    <w:rsid w:val="00FF7F3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2BF7D24F-0D75-44D3-A667-CFF5A20DF5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9D6DC8"/>
    <w:rPr>
      <w:sz w:val="24"/>
      <w:szCs w:val="24"/>
    </w:rPr>
  </w:style>
  <w:style w:type="paragraph" w:styleId="Nadpis1">
    <w:name w:val="heading 1"/>
    <w:basedOn w:val="Normln"/>
    <w:next w:val="Normln"/>
    <w:link w:val="Nadpis1Char"/>
    <w:qFormat/>
    <w:rsid w:val="006D5A76"/>
    <w:pPr>
      <w:keepNext/>
      <w:numPr>
        <w:numId w:val="2"/>
      </w:numPr>
      <w:spacing w:before="240" w:after="60"/>
      <w:outlineLvl w:val="0"/>
    </w:pPr>
    <w:rPr>
      <w:b/>
      <w:bCs/>
      <w:kern w:val="32"/>
      <w:sz w:val="32"/>
      <w:szCs w:val="32"/>
    </w:rPr>
  </w:style>
  <w:style w:type="paragraph" w:styleId="Nadpis2">
    <w:name w:val="heading 2"/>
    <w:basedOn w:val="Normln"/>
    <w:next w:val="Normln"/>
    <w:link w:val="Nadpis2Char"/>
    <w:qFormat/>
    <w:rsid w:val="0010497B"/>
    <w:pPr>
      <w:keepNext/>
      <w:numPr>
        <w:ilvl w:val="1"/>
        <w:numId w:val="2"/>
      </w:numPr>
      <w:spacing w:before="240" w:after="60"/>
      <w:outlineLvl w:val="1"/>
    </w:pPr>
    <w:rPr>
      <w:rFonts w:eastAsia="Calibri"/>
      <w:b/>
      <w:bCs/>
      <w:iCs/>
      <w:sz w:val="28"/>
      <w:szCs w:val="28"/>
    </w:rPr>
  </w:style>
  <w:style w:type="paragraph" w:styleId="Nadpis3">
    <w:name w:val="heading 3"/>
    <w:basedOn w:val="Normln"/>
    <w:next w:val="Normln"/>
    <w:link w:val="Nadpis3Char"/>
    <w:qFormat/>
    <w:rsid w:val="00426E58"/>
    <w:pPr>
      <w:keepNext/>
      <w:numPr>
        <w:ilvl w:val="2"/>
        <w:numId w:val="2"/>
      </w:numPr>
      <w:spacing w:before="240" w:after="60" w:line="276" w:lineRule="auto"/>
      <w:outlineLvl w:val="2"/>
    </w:pPr>
    <w:rPr>
      <w:b/>
      <w:bCs/>
      <w:sz w:val="26"/>
      <w:szCs w:val="26"/>
    </w:rPr>
  </w:style>
  <w:style w:type="paragraph" w:styleId="Nadpis4">
    <w:name w:val="heading 4"/>
    <w:basedOn w:val="Normln"/>
    <w:next w:val="Normln"/>
    <w:link w:val="Nadpis4Char"/>
    <w:qFormat/>
    <w:rsid w:val="00426E58"/>
    <w:pPr>
      <w:keepNext/>
      <w:numPr>
        <w:ilvl w:val="3"/>
        <w:numId w:val="2"/>
      </w:numPr>
      <w:spacing w:before="240" w:after="60" w:line="276" w:lineRule="auto"/>
      <w:ind w:left="1429" w:hanging="862"/>
      <w:outlineLvl w:val="3"/>
    </w:pPr>
    <w:rPr>
      <w:b/>
      <w:bCs/>
      <w:i/>
      <w:szCs w:val="28"/>
    </w:rPr>
  </w:style>
  <w:style w:type="paragraph" w:styleId="Nadpis5">
    <w:name w:val="heading 5"/>
    <w:basedOn w:val="Normln"/>
    <w:next w:val="Normln"/>
    <w:qFormat/>
    <w:rsid w:val="00426E58"/>
    <w:pPr>
      <w:numPr>
        <w:ilvl w:val="4"/>
        <w:numId w:val="2"/>
      </w:numPr>
      <w:spacing w:before="240" w:after="60"/>
      <w:outlineLvl w:val="4"/>
    </w:pPr>
    <w:rPr>
      <w:bCs/>
      <w:i/>
      <w:iCs/>
      <w:sz w:val="26"/>
      <w:szCs w:val="26"/>
    </w:rPr>
  </w:style>
  <w:style w:type="paragraph" w:styleId="Nadpis6">
    <w:name w:val="heading 6"/>
    <w:basedOn w:val="Normln"/>
    <w:next w:val="Normln"/>
    <w:qFormat/>
    <w:rsid w:val="00DA233C"/>
    <w:pPr>
      <w:numPr>
        <w:ilvl w:val="5"/>
        <w:numId w:val="2"/>
      </w:numPr>
      <w:spacing w:before="240" w:after="60"/>
      <w:outlineLvl w:val="5"/>
    </w:pPr>
    <w:rPr>
      <w:b/>
      <w:bCs/>
      <w:sz w:val="22"/>
      <w:szCs w:val="22"/>
    </w:rPr>
  </w:style>
  <w:style w:type="paragraph" w:styleId="Nadpis7">
    <w:name w:val="heading 7"/>
    <w:basedOn w:val="Normln"/>
    <w:next w:val="Normln"/>
    <w:qFormat/>
    <w:rsid w:val="00DA233C"/>
    <w:pPr>
      <w:numPr>
        <w:ilvl w:val="6"/>
        <w:numId w:val="2"/>
      </w:numPr>
      <w:spacing w:before="240" w:after="60"/>
      <w:outlineLvl w:val="6"/>
    </w:pPr>
  </w:style>
  <w:style w:type="paragraph" w:styleId="Nadpis8">
    <w:name w:val="heading 8"/>
    <w:basedOn w:val="Normln"/>
    <w:next w:val="Normln"/>
    <w:qFormat/>
    <w:rsid w:val="00DA233C"/>
    <w:pPr>
      <w:numPr>
        <w:ilvl w:val="7"/>
        <w:numId w:val="2"/>
      </w:numPr>
      <w:spacing w:before="240" w:after="60"/>
      <w:outlineLvl w:val="7"/>
    </w:pPr>
    <w:rPr>
      <w:i/>
      <w:iCs/>
    </w:rPr>
  </w:style>
  <w:style w:type="paragraph" w:styleId="Nadpis9">
    <w:name w:val="heading 9"/>
    <w:basedOn w:val="Normln"/>
    <w:next w:val="Normln"/>
    <w:qFormat/>
    <w:rsid w:val="00DA233C"/>
    <w:pPr>
      <w:numPr>
        <w:ilvl w:val="8"/>
        <w:numId w:val="2"/>
      </w:numPr>
      <w:spacing w:before="240" w:after="60"/>
      <w:outlineLvl w:val="8"/>
    </w:pPr>
    <w:rPr>
      <w:rFonts w:ascii="Arial" w:hAnsi="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rsid w:val="00915EE0"/>
    <w:pPr>
      <w:tabs>
        <w:tab w:val="center" w:pos="4536"/>
        <w:tab w:val="right" w:pos="9072"/>
      </w:tabs>
    </w:pPr>
  </w:style>
  <w:style w:type="paragraph" w:styleId="Zpat">
    <w:name w:val="footer"/>
    <w:basedOn w:val="Normln"/>
    <w:link w:val="ZpatChar"/>
    <w:uiPriority w:val="99"/>
    <w:rsid w:val="00915EE0"/>
    <w:pPr>
      <w:tabs>
        <w:tab w:val="center" w:pos="4536"/>
        <w:tab w:val="right" w:pos="9072"/>
      </w:tabs>
    </w:pPr>
  </w:style>
  <w:style w:type="paragraph" w:styleId="Obsah1">
    <w:name w:val="toc 1"/>
    <w:basedOn w:val="Normln"/>
    <w:next w:val="Normln"/>
    <w:autoRedefine/>
    <w:uiPriority w:val="39"/>
    <w:rsid w:val="006A513B"/>
    <w:pPr>
      <w:tabs>
        <w:tab w:val="left" w:pos="480"/>
        <w:tab w:val="right" w:leader="dot" w:pos="9000"/>
      </w:tabs>
      <w:spacing w:after="120"/>
    </w:pPr>
    <w:rPr>
      <w:b/>
      <w:noProof/>
    </w:rPr>
  </w:style>
  <w:style w:type="character" w:styleId="Hypertextovodkaz">
    <w:name w:val="Hyperlink"/>
    <w:uiPriority w:val="99"/>
    <w:rsid w:val="005F123D"/>
    <w:rPr>
      <w:color w:val="0000FF"/>
      <w:u w:val="single"/>
    </w:rPr>
  </w:style>
  <w:style w:type="numbering" w:customStyle="1" w:styleId="StylVcerovov">
    <w:name w:val="Styl Víceúrovňové"/>
    <w:basedOn w:val="Bezseznamu"/>
    <w:rsid w:val="00454A03"/>
    <w:pPr>
      <w:numPr>
        <w:numId w:val="1"/>
      </w:numPr>
    </w:pPr>
  </w:style>
  <w:style w:type="character" w:styleId="slostrnky">
    <w:name w:val="page number"/>
    <w:basedOn w:val="Standardnpsmoodstavce"/>
    <w:rsid w:val="00805461"/>
  </w:style>
  <w:style w:type="paragraph" w:customStyle="1" w:styleId="Default">
    <w:name w:val="Default"/>
    <w:rsid w:val="009D0F7B"/>
    <w:pPr>
      <w:autoSpaceDE w:val="0"/>
      <w:autoSpaceDN w:val="0"/>
      <w:adjustRightInd w:val="0"/>
    </w:pPr>
    <w:rPr>
      <w:color w:val="000000"/>
      <w:sz w:val="24"/>
      <w:szCs w:val="24"/>
    </w:rPr>
  </w:style>
  <w:style w:type="paragraph" w:styleId="Obsah2">
    <w:name w:val="toc 2"/>
    <w:basedOn w:val="Normln"/>
    <w:next w:val="Normln"/>
    <w:autoRedefine/>
    <w:uiPriority w:val="39"/>
    <w:rsid w:val="004E7A40"/>
    <w:pPr>
      <w:tabs>
        <w:tab w:val="left" w:pos="-15840"/>
        <w:tab w:val="left" w:pos="1361"/>
        <w:tab w:val="right" w:leader="dot" w:pos="9000"/>
      </w:tabs>
      <w:spacing w:line="360" w:lineRule="auto"/>
      <w:ind w:left="720" w:hanging="480"/>
    </w:pPr>
  </w:style>
  <w:style w:type="paragraph" w:styleId="Obsah3">
    <w:name w:val="toc 3"/>
    <w:basedOn w:val="Normln"/>
    <w:next w:val="Normln"/>
    <w:autoRedefine/>
    <w:uiPriority w:val="39"/>
    <w:rsid w:val="004E7A40"/>
    <w:pPr>
      <w:tabs>
        <w:tab w:val="left" w:pos="1320"/>
        <w:tab w:val="right" w:leader="dot" w:pos="9000"/>
      </w:tabs>
      <w:spacing w:after="120"/>
      <w:ind w:left="1361" w:hanging="879"/>
    </w:pPr>
  </w:style>
  <w:style w:type="paragraph" w:styleId="Textbubliny">
    <w:name w:val="Balloon Text"/>
    <w:basedOn w:val="Normln"/>
    <w:semiHidden/>
    <w:rsid w:val="002A5B5F"/>
    <w:rPr>
      <w:rFonts w:ascii="Tahoma" w:hAnsi="Tahoma"/>
      <w:sz w:val="16"/>
      <w:szCs w:val="16"/>
    </w:rPr>
  </w:style>
  <w:style w:type="character" w:styleId="Odkaznakoment">
    <w:name w:val="annotation reference"/>
    <w:semiHidden/>
    <w:rsid w:val="00A01DBD"/>
    <w:rPr>
      <w:sz w:val="16"/>
      <w:szCs w:val="16"/>
    </w:rPr>
  </w:style>
  <w:style w:type="paragraph" w:styleId="Textkomente">
    <w:name w:val="annotation text"/>
    <w:basedOn w:val="Normln"/>
    <w:link w:val="TextkomenteChar"/>
    <w:uiPriority w:val="99"/>
    <w:rsid w:val="00A01DBD"/>
    <w:rPr>
      <w:sz w:val="20"/>
      <w:szCs w:val="20"/>
    </w:rPr>
  </w:style>
  <w:style w:type="paragraph" w:styleId="Pedmtkomente">
    <w:name w:val="annotation subject"/>
    <w:basedOn w:val="Textkomente"/>
    <w:next w:val="Textkomente"/>
    <w:semiHidden/>
    <w:rsid w:val="00A01DBD"/>
    <w:rPr>
      <w:b/>
      <w:bCs/>
    </w:rPr>
  </w:style>
  <w:style w:type="paragraph" w:styleId="Textpoznpodarou">
    <w:name w:val="footnote text"/>
    <w:basedOn w:val="Normln"/>
    <w:link w:val="TextpoznpodarouChar"/>
    <w:uiPriority w:val="99"/>
    <w:rsid w:val="00C341CD"/>
    <w:rPr>
      <w:sz w:val="20"/>
      <w:szCs w:val="20"/>
    </w:rPr>
  </w:style>
  <w:style w:type="character" w:styleId="Znakapoznpodarou">
    <w:name w:val="footnote reference"/>
    <w:uiPriority w:val="99"/>
    <w:rsid w:val="00C341CD"/>
    <w:rPr>
      <w:vertAlign w:val="superscript"/>
    </w:rPr>
  </w:style>
  <w:style w:type="paragraph" w:customStyle="1" w:styleId="neslovanseznam">
    <w:name w:val="nečíslovaný seznam"/>
    <w:basedOn w:val="Normln"/>
    <w:rsid w:val="0044042A"/>
    <w:pPr>
      <w:numPr>
        <w:ilvl w:val="1"/>
        <w:numId w:val="3"/>
      </w:numPr>
    </w:pPr>
  </w:style>
  <w:style w:type="paragraph" w:styleId="Zkladntext">
    <w:name w:val="Body Text"/>
    <w:basedOn w:val="Normln"/>
    <w:rsid w:val="00523BFD"/>
    <w:pPr>
      <w:spacing w:after="120"/>
    </w:pPr>
  </w:style>
  <w:style w:type="paragraph" w:styleId="Seznam">
    <w:name w:val="List"/>
    <w:basedOn w:val="Normln"/>
    <w:rsid w:val="00523BFD"/>
    <w:pPr>
      <w:ind w:left="283" w:hanging="283"/>
    </w:pPr>
  </w:style>
  <w:style w:type="paragraph" w:styleId="Seznam2">
    <w:name w:val="List 2"/>
    <w:basedOn w:val="Normln"/>
    <w:rsid w:val="00523BFD"/>
    <w:pPr>
      <w:ind w:left="566" w:hanging="283"/>
    </w:pPr>
  </w:style>
  <w:style w:type="paragraph" w:styleId="Seznamsodrkami2">
    <w:name w:val="List Bullet 2"/>
    <w:basedOn w:val="Normln"/>
    <w:autoRedefine/>
    <w:rsid w:val="00523BFD"/>
    <w:pPr>
      <w:numPr>
        <w:numId w:val="4"/>
      </w:numPr>
    </w:pPr>
  </w:style>
  <w:style w:type="paragraph" w:styleId="Zkladntextodsazen">
    <w:name w:val="Body Text Indent"/>
    <w:basedOn w:val="Normln"/>
    <w:link w:val="ZkladntextodsazenChar"/>
    <w:rsid w:val="00523BFD"/>
    <w:pPr>
      <w:spacing w:after="120"/>
      <w:ind w:left="283"/>
    </w:pPr>
  </w:style>
  <w:style w:type="paragraph" w:styleId="Zkladntext-prvnodsazen2">
    <w:name w:val="Body Text First Indent 2"/>
    <w:basedOn w:val="Zkladntextodsazen"/>
    <w:link w:val="Zkladntext-prvnodsazen2Char"/>
    <w:uiPriority w:val="99"/>
    <w:unhideWhenUsed/>
    <w:rsid w:val="00B230FF"/>
    <w:pPr>
      <w:ind w:firstLine="210"/>
    </w:pPr>
  </w:style>
  <w:style w:type="character" w:customStyle="1" w:styleId="ZkladntextodsazenChar">
    <w:name w:val="Základní text odsazený Char"/>
    <w:link w:val="Zkladntextodsazen"/>
    <w:rsid w:val="00B230FF"/>
    <w:rPr>
      <w:sz w:val="24"/>
      <w:szCs w:val="24"/>
    </w:rPr>
  </w:style>
  <w:style w:type="character" w:customStyle="1" w:styleId="Zkladntext-prvnodsazen2Char">
    <w:name w:val="Základní text - první odsazený 2 Char"/>
    <w:basedOn w:val="ZkladntextodsazenChar"/>
    <w:link w:val="Zkladntext-prvnodsazen2"/>
    <w:rsid w:val="00B230FF"/>
    <w:rPr>
      <w:sz w:val="24"/>
      <w:szCs w:val="24"/>
    </w:rPr>
  </w:style>
  <w:style w:type="paragraph" w:styleId="Titulek">
    <w:name w:val="caption"/>
    <w:basedOn w:val="Normln"/>
    <w:next w:val="Normln"/>
    <w:qFormat/>
    <w:rsid w:val="00625A6E"/>
    <w:pPr>
      <w:spacing w:before="120" w:after="120"/>
    </w:pPr>
    <w:rPr>
      <w:b/>
      <w:bCs/>
      <w:sz w:val="20"/>
      <w:szCs w:val="20"/>
    </w:rPr>
  </w:style>
  <w:style w:type="paragraph" w:styleId="Seznamobrzk">
    <w:name w:val="table of figures"/>
    <w:basedOn w:val="Normln"/>
    <w:next w:val="Normln"/>
    <w:uiPriority w:val="99"/>
    <w:rsid w:val="00625A6E"/>
    <w:pPr>
      <w:ind w:left="480" w:hanging="480"/>
    </w:pPr>
  </w:style>
  <w:style w:type="paragraph" w:customStyle="1" w:styleId="Hlavnnadpis">
    <w:name w:val="Hlavní nadpis"/>
    <w:basedOn w:val="Normln"/>
    <w:rsid w:val="00A425D8"/>
    <w:pPr>
      <w:numPr>
        <w:numId w:val="5"/>
      </w:numPr>
    </w:pPr>
  </w:style>
  <w:style w:type="paragraph" w:customStyle="1" w:styleId="Podnadpis">
    <w:name w:val="Podnadpis"/>
    <w:basedOn w:val="Normln"/>
    <w:rsid w:val="00A425D8"/>
    <w:pPr>
      <w:numPr>
        <w:ilvl w:val="1"/>
        <w:numId w:val="5"/>
      </w:numPr>
    </w:pPr>
  </w:style>
  <w:style w:type="paragraph" w:customStyle="1" w:styleId="Podpodnadpis">
    <w:name w:val="Podpodnadpis"/>
    <w:basedOn w:val="Normln"/>
    <w:rsid w:val="00A425D8"/>
    <w:pPr>
      <w:numPr>
        <w:ilvl w:val="2"/>
        <w:numId w:val="5"/>
      </w:numPr>
    </w:pPr>
  </w:style>
  <w:style w:type="paragraph" w:styleId="Obsah4">
    <w:name w:val="toc 4"/>
    <w:basedOn w:val="Normln"/>
    <w:next w:val="Normln"/>
    <w:autoRedefine/>
    <w:uiPriority w:val="39"/>
    <w:rsid w:val="004E7A40"/>
    <w:pPr>
      <w:tabs>
        <w:tab w:val="left" w:pos="1680"/>
        <w:tab w:val="right" w:leader="dot" w:pos="9000"/>
      </w:tabs>
      <w:spacing w:after="120"/>
      <w:ind w:left="720"/>
    </w:pPr>
  </w:style>
  <w:style w:type="table" w:styleId="Mkatabulky">
    <w:name w:val="Table Grid"/>
    <w:basedOn w:val="Normlntabulka"/>
    <w:rsid w:val="00061C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draznn">
    <w:name w:val="Emphasis"/>
    <w:basedOn w:val="Standardnpsmoodstavce"/>
    <w:uiPriority w:val="20"/>
    <w:qFormat/>
    <w:rsid w:val="004C5A34"/>
    <w:rPr>
      <w:rFonts w:cs="Times New Roman"/>
      <w:i/>
      <w:iCs/>
    </w:rPr>
  </w:style>
  <w:style w:type="character" w:customStyle="1" w:styleId="object">
    <w:name w:val="object"/>
    <w:basedOn w:val="Standardnpsmoodstavce"/>
    <w:rsid w:val="00067DAE"/>
  </w:style>
  <w:style w:type="character" w:customStyle="1" w:styleId="TextpoznpodarouChar">
    <w:name w:val="Text pozn. pod čarou Char"/>
    <w:basedOn w:val="Standardnpsmoodstavce"/>
    <w:link w:val="Textpoznpodarou"/>
    <w:uiPriority w:val="99"/>
    <w:rsid w:val="00067DAE"/>
  </w:style>
  <w:style w:type="paragraph" w:styleId="Odstavecseseznamem">
    <w:name w:val="List Paragraph"/>
    <w:basedOn w:val="Normln"/>
    <w:uiPriority w:val="34"/>
    <w:qFormat/>
    <w:rsid w:val="00067DAE"/>
    <w:pPr>
      <w:spacing w:after="200" w:line="276" w:lineRule="auto"/>
      <w:ind w:left="720"/>
      <w:contextualSpacing/>
    </w:pPr>
    <w:rPr>
      <w:rFonts w:ascii="Calibri" w:eastAsia="Calibri" w:hAnsi="Calibri"/>
      <w:sz w:val="22"/>
      <w:szCs w:val="22"/>
      <w:lang w:eastAsia="en-US"/>
    </w:rPr>
  </w:style>
  <w:style w:type="character" w:customStyle="1" w:styleId="TextkomenteChar">
    <w:name w:val="Text komentáře Char"/>
    <w:basedOn w:val="Standardnpsmoodstavce"/>
    <w:link w:val="Textkomente"/>
    <w:uiPriority w:val="99"/>
    <w:rsid w:val="00491A1D"/>
  </w:style>
  <w:style w:type="paragraph" w:customStyle="1" w:styleId="EndNoteBibliographyTitle">
    <w:name w:val="EndNote Bibliography Title"/>
    <w:basedOn w:val="Normln"/>
    <w:link w:val="EndNoteBibliographyTitleChar"/>
    <w:rsid w:val="0080274D"/>
    <w:pPr>
      <w:jc w:val="center"/>
    </w:pPr>
    <w:rPr>
      <w:noProof/>
    </w:rPr>
  </w:style>
  <w:style w:type="character" w:customStyle="1" w:styleId="EndNoteBibliographyTitleChar">
    <w:name w:val="EndNote Bibliography Title Char"/>
    <w:basedOn w:val="Standardnpsmoodstavce"/>
    <w:link w:val="EndNoteBibliographyTitle"/>
    <w:rsid w:val="0080274D"/>
    <w:rPr>
      <w:noProof/>
      <w:sz w:val="24"/>
      <w:szCs w:val="24"/>
    </w:rPr>
  </w:style>
  <w:style w:type="paragraph" w:customStyle="1" w:styleId="EndNoteBibliography">
    <w:name w:val="EndNote Bibliography"/>
    <w:basedOn w:val="Normln"/>
    <w:link w:val="EndNoteBibliographyChar"/>
    <w:rsid w:val="0080274D"/>
    <w:rPr>
      <w:noProof/>
    </w:rPr>
  </w:style>
  <w:style w:type="character" w:customStyle="1" w:styleId="EndNoteBibliographyChar">
    <w:name w:val="EndNote Bibliography Char"/>
    <w:basedOn w:val="Standardnpsmoodstavce"/>
    <w:link w:val="EndNoteBibliography"/>
    <w:rsid w:val="0080274D"/>
    <w:rPr>
      <w:noProof/>
      <w:sz w:val="24"/>
      <w:szCs w:val="24"/>
    </w:rPr>
  </w:style>
  <w:style w:type="character" w:customStyle="1" w:styleId="reference-text">
    <w:name w:val="reference-text"/>
    <w:basedOn w:val="Standardnpsmoodstavce"/>
    <w:rsid w:val="002F2813"/>
  </w:style>
  <w:style w:type="paragraph" w:styleId="Seznamsodrkami">
    <w:name w:val="List Bullet"/>
    <w:basedOn w:val="Normln"/>
    <w:uiPriority w:val="99"/>
    <w:unhideWhenUsed/>
    <w:rsid w:val="008068D6"/>
    <w:pPr>
      <w:numPr>
        <w:numId w:val="9"/>
      </w:numPr>
      <w:contextualSpacing/>
    </w:pPr>
  </w:style>
  <w:style w:type="character" w:customStyle="1" w:styleId="ZpatChar">
    <w:name w:val="Zápatí Char"/>
    <w:basedOn w:val="Standardnpsmoodstavce"/>
    <w:link w:val="Zpat"/>
    <w:uiPriority w:val="99"/>
    <w:rsid w:val="007B7295"/>
    <w:rPr>
      <w:sz w:val="24"/>
      <w:szCs w:val="24"/>
    </w:rPr>
  </w:style>
  <w:style w:type="paragraph" w:customStyle="1" w:styleId="Standard">
    <w:name w:val="Standard"/>
    <w:rsid w:val="00123062"/>
    <w:pPr>
      <w:suppressAutoHyphens/>
      <w:autoSpaceDN w:val="0"/>
      <w:spacing w:after="200" w:line="276" w:lineRule="auto"/>
    </w:pPr>
    <w:rPr>
      <w:rFonts w:ascii="Calibri" w:eastAsia="Calibri" w:hAnsi="Calibri"/>
      <w:kern w:val="3"/>
      <w:sz w:val="22"/>
      <w:szCs w:val="22"/>
      <w:lang w:eastAsia="zh-CN"/>
    </w:rPr>
  </w:style>
  <w:style w:type="paragraph" w:styleId="Normlnweb">
    <w:name w:val="Normal (Web)"/>
    <w:basedOn w:val="Normln"/>
    <w:uiPriority w:val="99"/>
    <w:semiHidden/>
    <w:unhideWhenUsed/>
    <w:rsid w:val="00DC27CF"/>
    <w:pPr>
      <w:spacing w:before="100" w:beforeAutospacing="1" w:after="100" w:afterAutospacing="1"/>
    </w:pPr>
  </w:style>
  <w:style w:type="character" w:customStyle="1" w:styleId="Nadpis4Char">
    <w:name w:val="Nadpis 4 Char"/>
    <w:basedOn w:val="Standardnpsmoodstavce"/>
    <w:link w:val="Nadpis4"/>
    <w:rsid w:val="00426E58"/>
    <w:rPr>
      <w:b/>
      <w:bCs/>
      <w:i/>
      <w:sz w:val="24"/>
      <w:szCs w:val="28"/>
    </w:rPr>
  </w:style>
  <w:style w:type="paragraph" w:styleId="Rozloendokumentu">
    <w:name w:val="Document Map"/>
    <w:basedOn w:val="Normln"/>
    <w:link w:val="RozloendokumentuChar"/>
    <w:uiPriority w:val="99"/>
    <w:semiHidden/>
    <w:unhideWhenUsed/>
    <w:rsid w:val="00CA6BCE"/>
    <w:rPr>
      <w:rFonts w:ascii="Tahoma" w:hAnsi="Tahoma" w:cs="Tahoma"/>
      <w:sz w:val="16"/>
      <w:szCs w:val="16"/>
    </w:rPr>
  </w:style>
  <w:style w:type="character" w:customStyle="1" w:styleId="RozloendokumentuChar">
    <w:name w:val="Rozložení dokumentu Char"/>
    <w:basedOn w:val="Standardnpsmoodstavce"/>
    <w:link w:val="Rozloendokumentu"/>
    <w:uiPriority w:val="99"/>
    <w:semiHidden/>
    <w:rsid w:val="00CA6BCE"/>
    <w:rPr>
      <w:rFonts w:ascii="Tahoma" w:hAnsi="Tahoma" w:cs="Tahoma"/>
      <w:sz w:val="16"/>
      <w:szCs w:val="16"/>
    </w:rPr>
  </w:style>
  <w:style w:type="character" w:customStyle="1" w:styleId="apple-converted-space">
    <w:name w:val="apple-converted-space"/>
    <w:basedOn w:val="Standardnpsmoodstavce"/>
    <w:rsid w:val="00022C74"/>
  </w:style>
  <w:style w:type="character" w:customStyle="1" w:styleId="authors">
    <w:name w:val="authors"/>
    <w:basedOn w:val="Standardnpsmoodstavce"/>
    <w:rsid w:val="003C6E76"/>
  </w:style>
  <w:style w:type="character" w:styleId="Sledovanodkaz">
    <w:name w:val="FollowedHyperlink"/>
    <w:basedOn w:val="Standardnpsmoodstavce"/>
    <w:uiPriority w:val="99"/>
    <w:semiHidden/>
    <w:unhideWhenUsed/>
    <w:rsid w:val="00783B3F"/>
    <w:rPr>
      <w:color w:val="800080"/>
      <w:u w:val="single"/>
    </w:rPr>
  </w:style>
  <w:style w:type="character" w:customStyle="1" w:styleId="Nadpis2Char">
    <w:name w:val="Nadpis 2 Char"/>
    <w:basedOn w:val="Standardnpsmoodstavce"/>
    <w:link w:val="Nadpis2"/>
    <w:rsid w:val="0010497B"/>
    <w:rPr>
      <w:rFonts w:eastAsia="Calibri"/>
      <w:b/>
      <w:bCs/>
      <w:iCs/>
      <w:sz w:val="28"/>
      <w:szCs w:val="28"/>
    </w:rPr>
  </w:style>
  <w:style w:type="character" w:customStyle="1" w:styleId="Nadpis3Char">
    <w:name w:val="Nadpis 3 Char"/>
    <w:basedOn w:val="Standardnpsmoodstavce"/>
    <w:link w:val="Nadpis3"/>
    <w:rsid w:val="00426E58"/>
    <w:rPr>
      <w:b/>
      <w:bCs/>
      <w:sz w:val="26"/>
      <w:szCs w:val="26"/>
    </w:rPr>
  </w:style>
  <w:style w:type="character" w:styleId="Zstupntext">
    <w:name w:val="Placeholder Text"/>
    <w:basedOn w:val="Standardnpsmoodstavce"/>
    <w:uiPriority w:val="99"/>
    <w:semiHidden/>
    <w:rsid w:val="00021CB3"/>
    <w:rPr>
      <w:color w:val="808080"/>
    </w:rPr>
  </w:style>
  <w:style w:type="character" w:customStyle="1" w:styleId="st">
    <w:name w:val="st"/>
    <w:basedOn w:val="Standardnpsmoodstavce"/>
    <w:rsid w:val="006E7C95"/>
  </w:style>
  <w:style w:type="character" w:customStyle="1" w:styleId="spelle">
    <w:name w:val="spelle"/>
    <w:basedOn w:val="Standardnpsmoodstavce"/>
    <w:rsid w:val="004C5C20"/>
  </w:style>
  <w:style w:type="character" w:customStyle="1" w:styleId="Nadpis1Char">
    <w:name w:val="Nadpis 1 Char"/>
    <w:basedOn w:val="Standardnpsmoodstavce"/>
    <w:link w:val="Nadpis1"/>
    <w:rsid w:val="00A27065"/>
    <w:rPr>
      <w:b/>
      <w:bCs/>
      <w:kern w:val="32"/>
      <w:sz w:val="32"/>
      <w:szCs w:val="32"/>
    </w:rPr>
  </w:style>
  <w:style w:type="paragraph" w:styleId="Obsah5">
    <w:name w:val="toc 5"/>
    <w:basedOn w:val="Normln"/>
    <w:next w:val="Normln"/>
    <w:autoRedefine/>
    <w:uiPriority w:val="39"/>
    <w:unhideWhenUsed/>
    <w:rsid w:val="00C3752D"/>
    <w:pPr>
      <w:spacing w:after="100" w:line="276" w:lineRule="auto"/>
      <w:ind w:left="880"/>
    </w:pPr>
    <w:rPr>
      <w:rFonts w:asciiTheme="minorHAnsi" w:eastAsiaTheme="minorEastAsia" w:hAnsiTheme="minorHAnsi" w:cstheme="minorBidi"/>
      <w:sz w:val="22"/>
      <w:szCs w:val="22"/>
    </w:rPr>
  </w:style>
  <w:style w:type="paragraph" w:styleId="Obsah6">
    <w:name w:val="toc 6"/>
    <w:basedOn w:val="Normln"/>
    <w:next w:val="Normln"/>
    <w:autoRedefine/>
    <w:uiPriority w:val="39"/>
    <w:unhideWhenUsed/>
    <w:rsid w:val="00C3752D"/>
    <w:pPr>
      <w:spacing w:after="100" w:line="276" w:lineRule="auto"/>
      <w:ind w:left="1100"/>
    </w:pPr>
    <w:rPr>
      <w:rFonts w:asciiTheme="minorHAnsi" w:eastAsiaTheme="minorEastAsia" w:hAnsiTheme="minorHAnsi" w:cstheme="minorBidi"/>
      <w:sz w:val="22"/>
      <w:szCs w:val="22"/>
    </w:rPr>
  </w:style>
  <w:style w:type="paragraph" w:styleId="Obsah7">
    <w:name w:val="toc 7"/>
    <w:basedOn w:val="Normln"/>
    <w:next w:val="Normln"/>
    <w:autoRedefine/>
    <w:uiPriority w:val="39"/>
    <w:unhideWhenUsed/>
    <w:rsid w:val="00C3752D"/>
    <w:pPr>
      <w:spacing w:after="100" w:line="276" w:lineRule="auto"/>
      <w:ind w:left="1320"/>
    </w:pPr>
    <w:rPr>
      <w:rFonts w:asciiTheme="minorHAnsi" w:eastAsiaTheme="minorEastAsia" w:hAnsiTheme="minorHAnsi" w:cstheme="minorBidi"/>
      <w:sz w:val="22"/>
      <w:szCs w:val="22"/>
    </w:rPr>
  </w:style>
  <w:style w:type="paragraph" w:styleId="Obsah8">
    <w:name w:val="toc 8"/>
    <w:basedOn w:val="Normln"/>
    <w:next w:val="Normln"/>
    <w:autoRedefine/>
    <w:uiPriority w:val="39"/>
    <w:unhideWhenUsed/>
    <w:rsid w:val="00C3752D"/>
    <w:pPr>
      <w:spacing w:after="100" w:line="276" w:lineRule="auto"/>
      <w:ind w:left="1540"/>
    </w:pPr>
    <w:rPr>
      <w:rFonts w:asciiTheme="minorHAnsi" w:eastAsiaTheme="minorEastAsia" w:hAnsiTheme="minorHAnsi" w:cstheme="minorBidi"/>
      <w:sz w:val="22"/>
      <w:szCs w:val="22"/>
    </w:rPr>
  </w:style>
  <w:style w:type="paragraph" w:styleId="Obsah9">
    <w:name w:val="toc 9"/>
    <w:basedOn w:val="Normln"/>
    <w:next w:val="Normln"/>
    <w:autoRedefine/>
    <w:uiPriority w:val="39"/>
    <w:unhideWhenUsed/>
    <w:rsid w:val="00C3752D"/>
    <w:pPr>
      <w:spacing w:after="100" w:line="276" w:lineRule="auto"/>
      <w:ind w:left="1760"/>
    </w:pPr>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49941">
      <w:bodyDiv w:val="1"/>
      <w:marLeft w:val="0"/>
      <w:marRight w:val="0"/>
      <w:marTop w:val="0"/>
      <w:marBottom w:val="0"/>
      <w:divBdr>
        <w:top w:val="none" w:sz="0" w:space="0" w:color="auto"/>
        <w:left w:val="none" w:sz="0" w:space="0" w:color="auto"/>
        <w:bottom w:val="none" w:sz="0" w:space="0" w:color="auto"/>
        <w:right w:val="none" w:sz="0" w:space="0" w:color="auto"/>
      </w:divBdr>
      <w:divsChild>
        <w:div w:id="1606419786">
          <w:marLeft w:val="0"/>
          <w:marRight w:val="0"/>
          <w:marTop w:val="0"/>
          <w:marBottom w:val="0"/>
          <w:divBdr>
            <w:top w:val="none" w:sz="0" w:space="0" w:color="auto"/>
            <w:left w:val="none" w:sz="0" w:space="0" w:color="auto"/>
            <w:bottom w:val="none" w:sz="0" w:space="0" w:color="auto"/>
            <w:right w:val="none" w:sz="0" w:space="0" w:color="auto"/>
          </w:divBdr>
        </w:div>
      </w:divsChild>
    </w:div>
    <w:div w:id="10189512">
      <w:bodyDiv w:val="1"/>
      <w:marLeft w:val="0"/>
      <w:marRight w:val="0"/>
      <w:marTop w:val="0"/>
      <w:marBottom w:val="0"/>
      <w:divBdr>
        <w:top w:val="none" w:sz="0" w:space="0" w:color="auto"/>
        <w:left w:val="none" w:sz="0" w:space="0" w:color="auto"/>
        <w:bottom w:val="none" w:sz="0" w:space="0" w:color="auto"/>
        <w:right w:val="none" w:sz="0" w:space="0" w:color="auto"/>
      </w:divBdr>
      <w:divsChild>
        <w:div w:id="1800688979">
          <w:marLeft w:val="0"/>
          <w:marRight w:val="0"/>
          <w:marTop w:val="0"/>
          <w:marBottom w:val="0"/>
          <w:divBdr>
            <w:top w:val="none" w:sz="0" w:space="0" w:color="auto"/>
            <w:left w:val="none" w:sz="0" w:space="0" w:color="auto"/>
            <w:bottom w:val="none" w:sz="0" w:space="0" w:color="auto"/>
            <w:right w:val="none" w:sz="0" w:space="0" w:color="auto"/>
          </w:divBdr>
        </w:div>
      </w:divsChild>
    </w:div>
    <w:div w:id="12466723">
      <w:bodyDiv w:val="1"/>
      <w:marLeft w:val="0"/>
      <w:marRight w:val="0"/>
      <w:marTop w:val="0"/>
      <w:marBottom w:val="0"/>
      <w:divBdr>
        <w:top w:val="none" w:sz="0" w:space="0" w:color="auto"/>
        <w:left w:val="none" w:sz="0" w:space="0" w:color="auto"/>
        <w:bottom w:val="none" w:sz="0" w:space="0" w:color="auto"/>
        <w:right w:val="none" w:sz="0" w:space="0" w:color="auto"/>
      </w:divBdr>
      <w:divsChild>
        <w:div w:id="1676961112">
          <w:marLeft w:val="0"/>
          <w:marRight w:val="0"/>
          <w:marTop w:val="0"/>
          <w:marBottom w:val="0"/>
          <w:divBdr>
            <w:top w:val="none" w:sz="0" w:space="0" w:color="auto"/>
            <w:left w:val="none" w:sz="0" w:space="0" w:color="auto"/>
            <w:bottom w:val="none" w:sz="0" w:space="0" w:color="auto"/>
            <w:right w:val="none" w:sz="0" w:space="0" w:color="auto"/>
          </w:divBdr>
        </w:div>
      </w:divsChild>
    </w:div>
    <w:div w:id="28377359">
      <w:bodyDiv w:val="1"/>
      <w:marLeft w:val="0"/>
      <w:marRight w:val="0"/>
      <w:marTop w:val="0"/>
      <w:marBottom w:val="0"/>
      <w:divBdr>
        <w:top w:val="none" w:sz="0" w:space="0" w:color="auto"/>
        <w:left w:val="none" w:sz="0" w:space="0" w:color="auto"/>
        <w:bottom w:val="none" w:sz="0" w:space="0" w:color="auto"/>
        <w:right w:val="none" w:sz="0" w:space="0" w:color="auto"/>
      </w:divBdr>
      <w:divsChild>
        <w:div w:id="330259123">
          <w:marLeft w:val="0"/>
          <w:marRight w:val="0"/>
          <w:marTop w:val="0"/>
          <w:marBottom w:val="0"/>
          <w:divBdr>
            <w:top w:val="none" w:sz="0" w:space="0" w:color="auto"/>
            <w:left w:val="none" w:sz="0" w:space="0" w:color="auto"/>
            <w:bottom w:val="none" w:sz="0" w:space="0" w:color="auto"/>
            <w:right w:val="none" w:sz="0" w:space="0" w:color="auto"/>
          </w:divBdr>
        </w:div>
        <w:div w:id="878322527">
          <w:marLeft w:val="0"/>
          <w:marRight w:val="0"/>
          <w:marTop w:val="0"/>
          <w:marBottom w:val="0"/>
          <w:divBdr>
            <w:top w:val="none" w:sz="0" w:space="0" w:color="auto"/>
            <w:left w:val="none" w:sz="0" w:space="0" w:color="auto"/>
            <w:bottom w:val="none" w:sz="0" w:space="0" w:color="auto"/>
            <w:right w:val="none" w:sz="0" w:space="0" w:color="auto"/>
          </w:divBdr>
        </w:div>
      </w:divsChild>
    </w:div>
    <w:div w:id="28380119">
      <w:bodyDiv w:val="1"/>
      <w:marLeft w:val="0"/>
      <w:marRight w:val="0"/>
      <w:marTop w:val="0"/>
      <w:marBottom w:val="0"/>
      <w:divBdr>
        <w:top w:val="none" w:sz="0" w:space="0" w:color="auto"/>
        <w:left w:val="none" w:sz="0" w:space="0" w:color="auto"/>
        <w:bottom w:val="none" w:sz="0" w:space="0" w:color="auto"/>
        <w:right w:val="none" w:sz="0" w:space="0" w:color="auto"/>
      </w:divBdr>
      <w:divsChild>
        <w:div w:id="668287047">
          <w:marLeft w:val="0"/>
          <w:marRight w:val="0"/>
          <w:marTop w:val="0"/>
          <w:marBottom w:val="0"/>
          <w:divBdr>
            <w:top w:val="none" w:sz="0" w:space="0" w:color="auto"/>
            <w:left w:val="none" w:sz="0" w:space="0" w:color="auto"/>
            <w:bottom w:val="none" w:sz="0" w:space="0" w:color="auto"/>
            <w:right w:val="none" w:sz="0" w:space="0" w:color="auto"/>
          </w:divBdr>
        </w:div>
      </w:divsChild>
    </w:div>
    <w:div w:id="36316388">
      <w:bodyDiv w:val="1"/>
      <w:marLeft w:val="0"/>
      <w:marRight w:val="0"/>
      <w:marTop w:val="0"/>
      <w:marBottom w:val="0"/>
      <w:divBdr>
        <w:top w:val="none" w:sz="0" w:space="0" w:color="auto"/>
        <w:left w:val="none" w:sz="0" w:space="0" w:color="auto"/>
        <w:bottom w:val="none" w:sz="0" w:space="0" w:color="auto"/>
        <w:right w:val="none" w:sz="0" w:space="0" w:color="auto"/>
      </w:divBdr>
      <w:divsChild>
        <w:div w:id="562759770">
          <w:marLeft w:val="0"/>
          <w:marRight w:val="0"/>
          <w:marTop w:val="0"/>
          <w:marBottom w:val="0"/>
          <w:divBdr>
            <w:top w:val="none" w:sz="0" w:space="0" w:color="auto"/>
            <w:left w:val="none" w:sz="0" w:space="0" w:color="auto"/>
            <w:bottom w:val="none" w:sz="0" w:space="0" w:color="auto"/>
            <w:right w:val="none" w:sz="0" w:space="0" w:color="auto"/>
          </w:divBdr>
        </w:div>
      </w:divsChild>
    </w:div>
    <w:div w:id="37553075">
      <w:bodyDiv w:val="1"/>
      <w:marLeft w:val="0"/>
      <w:marRight w:val="0"/>
      <w:marTop w:val="0"/>
      <w:marBottom w:val="0"/>
      <w:divBdr>
        <w:top w:val="none" w:sz="0" w:space="0" w:color="auto"/>
        <w:left w:val="none" w:sz="0" w:space="0" w:color="auto"/>
        <w:bottom w:val="none" w:sz="0" w:space="0" w:color="auto"/>
        <w:right w:val="none" w:sz="0" w:space="0" w:color="auto"/>
      </w:divBdr>
      <w:divsChild>
        <w:div w:id="1766148435">
          <w:marLeft w:val="0"/>
          <w:marRight w:val="0"/>
          <w:marTop w:val="0"/>
          <w:marBottom w:val="0"/>
          <w:divBdr>
            <w:top w:val="none" w:sz="0" w:space="0" w:color="auto"/>
            <w:left w:val="none" w:sz="0" w:space="0" w:color="auto"/>
            <w:bottom w:val="none" w:sz="0" w:space="0" w:color="auto"/>
            <w:right w:val="none" w:sz="0" w:space="0" w:color="auto"/>
          </w:divBdr>
        </w:div>
      </w:divsChild>
    </w:div>
    <w:div w:id="40255801">
      <w:bodyDiv w:val="1"/>
      <w:marLeft w:val="0"/>
      <w:marRight w:val="0"/>
      <w:marTop w:val="0"/>
      <w:marBottom w:val="0"/>
      <w:divBdr>
        <w:top w:val="none" w:sz="0" w:space="0" w:color="auto"/>
        <w:left w:val="none" w:sz="0" w:space="0" w:color="auto"/>
        <w:bottom w:val="none" w:sz="0" w:space="0" w:color="auto"/>
        <w:right w:val="none" w:sz="0" w:space="0" w:color="auto"/>
      </w:divBdr>
      <w:divsChild>
        <w:div w:id="95834621">
          <w:marLeft w:val="0"/>
          <w:marRight w:val="0"/>
          <w:marTop w:val="0"/>
          <w:marBottom w:val="0"/>
          <w:divBdr>
            <w:top w:val="none" w:sz="0" w:space="0" w:color="auto"/>
            <w:left w:val="none" w:sz="0" w:space="0" w:color="auto"/>
            <w:bottom w:val="none" w:sz="0" w:space="0" w:color="auto"/>
            <w:right w:val="none" w:sz="0" w:space="0" w:color="auto"/>
          </w:divBdr>
        </w:div>
      </w:divsChild>
    </w:div>
    <w:div w:id="53242574">
      <w:bodyDiv w:val="1"/>
      <w:marLeft w:val="0"/>
      <w:marRight w:val="0"/>
      <w:marTop w:val="0"/>
      <w:marBottom w:val="0"/>
      <w:divBdr>
        <w:top w:val="none" w:sz="0" w:space="0" w:color="auto"/>
        <w:left w:val="none" w:sz="0" w:space="0" w:color="auto"/>
        <w:bottom w:val="none" w:sz="0" w:space="0" w:color="auto"/>
        <w:right w:val="none" w:sz="0" w:space="0" w:color="auto"/>
      </w:divBdr>
      <w:divsChild>
        <w:div w:id="2021353089">
          <w:marLeft w:val="0"/>
          <w:marRight w:val="0"/>
          <w:marTop w:val="0"/>
          <w:marBottom w:val="0"/>
          <w:divBdr>
            <w:top w:val="none" w:sz="0" w:space="0" w:color="auto"/>
            <w:left w:val="none" w:sz="0" w:space="0" w:color="auto"/>
            <w:bottom w:val="none" w:sz="0" w:space="0" w:color="auto"/>
            <w:right w:val="none" w:sz="0" w:space="0" w:color="auto"/>
          </w:divBdr>
        </w:div>
      </w:divsChild>
    </w:div>
    <w:div w:id="59525073">
      <w:bodyDiv w:val="1"/>
      <w:marLeft w:val="0"/>
      <w:marRight w:val="0"/>
      <w:marTop w:val="0"/>
      <w:marBottom w:val="0"/>
      <w:divBdr>
        <w:top w:val="none" w:sz="0" w:space="0" w:color="auto"/>
        <w:left w:val="none" w:sz="0" w:space="0" w:color="auto"/>
        <w:bottom w:val="none" w:sz="0" w:space="0" w:color="auto"/>
        <w:right w:val="none" w:sz="0" w:space="0" w:color="auto"/>
      </w:divBdr>
      <w:divsChild>
        <w:div w:id="1868719248">
          <w:marLeft w:val="0"/>
          <w:marRight w:val="0"/>
          <w:marTop w:val="0"/>
          <w:marBottom w:val="0"/>
          <w:divBdr>
            <w:top w:val="none" w:sz="0" w:space="0" w:color="auto"/>
            <w:left w:val="none" w:sz="0" w:space="0" w:color="auto"/>
            <w:bottom w:val="none" w:sz="0" w:space="0" w:color="auto"/>
            <w:right w:val="none" w:sz="0" w:space="0" w:color="auto"/>
          </w:divBdr>
        </w:div>
      </w:divsChild>
    </w:div>
    <w:div w:id="62532818">
      <w:bodyDiv w:val="1"/>
      <w:marLeft w:val="0"/>
      <w:marRight w:val="0"/>
      <w:marTop w:val="0"/>
      <w:marBottom w:val="0"/>
      <w:divBdr>
        <w:top w:val="none" w:sz="0" w:space="0" w:color="auto"/>
        <w:left w:val="none" w:sz="0" w:space="0" w:color="auto"/>
        <w:bottom w:val="none" w:sz="0" w:space="0" w:color="auto"/>
        <w:right w:val="none" w:sz="0" w:space="0" w:color="auto"/>
      </w:divBdr>
      <w:divsChild>
        <w:div w:id="1467963615">
          <w:marLeft w:val="0"/>
          <w:marRight w:val="0"/>
          <w:marTop w:val="0"/>
          <w:marBottom w:val="0"/>
          <w:divBdr>
            <w:top w:val="none" w:sz="0" w:space="0" w:color="auto"/>
            <w:left w:val="none" w:sz="0" w:space="0" w:color="auto"/>
            <w:bottom w:val="none" w:sz="0" w:space="0" w:color="auto"/>
            <w:right w:val="none" w:sz="0" w:space="0" w:color="auto"/>
          </w:divBdr>
        </w:div>
      </w:divsChild>
    </w:div>
    <w:div w:id="75829733">
      <w:bodyDiv w:val="1"/>
      <w:marLeft w:val="0"/>
      <w:marRight w:val="0"/>
      <w:marTop w:val="0"/>
      <w:marBottom w:val="0"/>
      <w:divBdr>
        <w:top w:val="none" w:sz="0" w:space="0" w:color="auto"/>
        <w:left w:val="none" w:sz="0" w:space="0" w:color="auto"/>
        <w:bottom w:val="none" w:sz="0" w:space="0" w:color="auto"/>
        <w:right w:val="none" w:sz="0" w:space="0" w:color="auto"/>
      </w:divBdr>
      <w:divsChild>
        <w:div w:id="1107190004">
          <w:marLeft w:val="0"/>
          <w:marRight w:val="0"/>
          <w:marTop w:val="0"/>
          <w:marBottom w:val="0"/>
          <w:divBdr>
            <w:top w:val="none" w:sz="0" w:space="0" w:color="auto"/>
            <w:left w:val="none" w:sz="0" w:space="0" w:color="auto"/>
            <w:bottom w:val="none" w:sz="0" w:space="0" w:color="auto"/>
            <w:right w:val="none" w:sz="0" w:space="0" w:color="auto"/>
          </w:divBdr>
        </w:div>
      </w:divsChild>
    </w:div>
    <w:div w:id="85929280">
      <w:bodyDiv w:val="1"/>
      <w:marLeft w:val="0"/>
      <w:marRight w:val="0"/>
      <w:marTop w:val="0"/>
      <w:marBottom w:val="0"/>
      <w:divBdr>
        <w:top w:val="none" w:sz="0" w:space="0" w:color="auto"/>
        <w:left w:val="none" w:sz="0" w:space="0" w:color="auto"/>
        <w:bottom w:val="none" w:sz="0" w:space="0" w:color="auto"/>
        <w:right w:val="none" w:sz="0" w:space="0" w:color="auto"/>
      </w:divBdr>
      <w:divsChild>
        <w:div w:id="1788493">
          <w:marLeft w:val="0"/>
          <w:marRight w:val="0"/>
          <w:marTop w:val="0"/>
          <w:marBottom w:val="0"/>
          <w:divBdr>
            <w:top w:val="none" w:sz="0" w:space="0" w:color="auto"/>
            <w:left w:val="none" w:sz="0" w:space="0" w:color="auto"/>
            <w:bottom w:val="none" w:sz="0" w:space="0" w:color="auto"/>
            <w:right w:val="none" w:sz="0" w:space="0" w:color="auto"/>
          </w:divBdr>
        </w:div>
        <w:div w:id="60638355">
          <w:marLeft w:val="0"/>
          <w:marRight w:val="0"/>
          <w:marTop w:val="0"/>
          <w:marBottom w:val="0"/>
          <w:divBdr>
            <w:top w:val="none" w:sz="0" w:space="0" w:color="auto"/>
            <w:left w:val="none" w:sz="0" w:space="0" w:color="auto"/>
            <w:bottom w:val="none" w:sz="0" w:space="0" w:color="auto"/>
            <w:right w:val="none" w:sz="0" w:space="0" w:color="auto"/>
          </w:divBdr>
        </w:div>
        <w:div w:id="484515185">
          <w:marLeft w:val="0"/>
          <w:marRight w:val="0"/>
          <w:marTop w:val="0"/>
          <w:marBottom w:val="0"/>
          <w:divBdr>
            <w:top w:val="none" w:sz="0" w:space="0" w:color="auto"/>
            <w:left w:val="none" w:sz="0" w:space="0" w:color="auto"/>
            <w:bottom w:val="none" w:sz="0" w:space="0" w:color="auto"/>
            <w:right w:val="none" w:sz="0" w:space="0" w:color="auto"/>
          </w:divBdr>
        </w:div>
        <w:div w:id="503858689">
          <w:marLeft w:val="0"/>
          <w:marRight w:val="0"/>
          <w:marTop w:val="0"/>
          <w:marBottom w:val="0"/>
          <w:divBdr>
            <w:top w:val="none" w:sz="0" w:space="0" w:color="auto"/>
            <w:left w:val="none" w:sz="0" w:space="0" w:color="auto"/>
            <w:bottom w:val="none" w:sz="0" w:space="0" w:color="auto"/>
            <w:right w:val="none" w:sz="0" w:space="0" w:color="auto"/>
          </w:divBdr>
        </w:div>
        <w:div w:id="1078400779">
          <w:marLeft w:val="0"/>
          <w:marRight w:val="0"/>
          <w:marTop w:val="0"/>
          <w:marBottom w:val="0"/>
          <w:divBdr>
            <w:top w:val="none" w:sz="0" w:space="0" w:color="auto"/>
            <w:left w:val="none" w:sz="0" w:space="0" w:color="auto"/>
            <w:bottom w:val="none" w:sz="0" w:space="0" w:color="auto"/>
            <w:right w:val="none" w:sz="0" w:space="0" w:color="auto"/>
          </w:divBdr>
        </w:div>
        <w:div w:id="1236428292">
          <w:marLeft w:val="0"/>
          <w:marRight w:val="0"/>
          <w:marTop w:val="0"/>
          <w:marBottom w:val="0"/>
          <w:divBdr>
            <w:top w:val="none" w:sz="0" w:space="0" w:color="auto"/>
            <w:left w:val="none" w:sz="0" w:space="0" w:color="auto"/>
            <w:bottom w:val="none" w:sz="0" w:space="0" w:color="auto"/>
            <w:right w:val="none" w:sz="0" w:space="0" w:color="auto"/>
          </w:divBdr>
        </w:div>
        <w:div w:id="1325012013">
          <w:marLeft w:val="0"/>
          <w:marRight w:val="0"/>
          <w:marTop w:val="0"/>
          <w:marBottom w:val="0"/>
          <w:divBdr>
            <w:top w:val="none" w:sz="0" w:space="0" w:color="auto"/>
            <w:left w:val="none" w:sz="0" w:space="0" w:color="auto"/>
            <w:bottom w:val="none" w:sz="0" w:space="0" w:color="auto"/>
            <w:right w:val="none" w:sz="0" w:space="0" w:color="auto"/>
          </w:divBdr>
        </w:div>
        <w:div w:id="1964649298">
          <w:marLeft w:val="0"/>
          <w:marRight w:val="0"/>
          <w:marTop w:val="0"/>
          <w:marBottom w:val="0"/>
          <w:divBdr>
            <w:top w:val="none" w:sz="0" w:space="0" w:color="auto"/>
            <w:left w:val="none" w:sz="0" w:space="0" w:color="auto"/>
            <w:bottom w:val="none" w:sz="0" w:space="0" w:color="auto"/>
            <w:right w:val="none" w:sz="0" w:space="0" w:color="auto"/>
          </w:divBdr>
        </w:div>
      </w:divsChild>
    </w:div>
    <w:div w:id="93018959">
      <w:bodyDiv w:val="1"/>
      <w:marLeft w:val="0"/>
      <w:marRight w:val="0"/>
      <w:marTop w:val="0"/>
      <w:marBottom w:val="0"/>
      <w:divBdr>
        <w:top w:val="none" w:sz="0" w:space="0" w:color="auto"/>
        <w:left w:val="none" w:sz="0" w:space="0" w:color="auto"/>
        <w:bottom w:val="none" w:sz="0" w:space="0" w:color="auto"/>
        <w:right w:val="none" w:sz="0" w:space="0" w:color="auto"/>
      </w:divBdr>
      <w:divsChild>
        <w:div w:id="2007047003">
          <w:marLeft w:val="0"/>
          <w:marRight w:val="0"/>
          <w:marTop w:val="0"/>
          <w:marBottom w:val="0"/>
          <w:divBdr>
            <w:top w:val="none" w:sz="0" w:space="0" w:color="auto"/>
            <w:left w:val="none" w:sz="0" w:space="0" w:color="auto"/>
            <w:bottom w:val="none" w:sz="0" w:space="0" w:color="auto"/>
            <w:right w:val="none" w:sz="0" w:space="0" w:color="auto"/>
          </w:divBdr>
        </w:div>
      </w:divsChild>
    </w:div>
    <w:div w:id="96096083">
      <w:bodyDiv w:val="1"/>
      <w:marLeft w:val="0"/>
      <w:marRight w:val="0"/>
      <w:marTop w:val="0"/>
      <w:marBottom w:val="0"/>
      <w:divBdr>
        <w:top w:val="none" w:sz="0" w:space="0" w:color="auto"/>
        <w:left w:val="none" w:sz="0" w:space="0" w:color="auto"/>
        <w:bottom w:val="none" w:sz="0" w:space="0" w:color="auto"/>
        <w:right w:val="none" w:sz="0" w:space="0" w:color="auto"/>
      </w:divBdr>
      <w:divsChild>
        <w:div w:id="1877303850">
          <w:marLeft w:val="0"/>
          <w:marRight w:val="0"/>
          <w:marTop w:val="0"/>
          <w:marBottom w:val="0"/>
          <w:divBdr>
            <w:top w:val="none" w:sz="0" w:space="0" w:color="auto"/>
            <w:left w:val="none" w:sz="0" w:space="0" w:color="auto"/>
            <w:bottom w:val="none" w:sz="0" w:space="0" w:color="auto"/>
            <w:right w:val="none" w:sz="0" w:space="0" w:color="auto"/>
          </w:divBdr>
        </w:div>
      </w:divsChild>
    </w:div>
    <w:div w:id="131217783">
      <w:bodyDiv w:val="1"/>
      <w:marLeft w:val="0"/>
      <w:marRight w:val="0"/>
      <w:marTop w:val="0"/>
      <w:marBottom w:val="0"/>
      <w:divBdr>
        <w:top w:val="none" w:sz="0" w:space="0" w:color="auto"/>
        <w:left w:val="none" w:sz="0" w:space="0" w:color="auto"/>
        <w:bottom w:val="none" w:sz="0" w:space="0" w:color="auto"/>
        <w:right w:val="none" w:sz="0" w:space="0" w:color="auto"/>
      </w:divBdr>
      <w:divsChild>
        <w:div w:id="31394049">
          <w:marLeft w:val="0"/>
          <w:marRight w:val="0"/>
          <w:marTop w:val="0"/>
          <w:marBottom w:val="0"/>
          <w:divBdr>
            <w:top w:val="none" w:sz="0" w:space="0" w:color="auto"/>
            <w:left w:val="none" w:sz="0" w:space="0" w:color="auto"/>
            <w:bottom w:val="none" w:sz="0" w:space="0" w:color="auto"/>
            <w:right w:val="none" w:sz="0" w:space="0" w:color="auto"/>
          </w:divBdr>
        </w:div>
      </w:divsChild>
    </w:div>
    <w:div w:id="136994467">
      <w:bodyDiv w:val="1"/>
      <w:marLeft w:val="0"/>
      <w:marRight w:val="0"/>
      <w:marTop w:val="0"/>
      <w:marBottom w:val="0"/>
      <w:divBdr>
        <w:top w:val="none" w:sz="0" w:space="0" w:color="auto"/>
        <w:left w:val="none" w:sz="0" w:space="0" w:color="auto"/>
        <w:bottom w:val="none" w:sz="0" w:space="0" w:color="auto"/>
        <w:right w:val="none" w:sz="0" w:space="0" w:color="auto"/>
      </w:divBdr>
      <w:divsChild>
        <w:div w:id="190799198">
          <w:marLeft w:val="0"/>
          <w:marRight w:val="0"/>
          <w:marTop w:val="0"/>
          <w:marBottom w:val="0"/>
          <w:divBdr>
            <w:top w:val="none" w:sz="0" w:space="0" w:color="auto"/>
            <w:left w:val="none" w:sz="0" w:space="0" w:color="auto"/>
            <w:bottom w:val="none" w:sz="0" w:space="0" w:color="auto"/>
            <w:right w:val="none" w:sz="0" w:space="0" w:color="auto"/>
          </w:divBdr>
        </w:div>
      </w:divsChild>
    </w:div>
    <w:div w:id="143743370">
      <w:bodyDiv w:val="1"/>
      <w:marLeft w:val="0"/>
      <w:marRight w:val="0"/>
      <w:marTop w:val="0"/>
      <w:marBottom w:val="0"/>
      <w:divBdr>
        <w:top w:val="none" w:sz="0" w:space="0" w:color="auto"/>
        <w:left w:val="none" w:sz="0" w:space="0" w:color="auto"/>
        <w:bottom w:val="none" w:sz="0" w:space="0" w:color="auto"/>
        <w:right w:val="none" w:sz="0" w:space="0" w:color="auto"/>
      </w:divBdr>
    </w:div>
    <w:div w:id="143933594">
      <w:bodyDiv w:val="1"/>
      <w:marLeft w:val="0"/>
      <w:marRight w:val="0"/>
      <w:marTop w:val="0"/>
      <w:marBottom w:val="0"/>
      <w:divBdr>
        <w:top w:val="none" w:sz="0" w:space="0" w:color="auto"/>
        <w:left w:val="none" w:sz="0" w:space="0" w:color="auto"/>
        <w:bottom w:val="none" w:sz="0" w:space="0" w:color="auto"/>
        <w:right w:val="none" w:sz="0" w:space="0" w:color="auto"/>
      </w:divBdr>
      <w:divsChild>
        <w:div w:id="366181351">
          <w:marLeft w:val="0"/>
          <w:marRight w:val="0"/>
          <w:marTop w:val="0"/>
          <w:marBottom w:val="0"/>
          <w:divBdr>
            <w:top w:val="none" w:sz="0" w:space="0" w:color="auto"/>
            <w:left w:val="none" w:sz="0" w:space="0" w:color="auto"/>
            <w:bottom w:val="none" w:sz="0" w:space="0" w:color="auto"/>
            <w:right w:val="none" w:sz="0" w:space="0" w:color="auto"/>
          </w:divBdr>
        </w:div>
      </w:divsChild>
    </w:div>
    <w:div w:id="179591521">
      <w:bodyDiv w:val="1"/>
      <w:marLeft w:val="0"/>
      <w:marRight w:val="0"/>
      <w:marTop w:val="0"/>
      <w:marBottom w:val="0"/>
      <w:divBdr>
        <w:top w:val="none" w:sz="0" w:space="0" w:color="auto"/>
        <w:left w:val="none" w:sz="0" w:space="0" w:color="auto"/>
        <w:bottom w:val="none" w:sz="0" w:space="0" w:color="auto"/>
        <w:right w:val="none" w:sz="0" w:space="0" w:color="auto"/>
      </w:divBdr>
      <w:divsChild>
        <w:div w:id="875242782">
          <w:marLeft w:val="0"/>
          <w:marRight w:val="0"/>
          <w:marTop w:val="0"/>
          <w:marBottom w:val="0"/>
          <w:divBdr>
            <w:top w:val="none" w:sz="0" w:space="0" w:color="auto"/>
            <w:left w:val="none" w:sz="0" w:space="0" w:color="auto"/>
            <w:bottom w:val="none" w:sz="0" w:space="0" w:color="auto"/>
            <w:right w:val="none" w:sz="0" w:space="0" w:color="auto"/>
          </w:divBdr>
        </w:div>
      </w:divsChild>
    </w:div>
    <w:div w:id="179852301">
      <w:bodyDiv w:val="1"/>
      <w:marLeft w:val="0"/>
      <w:marRight w:val="0"/>
      <w:marTop w:val="0"/>
      <w:marBottom w:val="0"/>
      <w:divBdr>
        <w:top w:val="none" w:sz="0" w:space="0" w:color="auto"/>
        <w:left w:val="none" w:sz="0" w:space="0" w:color="auto"/>
        <w:bottom w:val="none" w:sz="0" w:space="0" w:color="auto"/>
        <w:right w:val="none" w:sz="0" w:space="0" w:color="auto"/>
      </w:divBdr>
      <w:divsChild>
        <w:div w:id="1973552919">
          <w:marLeft w:val="0"/>
          <w:marRight w:val="0"/>
          <w:marTop w:val="0"/>
          <w:marBottom w:val="0"/>
          <w:divBdr>
            <w:top w:val="none" w:sz="0" w:space="0" w:color="auto"/>
            <w:left w:val="none" w:sz="0" w:space="0" w:color="auto"/>
            <w:bottom w:val="none" w:sz="0" w:space="0" w:color="auto"/>
            <w:right w:val="none" w:sz="0" w:space="0" w:color="auto"/>
          </w:divBdr>
        </w:div>
      </w:divsChild>
    </w:div>
    <w:div w:id="201023509">
      <w:bodyDiv w:val="1"/>
      <w:marLeft w:val="0"/>
      <w:marRight w:val="0"/>
      <w:marTop w:val="0"/>
      <w:marBottom w:val="0"/>
      <w:divBdr>
        <w:top w:val="none" w:sz="0" w:space="0" w:color="auto"/>
        <w:left w:val="none" w:sz="0" w:space="0" w:color="auto"/>
        <w:bottom w:val="none" w:sz="0" w:space="0" w:color="auto"/>
        <w:right w:val="none" w:sz="0" w:space="0" w:color="auto"/>
      </w:divBdr>
      <w:divsChild>
        <w:div w:id="1361932583">
          <w:marLeft w:val="0"/>
          <w:marRight w:val="0"/>
          <w:marTop w:val="0"/>
          <w:marBottom w:val="0"/>
          <w:divBdr>
            <w:top w:val="none" w:sz="0" w:space="0" w:color="auto"/>
            <w:left w:val="none" w:sz="0" w:space="0" w:color="auto"/>
            <w:bottom w:val="none" w:sz="0" w:space="0" w:color="auto"/>
            <w:right w:val="none" w:sz="0" w:space="0" w:color="auto"/>
          </w:divBdr>
        </w:div>
      </w:divsChild>
    </w:div>
    <w:div w:id="209263942">
      <w:bodyDiv w:val="1"/>
      <w:marLeft w:val="0"/>
      <w:marRight w:val="0"/>
      <w:marTop w:val="0"/>
      <w:marBottom w:val="0"/>
      <w:divBdr>
        <w:top w:val="none" w:sz="0" w:space="0" w:color="auto"/>
        <w:left w:val="none" w:sz="0" w:space="0" w:color="auto"/>
        <w:bottom w:val="none" w:sz="0" w:space="0" w:color="auto"/>
        <w:right w:val="none" w:sz="0" w:space="0" w:color="auto"/>
      </w:divBdr>
    </w:div>
    <w:div w:id="209726107">
      <w:bodyDiv w:val="1"/>
      <w:marLeft w:val="0"/>
      <w:marRight w:val="0"/>
      <w:marTop w:val="0"/>
      <w:marBottom w:val="0"/>
      <w:divBdr>
        <w:top w:val="none" w:sz="0" w:space="0" w:color="auto"/>
        <w:left w:val="none" w:sz="0" w:space="0" w:color="auto"/>
        <w:bottom w:val="none" w:sz="0" w:space="0" w:color="auto"/>
        <w:right w:val="none" w:sz="0" w:space="0" w:color="auto"/>
      </w:divBdr>
      <w:divsChild>
        <w:div w:id="790520012">
          <w:marLeft w:val="0"/>
          <w:marRight w:val="0"/>
          <w:marTop w:val="0"/>
          <w:marBottom w:val="0"/>
          <w:divBdr>
            <w:top w:val="none" w:sz="0" w:space="0" w:color="auto"/>
            <w:left w:val="none" w:sz="0" w:space="0" w:color="auto"/>
            <w:bottom w:val="none" w:sz="0" w:space="0" w:color="auto"/>
            <w:right w:val="none" w:sz="0" w:space="0" w:color="auto"/>
          </w:divBdr>
        </w:div>
      </w:divsChild>
    </w:div>
    <w:div w:id="213784030">
      <w:bodyDiv w:val="1"/>
      <w:marLeft w:val="0"/>
      <w:marRight w:val="0"/>
      <w:marTop w:val="0"/>
      <w:marBottom w:val="0"/>
      <w:divBdr>
        <w:top w:val="none" w:sz="0" w:space="0" w:color="auto"/>
        <w:left w:val="none" w:sz="0" w:space="0" w:color="auto"/>
        <w:bottom w:val="none" w:sz="0" w:space="0" w:color="auto"/>
        <w:right w:val="none" w:sz="0" w:space="0" w:color="auto"/>
      </w:divBdr>
      <w:divsChild>
        <w:div w:id="574700849">
          <w:marLeft w:val="0"/>
          <w:marRight w:val="0"/>
          <w:marTop w:val="0"/>
          <w:marBottom w:val="0"/>
          <w:divBdr>
            <w:top w:val="none" w:sz="0" w:space="0" w:color="auto"/>
            <w:left w:val="none" w:sz="0" w:space="0" w:color="auto"/>
            <w:bottom w:val="none" w:sz="0" w:space="0" w:color="auto"/>
            <w:right w:val="none" w:sz="0" w:space="0" w:color="auto"/>
          </w:divBdr>
        </w:div>
      </w:divsChild>
    </w:div>
    <w:div w:id="233515271">
      <w:bodyDiv w:val="1"/>
      <w:marLeft w:val="0"/>
      <w:marRight w:val="0"/>
      <w:marTop w:val="0"/>
      <w:marBottom w:val="0"/>
      <w:divBdr>
        <w:top w:val="none" w:sz="0" w:space="0" w:color="auto"/>
        <w:left w:val="none" w:sz="0" w:space="0" w:color="auto"/>
        <w:bottom w:val="none" w:sz="0" w:space="0" w:color="auto"/>
        <w:right w:val="none" w:sz="0" w:space="0" w:color="auto"/>
      </w:divBdr>
      <w:divsChild>
        <w:div w:id="723479823">
          <w:marLeft w:val="0"/>
          <w:marRight w:val="0"/>
          <w:marTop w:val="0"/>
          <w:marBottom w:val="0"/>
          <w:divBdr>
            <w:top w:val="none" w:sz="0" w:space="0" w:color="auto"/>
            <w:left w:val="none" w:sz="0" w:space="0" w:color="auto"/>
            <w:bottom w:val="none" w:sz="0" w:space="0" w:color="auto"/>
            <w:right w:val="none" w:sz="0" w:space="0" w:color="auto"/>
          </w:divBdr>
        </w:div>
      </w:divsChild>
    </w:div>
    <w:div w:id="244732861">
      <w:bodyDiv w:val="1"/>
      <w:marLeft w:val="0"/>
      <w:marRight w:val="0"/>
      <w:marTop w:val="0"/>
      <w:marBottom w:val="0"/>
      <w:divBdr>
        <w:top w:val="none" w:sz="0" w:space="0" w:color="auto"/>
        <w:left w:val="none" w:sz="0" w:space="0" w:color="auto"/>
        <w:bottom w:val="none" w:sz="0" w:space="0" w:color="auto"/>
        <w:right w:val="none" w:sz="0" w:space="0" w:color="auto"/>
      </w:divBdr>
      <w:divsChild>
        <w:div w:id="2146073018">
          <w:marLeft w:val="0"/>
          <w:marRight w:val="0"/>
          <w:marTop w:val="0"/>
          <w:marBottom w:val="0"/>
          <w:divBdr>
            <w:top w:val="none" w:sz="0" w:space="0" w:color="auto"/>
            <w:left w:val="none" w:sz="0" w:space="0" w:color="auto"/>
            <w:bottom w:val="none" w:sz="0" w:space="0" w:color="auto"/>
            <w:right w:val="none" w:sz="0" w:space="0" w:color="auto"/>
          </w:divBdr>
        </w:div>
      </w:divsChild>
    </w:div>
    <w:div w:id="292563690">
      <w:bodyDiv w:val="1"/>
      <w:marLeft w:val="0"/>
      <w:marRight w:val="0"/>
      <w:marTop w:val="0"/>
      <w:marBottom w:val="0"/>
      <w:divBdr>
        <w:top w:val="none" w:sz="0" w:space="0" w:color="auto"/>
        <w:left w:val="none" w:sz="0" w:space="0" w:color="auto"/>
        <w:bottom w:val="none" w:sz="0" w:space="0" w:color="auto"/>
        <w:right w:val="none" w:sz="0" w:space="0" w:color="auto"/>
      </w:divBdr>
      <w:divsChild>
        <w:div w:id="1895651498">
          <w:marLeft w:val="0"/>
          <w:marRight w:val="0"/>
          <w:marTop w:val="0"/>
          <w:marBottom w:val="0"/>
          <w:divBdr>
            <w:top w:val="none" w:sz="0" w:space="0" w:color="auto"/>
            <w:left w:val="none" w:sz="0" w:space="0" w:color="auto"/>
            <w:bottom w:val="none" w:sz="0" w:space="0" w:color="auto"/>
            <w:right w:val="none" w:sz="0" w:space="0" w:color="auto"/>
          </w:divBdr>
        </w:div>
      </w:divsChild>
    </w:div>
    <w:div w:id="301427636">
      <w:bodyDiv w:val="1"/>
      <w:marLeft w:val="0"/>
      <w:marRight w:val="0"/>
      <w:marTop w:val="0"/>
      <w:marBottom w:val="0"/>
      <w:divBdr>
        <w:top w:val="none" w:sz="0" w:space="0" w:color="auto"/>
        <w:left w:val="none" w:sz="0" w:space="0" w:color="auto"/>
        <w:bottom w:val="none" w:sz="0" w:space="0" w:color="auto"/>
        <w:right w:val="none" w:sz="0" w:space="0" w:color="auto"/>
      </w:divBdr>
      <w:divsChild>
        <w:div w:id="1441296913">
          <w:marLeft w:val="0"/>
          <w:marRight w:val="0"/>
          <w:marTop w:val="0"/>
          <w:marBottom w:val="0"/>
          <w:divBdr>
            <w:top w:val="none" w:sz="0" w:space="0" w:color="auto"/>
            <w:left w:val="none" w:sz="0" w:space="0" w:color="auto"/>
            <w:bottom w:val="none" w:sz="0" w:space="0" w:color="auto"/>
            <w:right w:val="none" w:sz="0" w:space="0" w:color="auto"/>
          </w:divBdr>
        </w:div>
      </w:divsChild>
    </w:div>
    <w:div w:id="313066323">
      <w:bodyDiv w:val="1"/>
      <w:marLeft w:val="0"/>
      <w:marRight w:val="0"/>
      <w:marTop w:val="0"/>
      <w:marBottom w:val="0"/>
      <w:divBdr>
        <w:top w:val="none" w:sz="0" w:space="0" w:color="auto"/>
        <w:left w:val="none" w:sz="0" w:space="0" w:color="auto"/>
        <w:bottom w:val="none" w:sz="0" w:space="0" w:color="auto"/>
        <w:right w:val="none" w:sz="0" w:space="0" w:color="auto"/>
      </w:divBdr>
    </w:div>
    <w:div w:id="314457483">
      <w:bodyDiv w:val="1"/>
      <w:marLeft w:val="0"/>
      <w:marRight w:val="0"/>
      <w:marTop w:val="0"/>
      <w:marBottom w:val="0"/>
      <w:divBdr>
        <w:top w:val="none" w:sz="0" w:space="0" w:color="auto"/>
        <w:left w:val="none" w:sz="0" w:space="0" w:color="auto"/>
        <w:bottom w:val="none" w:sz="0" w:space="0" w:color="auto"/>
        <w:right w:val="none" w:sz="0" w:space="0" w:color="auto"/>
      </w:divBdr>
      <w:divsChild>
        <w:div w:id="527565915">
          <w:marLeft w:val="0"/>
          <w:marRight w:val="0"/>
          <w:marTop w:val="0"/>
          <w:marBottom w:val="0"/>
          <w:divBdr>
            <w:top w:val="none" w:sz="0" w:space="0" w:color="auto"/>
            <w:left w:val="none" w:sz="0" w:space="0" w:color="auto"/>
            <w:bottom w:val="none" w:sz="0" w:space="0" w:color="auto"/>
            <w:right w:val="none" w:sz="0" w:space="0" w:color="auto"/>
          </w:divBdr>
        </w:div>
      </w:divsChild>
    </w:div>
    <w:div w:id="315690332">
      <w:bodyDiv w:val="1"/>
      <w:marLeft w:val="0"/>
      <w:marRight w:val="0"/>
      <w:marTop w:val="0"/>
      <w:marBottom w:val="0"/>
      <w:divBdr>
        <w:top w:val="none" w:sz="0" w:space="0" w:color="auto"/>
        <w:left w:val="none" w:sz="0" w:space="0" w:color="auto"/>
        <w:bottom w:val="none" w:sz="0" w:space="0" w:color="auto"/>
        <w:right w:val="none" w:sz="0" w:space="0" w:color="auto"/>
      </w:divBdr>
      <w:divsChild>
        <w:div w:id="1222448240">
          <w:marLeft w:val="0"/>
          <w:marRight w:val="0"/>
          <w:marTop w:val="0"/>
          <w:marBottom w:val="0"/>
          <w:divBdr>
            <w:top w:val="none" w:sz="0" w:space="0" w:color="auto"/>
            <w:left w:val="none" w:sz="0" w:space="0" w:color="auto"/>
            <w:bottom w:val="none" w:sz="0" w:space="0" w:color="auto"/>
            <w:right w:val="none" w:sz="0" w:space="0" w:color="auto"/>
          </w:divBdr>
        </w:div>
      </w:divsChild>
    </w:div>
    <w:div w:id="316031951">
      <w:bodyDiv w:val="1"/>
      <w:marLeft w:val="0"/>
      <w:marRight w:val="0"/>
      <w:marTop w:val="0"/>
      <w:marBottom w:val="0"/>
      <w:divBdr>
        <w:top w:val="none" w:sz="0" w:space="0" w:color="auto"/>
        <w:left w:val="none" w:sz="0" w:space="0" w:color="auto"/>
        <w:bottom w:val="none" w:sz="0" w:space="0" w:color="auto"/>
        <w:right w:val="none" w:sz="0" w:space="0" w:color="auto"/>
      </w:divBdr>
      <w:divsChild>
        <w:div w:id="688146117">
          <w:marLeft w:val="0"/>
          <w:marRight w:val="0"/>
          <w:marTop w:val="0"/>
          <w:marBottom w:val="0"/>
          <w:divBdr>
            <w:top w:val="none" w:sz="0" w:space="0" w:color="auto"/>
            <w:left w:val="none" w:sz="0" w:space="0" w:color="auto"/>
            <w:bottom w:val="none" w:sz="0" w:space="0" w:color="auto"/>
            <w:right w:val="none" w:sz="0" w:space="0" w:color="auto"/>
          </w:divBdr>
        </w:div>
      </w:divsChild>
    </w:div>
    <w:div w:id="320542636">
      <w:bodyDiv w:val="1"/>
      <w:marLeft w:val="0"/>
      <w:marRight w:val="0"/>
      <w:marTop w:val="0"/>
      <w:marBottom w:val="0"/>
      <w:divBdr>
        <w:top w:val="none" w:sz="0" w:space="0" w:color="auto"/>
        <w:left w:val="none" w:sz="0" w:space="0" w:color="auto"/>
        <w:bottom w:val="none" w:sz="0" w:space="0" w:color="auto"/>
        <w:right w:val="none" w:sz="0" w:space="0" w:color="auto"/>
      </w:divBdr>
      <w:divsChild>
        <w:div w:id="1611661522">
          <w:marLeft w:val="0"/>
          <w:marRight w:val="0"/>
          <w:marTop w:val="0"/>
          <w:marBottom w:val="0"/>
          <w:divBdr>
            <w:top w:val="none" w:sz="0" w:space="0" w:color="auto"/>
            <w:left w:val="none" w:sz="0" w:space="0" w:color="auto"/>
            <w:bottom w:val="none" w:sz="0" w:space="0" w:color="auto"/>
            <w:right w:val="none" w:sz="0" w:space="0" w:color="auto"/>
          </w:divBdr>
        </w:div>
      </w:divsChild>
    </w:div>
    <w:div w:id="342434374">
      <w:bodyDiv w:val="1"/>
      <w:marLeft w:val="0"/>
      <w:marRight w:val="0"/>
      <w:marTop w:val="0"/>
      <w:marBottom w:val="0"/>
      <w:divBdr>
        <w:top w:val="none" w:sz="0" w:space="0" w:color="auto"/>
        <w:left w:val="none" w:sz="0" w:space="0" w:color="auto"/>
        <w:bottom w:val="none" w:sz="0" w:space="0" w:color="auto"/>
        <w:right w:val="none" w:sz="0" w:space="0" w:color="auto"/>
      </w:divBdr>
      <w:divsChild>
        <w:div w:id="312301418">
          <w:marLeft w:val="0"/>
          <w:marRight w:val="0"/>
          <w:marTop w:val="0"/>
          <w:marBottom w:val="0"/>
          <w:divBdr>
            <w:top w:val="none" w:sz="0" w:space="0" w:color="auto"/>
            <w:left w:val="none" w:sz="0" w:space="0" w:color="auto"/>
            <w:bottom w:val="none" w:sz="0" w:space="0" w:color="auto"/>
            <w:right w:val="none" w:sz="0" w:space="0" w:color="auto"/>
          </w:divBdr>
        </w:div>
      </w:divsChild>
    </w:div>
    <w:div w:id="347146017">
      <w:bodyDiv w:val="1"/>
      <w:marLeft w:val="0"/>
      <w:marRight w:val="0"/>
      <w:marTop w:val="0"/>
      <w:marBottom w:val="0"/>
      <w:divBdr>
        <w:top w:val="none" w:sz="0" w:space="0" w:color="auto"/>
        <w:left w:val="none" w:sz="0" w:space="0" w:color="auto"/>
        <w:bottom w:val="none" w:sz="0" w:space="0" w:color="auto"/>
        <w:right w:val="none" w:sz="0" w:space="0" w:color="auto"/>
      </w:divBdr>
      <w:divsChild>
        <w:div w:id="2059435057">
          <w:marLeft w:val="0"/>
          <w:marRight w:val="0"/>
          <w:marTop w:val="0"/>
          <w:marBottom w:val="0"/>
          <w:divBdr>
            <w:top w:val="none" w:sz="0" w:space="0" w:color="auto"/>
            <w:left w:val="none" w:sz="0" w:space="0" w:color="auto"/>
            <w:bottom w:val="none" w:sz="0" w:space="0" w:color="auto"/>
            <w:right w:val="none" w:sz="0" w:space="0" w:color="auto"/>
          </w:divBdr>
        </w:div>
      </w:divsChild>
    </w:div>
    <w:div w:id="366561934">
      <w:bodyDiv w:val="1"/>
      <w:marLeft w:val="0"/>
      <w:marRight w:val="0"/>
      <w:marTop w:val="0"/>
      <w:marBottom w:val="0"/>
      <w:divBdr>
        <w:top w:val="none" w:sz="0" w:space="0" w:color="auto"/>
        <w:left w:val="none" w:sz="0" w:space="0" w:color="auto"/>
        <w:bottom w:val="none" w:sz="0" w:space="0" w:color="auto"/>
        <w:right w:val="none" w:sz="0" w:space="0" w:color="auto"/>
      </w:divBdr>
      <w:divsChild>
        <w:div w:id="2011369750">
          <w:marLeft w:val="0"/>
          <w:marRight w:val="0"/>
          <w:marTop w:val="0"/>
          <w:marBottom w:val="0"/>
          <w:divBdr>
            <w:top w:val="none" w:sz="0" w:space="0" w:color="auto"/>
            <w:left w:val="none" w:sz="0" w:space="0" w:color="auto"/>
            <w:bottom w:val="none" w:sz="0" w:space="0" w:color="auto"/>
            <w:right w:val="none" w:sz="0" w:space="0" w:color="auto"/>
          </w:divBdr>
        </w:div>
      </w:divsChild>
    </w:div>
    <w:div w:id="369958340">
      <w:bodyDiv w:val="1"/>
      <w:marLeft w:val="0"/>
      <w:marRight w:val="0"/>
      <w:marTop w:val="0"/>
      <w:marBottom w:val="0"/>
      <w:divBdr>
        <w:top w:val="none" w:sz="0" w:space="0" w:color="auto"/>
        <w:left w:val="none" w:sz="0" w:space="0" w:color="auto"/>
        <w:bottom w:val="none" w:sz="0" w:space="0" w:color="auto"/>
        <w:right w:val="none" w:sz="0" w:space="0" w:color="auto"/>
      </w:divBdr>
      <w:divsChild>
        <w:div w:id="1202324474">
          <w:marLeft w:val="0"/>
          <w:marRight w:val="0"/>
          <w:marTop w:val="0"/>
          <w:marBottom w:val="0"/>
          <w:divBdr>
            <w:top w:val="none" w:sz="0" w:space="0" w:color="auto"/>
            <w:left w:val="none" w:sz="0" w:space="0" w:color="auto"/>
            <w:bottom w:val="none" w:sz="0" w:space="0" w:color="auto"/>
            <w:right w:val="none" w:sz="0" w:space="0" w:color="auto"/>
          </w:divBdr>
        </w:div>
      </w:divsChild>
    </w:div>
    <w:div w:id="383606251">
      <w:bodyDiv w:val="1"/>
      <w:marLeft w:val="0"/>
      <w:marRight w:val="0"/>
      <w:marTop w:val="0"/>
      <w:marBottom w:val="0"/>
      <w:divBdr>
        <w:top w:val="none" w:sz="0" w:space="0" w:color="auto"/>
        <w:left w:val="none" w:sz="0" w:space="0" w:color="auto"/>
        <w:bottom w:val="none" w:sz="0" w:space="0" w:color="auto"/>
        <w:right w:val="none" w:sz="0" w:space="0" w:color="auto"/>
      </w:divBdr>
      <w:divsChild>
        <w:div w:id="1095244762">
          <w:marLeft w:val="0"/>
          <w:marRight w:val="0"/>
          <w:marTop w:val="0"/>
          <w:marBottom w:val="0"/>
          <w:divBdr>
            <w:top w:val="none" w:sz="0" w:space="0" w:color="auto"/>
            <w:left w:val="none" w:sz="0" w:space="0" w:color="auto"/>
            <w:bottom w:val="none" w:sz="0" w:space="0" w:color="auto"/>
            <w:right w:val="none" w:sz="0" w:space="0" w:color="auto"/>
          </w:divBdr>
        </w:div>
      </w:divsChild>
    </w:div>
    <w:div w:id="385111723">
      <w:bodyDiv w:val="1"/>
      <w:marLeft w:val="0"/>
      <w:marRight w:val="0"/>
      <w:marTop w:val="0"/>
      <w:marBottom w:val="0"/>
      <w:divBdr>
        <w:top w:val="none" w:sz="0" w:space="0" w:color="auto"/>
        <w:left w:val="none" w:sz="0" w:space="0" w:color="auto"/>
        <w:bottom w:val="none" w:sz="0" w:space="0" w:color="auto"/>
        <w:right w:val="none" w:sz="0" w:space="0" w:color="auto"/>
      </w:divBdr>
      <w:divsChild>
        <w:div w:id="1180579314">
          <w:marLeft w:val="0"/>
          <w:marRight w:val="0"/>
          <w:marTop w:val="0"/>
          <w:marBottom w:val="0"/>
          <w:divBdr>
            <w:top w:val="none" w:sz="0" w:space="0" w:color="auto"/>
            <w:left w:val="none" w:sz="0" w:space="0" w:color="auto"/>
            <w:bottom w:val="none" w:sz="0" w:space="0" w:color="auto"/>
            <w:right w:val="none" w:sz="0" w:space="0" w:color="auto"/>
          </w:divBdr>
        </w:div>
      </w:divsChild>
    </w:div>
    <w:div w:id="423650598">
      <w:bodyDiv w:val="1"/>
      <w:marLeft w:val="0"/>
      <w:marRight w:val="0"/>
      <w:marTop w:val="0"/>
      <w:marBottom w:val="0"/>
      <w:divBdr>
        <w:top w:val="none" w:sz="0" w:space="0" w:color="auto"/>
        <w:left w:val="none" w:sz="0" w:space="0" w:color="auto"/>
        <w:bottom w:val="none" w:sz="0" w:space="0" w:color="auto"/>
        <w:right w:val="none" w:sz="0" w:space="0" w:color="auto"/>
      </w:divBdr>
      <w:divsChild>
        <w:div w:id="13043106">
          <w:marLeft w:val="0"/>
          <w:marRight w:val="0"/>
          <w:marTop w:val="0"/>
          <w:marBottom w:val="0"/>
          <w:divBdr>
            <w:top w:val="none" w:sz="0" w:space="0" w:color="auto"/>
            <w:left w:val="none" w:sz="0" w:space="0" w:color="auto"/>
            <w:bottom w:val="none" w:sz="0" w:space="0" w:color="auto"/>
            <w:right w:val="none" w:sz="0" w:space="0" w:color="auto"/>
          </w:divBdr>
        </w:div>
      </w:divsChild>
    </w:div>
    <w:div w:id="431438156">
      <w:bodyDiv w:val="1"/>
      <w:marLeft w:val="0"/>
      <w:marRight w:val="0"/>
      <w:marTop w:val="0"/>
      <w:marBottom w:val="0"/>
      <w:divBdr>
        <w:top w:val="none" w:sz="0" w:space="0" w:color="auto"/>
        <w:left w:val="none" w:sz="0" w:space="0" w:color="auto"/>
        <w:bottom w:val="none" w:sz="0" w:space="0" w:color="auto"/>
        <w:right w:val="none" w:sz="0" w:space="0" w:color="auto"/>
      </w:divBdr>
      <w:divsChild>
        <w:div w:id="727917381">
          <w:marLeft w:val="0"/>
          <w:marRight w:val="0"/>
          <w:marTop w:val="0"/>
          <w:marBottom w:val="0"/>
          <w:divBdr>
            <w:top w:val="none" w:sz="0" w:space="0" w:color="auto"/>
            <w:left w:val="none" w:sz="0" w:space="0" w:color="auto"/>
            <w:bottom w:val="none" w:sz="0" w:space="0" w:color="auto"/>
            <w:right w:val="none" w:sz="0" w:space="0" w:color="auto"/>
          </w:divBdr>
        </w:div>
      </w:divsChild>
    </w:div>
    <w:div w:id="449322156">
      <w:bodyDiv w:val="1"/>
      <w:marLeft w:val="0"/>
      <w:marRight w:val="0"/>
      <w:marTop w:val="0"/>
      <w:marBottom w:val="0"/>
      <w:divBdr>
        <w:top w:val="none" w:sz="0" w:space="0" w:color="auto"/>
        <w:left w:val="none" w:sz="0" w:space="0" w:color="auto"/>
        <w:bottom w:val="none" w:sz="0" w:space="0" w:color="auto"/>
        <w:right w:val="none" w:sz="0" w:space="0" w:color="auto"/>
      </w:divBdr>
    </w:div>
    <w:div w:id="462575378">
      <w:bodyDiv w:val="1"/>
      <w:marLeft w:val="0"/>
      <w:marRight w:val="0"/>
      <w:marTop w:val="0"/>
      <w:marBottom w:val="0"/>
      <w:divBdr>
        <w:top w:val="none" w:sz="0" w:space="0" w:color="auto"/>
        <w:left w:val="none" w:sz="0" w:space="0" w:color="auto"/>
        <w:bottom w:val="none" w:sz="0" w:space="0" w:color="auto"/>
        <w:right w:val="none" w:sz="0" w:space="0" w:color="auto"/>
      </w:divBdr>
      <w:divsChild>
        <w:div w:id="1015692610">
          <w:marLeft w:val="0"/>
          <w:marRight w:val="0"/>
          <w:marTop w:val="0"/>
          <w:marBottom w:val="0"/>
          <w:divBdr>
            <w:top w:val="none" w:sz="0" w:space="0" w:color="auto"/>
            <w:left w:val="none" w:sz="0" w:space="0" w:color="auto"/>
            <w:bottom w:val="none" w:sz="0" w:space="0" w:color="auto"/>
            <w:right w:val="none" w:sz="0" w:space="0" w:color="auto"/>
          </w:divBdr>
        </w:div>
      </w:divsChild>
    </w:div>
    <w:div w:id="464351198">
      <w:bodyDiv w:val="1"/>
      <w:marLeft w:val="0"/>
      <w:marRight w:val="0"/>
      <w:marTop w:val="0"/>
      <w:marBottom w:val="0"/>
      <w:divBdr>
        <w:top w:val="none" w:sz="0" w:space="0" w:color="auto"/>
        <w:left w:val="none" w:sz="0" w:space="0" w:color="auto"/>
        <w:bottom w:val="none" w:sz="0" w:space="0" w:color="auto"/>
        <w:right w:val="none" w:sz="0" w:space="0" w:color="auto"/>
      </w:divBdr>
      <w:divsChild>
        <w:div w:id="1259286569">
          <w:marLeft w:val="0"/>
          <w:marRight w:val="0"/>
          <w:marTop w:val="0"/>
          <w:marBottom w:val="0"/>
          <w:divBdr>
            <w:top w:val="none" w:sz="0" w:space="0" w:color="auto"/>
            <w:left w:val="none" w:sz="0" w:space="0" w:color="auto"/>
            <w:bottom w:val="none" w:sz="0" w:space="0" w:color="auto"/>
            <w:right w:val="none" w:sz="0" w:space="0" w:color="auto"/>
          </w:divBdr>
        </w:div>
      </w:divsChild>
    </w:div>
    <w:div w:id="467404569">
      <w:bodyDiv w:val="1"/>
      <w:marLeft w:val="0"/>
      <w:marRight w:val="0"/>
      <w:marTop w:val="0"/>
      <w:marBottom w:val="0"/>
      <w:divBdr>
        <w:top w:val="none" w:sz="0" w:space="0" w:color="auto"/>
        <w:left w:val="none" w:sz="0" w:space="0" w:color="auto"/>
        <w:bottom w:val="none" w:sz="0" w:space="0" w:color="auto"/>
        <w:right w:val="none" w:sz="0" w:space="0" w:color="auto"/>
      </w:divBdr>
      <w:divsChild>
        <w:div w:id="1149248050">
          <w:marLeft w:val="0"/>
          <w:marRight w:val="0"/>
          <w:marTop w:val="0"/>
          <w:marBottom w:val="0"/>
          <w:divBdr>
            <w:top w:val="none" w:sz="0" w:space="0" w:color="auto"/>
            <w:left w:val="none" w:sz="0" w:space="0" w:color="auto"/>
            <w:bottom w:val="none" w:sz="0" w:space="0" w:color="auto"/>
            <w:right w:val="none" w:sz="0" w:space="0" w:color="auto"/>
          </w:divBdr>
        </w:div>
        <w:div w:id="2021424968">
          <w:marLeft w:val="0"/>
          <w:marRight w:val="0"/>
          <w:marTop w:val="0"/>
          <w:marBottom w:val="0"/>
          <w:divBdr>
            <w:top w:val="none" w:sz="0" w:space="0" w:color="auto"/>
            <w:left w:val="none" w:sz="0" w:space="0" w:color="auto"/>
            <w:bottom w:val="none" w:sz="0" w:space="0" w:color="auto"/>
            <w:right w:val="none" w:sz="0" w:space="0" w:color="auto"/>
          </w:divBdr>
        </w:div>
      </w:divsChild>
    </w:div>
    <w:div w:id="473524983">
      <w:bodyDiv w:val="1"/>
      <w:marLeft w:val="0"/>
      <w:marRight w:val="0"/>
      <w:marTop w:val="0"/>
      <w:marBottom w:val="0"/>
      <w:divBdr>
        <w:top w:val="none" w:sz="0" w:space="0" w:color="auto"/>
        <w:left w:val="none" w:sz="0" w:space="0" w:color="auto"/>
        <w:bottom w:val="none" w:sz="0" w:space="0" w:color="auto"/>
        <w:right w:val="none" w:sz="0" w:space="0" w:color="auto"/>
      </w:divBdr>
    </w:div>
    <w:div w:id="474685897">
      <w:bodyDiv w:val="1"/>
      <w:marLeft w:val="0"/>
      <w:marRight w:val="0"/>
      <w:marTop w:val="0"/>
      <w:marBottom w:val="0"/>
      <w:divBdr>
        <w:top w:val="none" w:sz="0" w:space="0" w:color="auto"/>
        <w:left w:val="none" w:sz="0" w:space="0" w:color="auto"/>
        <w:bottom w:val="none" w:sz="0" w:space="0" w:color="auto"/>
        <w:right w:val="none" w:sz="0" w:space="0" w:color="auto"/>
      </w:divBdr>
      <w:divsChild>
        <w:div w:id="1741368851">
          <w:marLeft w:val="0"/>
          <w:marRight w:val="0"/>
          <w:marTop w:val="0"/>
          <w:marBottom w:val="0"/>
          <w:divBdr>
            <w:top w:val="none" w:sz="0" w:space="0" w:color="auto"/>
            <w:left w:val="none" w:sz="0" w:space="0" w:color="auto"/>
            <w:bottom w:val="none" w:sz="0" w:space="0" w:color="auto"/>
            <w:right w:val="none" w:sz="0" w:space="0" w:color="auto"/>
          </w:divBdr>
        </w:div>
      </w:divsChild>
    </w:div>
    <w:div w:id="490366657">
      <w:bodyDiv w:val="1"/>
      <w:marLeft w:val="0"/>
      <w:marRight w:val="0"/>
      <w:marTop w:val="0"/>
      <w:marBottom w:val="0"/>
      <w:divBdr>
        <w:top w:val="none" w:sz="0" w:space="0" w:color="auto"/>
        <w:left w:val="none" w:sz="0" w:space="0" w:color="auto"/>
        <w:bottom w:val="none" w:sz="0" w:space="0" w:color="auto"/>
        <w:right w:val="none" w:sz="0" w:space="0" w:color="auto"/>
      </w:divBdr>
      <w:divsChild>
        <w:div w:id="1289822645">
          <w:marLeft w:val="0"/>
          <w:marRight w:val="0"/>
          <w:marTop w:val="0"/>
          <w:marBottom w:val="0"/>
          <w:divBdr>
            <w:top w:val="none" w:sz="0" w:space="0" w:color="auto"/>
            <w:left w:val="none" w:sz="0" w:space="0" w:color="auto"/>
            <w:bottom w:val="none" w:sz="0" w:space="0" w:color="auto"/>
            <w:right w:val="none" w:sz="0" w:space="0" w:color="auto"/>
          </w:divBdr>
        </w:div>
      </w:divsChild>
    </w:div>
    <w:div w:id="498692131">
      <w:bodyDiv w:val="1"/>
      <w:marLeft w:val="0"/>
      <w:marRight w:val="0"/>
      <w:marTop w:val="0"/>
      <w:marBottom w:val="0"/>
      <w:divBdr>
        <w:top w:val="none" w:sz="0" w:space="0" w:color="auto"/>
        <w:left w:val="none" w:sz="0" w:space="0" w:color="auto"/>
        <w:bottom w:val="none" w:sz="0" w:space="0" w:color="auto"/>
        <w:right w:val="none" w:sz="0" w:space="0" w:color="auto"/>
      </w:divBdr>
      <w:divsChild>
        <w:div w:id="1896312820">
          <w:marLeft w:val="0"/>
          <w:marRight w:val="0"/>
          <w:marTop w:val="0"/>
          <w:marBottom w:val="0"/>
          <w:divBdr>
            <w:top w:val="none" w:sz="0" w:space="0" w:color="auto"/>
            <w:left w:val="none" w:sz="0" w:space="0" w:color="auto"/>
            <w:bottom w:val="none" w:sz="0" w:space="0" w:color="auto"/>
            <w:right w:val="none" w:sz="0" w:space="0" w:color="auto"/>
          </w:divBdr>
        </w:div>
      </w:divsChild>
    </w:div>
    <w:div w:id="502933607">
      <w:bodyDiv w:val="1"/>
      <w:marLeft w:val="0"/>
      <w:marRight w:val="0"/>
      <w:marTop w:val="0"/>
      <w:marBottom w:val="0"/>
      <w:divBdr>
        <w:top w:val="none" w:sz="0" w:space="0" w:color="auto"/>
        <w:left w:val="none" w:sz="0" w:space="0" w:color="auto"/>
        <w:bottom w:val="none" w:sz="0" w:space="0" w:color="auto"/>
        <w:right w:val="none" w:sz="0" w:space="0" w:color="auto"/>
      </w:divBdr>
      <w:divsChild>
        <w:div w:id="155195331">
          <w:marLeft w:val="0"/>
          <w:marRight w:val="0"/>
          <w:marTop w:val="0"/>
          <w:marBottom w:val="0"/>
          <w:divBdr>
            <w:top w:val="none" w:sz="0" w:space="0" w:color="auto"/>
            <w:left w:val="none" w:sz="0" w:space="0" w:color="auto"/>
            <w:bottom w:val="none" w:sz="0" w:space="0" w:color="auto"/>
            <w:right w:val="none" w:sz="0" w:space="0" w:color="auto"/>
          </w:divBdr>
        </w:div>
      </w:divsChild>
    </w:div>
    <w:div w:id="510796209">
      <w:bodyDiv w:val="1"/>
      <w:marLeft w:val="0"/>
      <w:marRight w:val="0"/>
      <w:marTop w:val="0"/>
      <w:marBottom w:val="0"/>
      <w:divBdr>
        <w:top w:val="none" w:sz="0" w:space="0" w:color="auto"/>
        <w:left w:val="none" w:sz="0" w:space="0" w:color="auto"/>
        <w:bottom w:val="none" w:sz="0" w:space="0" w:color="auto"/>
        <w:right w:val="none" w:sz="0" w:space="0" w:color="auto"/>
      </w:divBdr>
    </w:div>
    <w:div w:id="515458788">
      <w:bodyDiv w:val="1"/>
      <w:marLeft w:val="0"/>
      <w:marRight w:val="0"/>
      <w:marTop w:val="0"/>
      <w:marBottom w:val="0"/>
      <w:divBdr>
        <w:top w:val="none" w:sz="0" w:space="0" w:color="auto"/>
        <w:left w:val="none" w:sz="0" w:space="0" w:color="auto"/>
        <w:bottom w:val="none" w:sz="0" w:space="0" w:color="auto"/>
        <w:right w:val="none" w:sz="0" w:space="0" w:color="auto"/>
      </w:divBdr>
      <w:divsChild>
        <w:div w:id="389158008">
          <w:marLeft w:val="0"/>
          <w:marRight w:val="0"/>
          <w:marTop w:val="0"/>
          <w:marBottom w:val="0"/>
          <w:divBdr>
            <w:top w:val="none" w:sz="0" w:space="0" w:color="auto"/>
            <w:left w:val="none" w:sz="0" w:space="0" w:color="auto"/>
            <w:bottom w:val="none" w:sz="0" w:space="0" w:color="auto"/>
            <w:right w:val="none" w:sz="0" w:space="0" w:color="auto"/>
          </w:divBdr>
        </w:div>
        <w:div w:id="433089384">
          <w:marLeft w:val="0"/>
          <w:marRight w:val="0"/>
          <w:marTop w:val="0"/>
          <w:marBottom w:val="0"/>
          <w:divBdr>
            <w:top w:val="none" w:sz="0" w:space="0" w:color="auto"/>
            <w:left w:val="none" w:sz="0" w:space="0" w:color="auto"/>
            <w:bottom w:val="none" w:sz="0" w:space="0" w:color="auto"/>
            <w:right w:val="none" w:sz="0" w:space="0" w:color="auto"/>
          </w:divBdr>
        </w:div>
        <w:div w:id="553810173">
          <w:marLeft w:val="0"/>
          <w:marRight w:val="0"/>
          <w:marTop w:val="0"/>
          <w:marBottom w:val="0"/>
          <w:divBdr>
            <w:top w:val="none" w:sz="0" w:space="0" w:color="auto"/>
            <w:left w:val="none" w:sz="0" w:space="0" w:color="auto"/>
            <w:bottom w:val="none" w:sz="0" w:space="0" w:color="auto"/>
            <w:right w:val="none" w:sz="0" w:space="0" w:color="auto"/>
          </w:divBdr>
        </w:div>
        <w:div w:id="584193531">
          <w:marLeft w:val="0"/>
          <w:marRight w:val="0"/>
          <w:marTop w:val="0"/>
          <w:marBottom w:val="0"/>
          <w:divBdr>
            <w:top w:val="none" w:sz="0" w:space="0" w:color="auto"/>
            <w:left w:val="none" w:sz="0" w:space="0" w:color="auto"/>
            <w:bottom w:val="none" w:sz="0" w:space="0" w:color="auto"/>
            <w:right w:val="none" w:sz="0" w:space="0" w:color="auto"/>
          </w:divBdr>
        </w:div>
        <w:div w:id="684478644">
          <w:marLeft w:val="0"/>
          <w:marRight w:val="0"/>
          <w:marTop w:val="0"/>
          <w:marBottom w:val="0"/>
          <w:divBdr>
            <w:top w:val="none" w:sz="0" w:space="0" w:color="auto"/>
            <w:left w:val="none" w:sz="0" w:space="0" w:color="auto"/>
            <w:bottom w:val="none" w:sz="0" w:space="0" w:color="auto"/>
            <w:right w:val="none" w:sz="0" w:space="0" w:color="auto"/>
          </w:divBdr>
        </w:div>
        <w:div w:id="823815226">
          <w:marLeft w:val="0"/>
          <w:marRight w:val="0"/>
          <w:marTop w:val="0"/>
          <w:marBottom w:val="0"/>
          <w:divBdr>
            <w:top w:val="none" w:sz="0" w:space="0" w:color="auto"/>
            <w:left w:val="none" w:sz="0" w:space="0" w:color="auto"/>
            <w:bottom w:val="none" w:sz="0" w:space="0" w:color="auto"/>
            <w:right w:val="none" w:sz="0" w:space="0" w:color="auto"/>
          </w:divBdr>
        </w:div>
        <w:div w:id="907375636">
          <w:marLeft w:val="0"/>
          <w:marRight w:val="0"/>
          <w:marTop w:val="0"/>
          <w:marBottom w:val="0"/>
          <w:divBdr>
            <w:top w:val="none" w:sz="0" w:space="0" w:color="auto"/>
            <w:left w:val="none" w:sz="0" w:space="0" w:color="auto"/>
            <w:bottom w:val="none" w:sz="0" w:space="0" w:color="auto"/>
            <w:right w:val="none" w:sz="0" w:space="0" w:color="auto"/>
          </w:divBdr>
        </w:div>
        <w:div w:id="1222135073">
          <w:marLeft w:val="0"/>
          <w:marRight w:val="0"/>
          <w:marTop w:val="0"/>
          <w:marBottom w:val="0"/>
          <w:divBdr>
            <w:top w:val="none" w:sz="0" w:space="0" w:color="auto"/>
            <w:left w:val="none" w:sz="0" w:space="0" w:color="auto"/>
            <w:bottom w:val="none" w:sz="0" w:space="0" w:color="auto"/>
            <w:right w:val="none" w:sz="0" w:space="0" w:color="auto"/>
          </w:divBdr>
        </w:div>
        <w:div w:id="1367483417">
          <w:marLeft w:val="0"/>
          <w:marRight w:val="0"/>
          <w:marTop w:val="0"/>
          <w:marBottom w:val="0"/>
          <w:divBdr>
            <w:top w:val="none" w:sz="0" w:space="0" w:color="auto"/>
            <w:left w:val="none" w:sz="0" w:space="0" w:color="auto"/>
            <w:bottom w:val="none" w:sz="0" w:space="0" w:color="auto"/>
            <w:right w:val="none" w:sz="0" w:space="0" w:color="auto"/>
          </w:divBdr>
        </w:div>
        <w:div w:id="1398439160">
          <w:marLeft w:val="0"/>
          <w:marRight w:val="0"/>
          <w:marTop w:val="0"/>
          <w:marBottom w:val="0"/>
          <w:divBdr>
            <w:top w:val="none" w:sz="0" w:space="0" w:color="auto"/>
            <w:left w:val="none" w:sz="0" w:space="0" w:color="auto"/>
            <w:bottom w:val="none" w:sz="0" w:space="0" w:color="auto"/>
            <w:right w:val="none" w:sz="0" w:space="0" w:color="auto"/>
          </w:divBdr>
        </w:div>
        <w:div w:id="1469783410">
          <w:marLeft w:val="0"/>
          <w:marRight w:val="0"/>
          <w:marTop w:val="0"/>
          <w:marBottom w:val="0"/>
          <w:divBdr>
            <w:top w:val="none" w:sz="0" w:space="0" w:color="auto"/>
            <w:left w:val="none" w:sz="0" w:space="0" w:color="auto"/>
            <w:bottom w:val="none" w:sz="0" w:space="0" w:color="auto"/>
            <w:right w:val="none" w:sz="0" w:space="0" w:color="auto"/>
          </w:divBdr>
        </w:div>
        <w:div w:id="1679889867">
          <w:marLeft w:val="0"/>
          <w:marRight w:val="0"/>
          <w:marTop w:val="0"/>
          <w:marBottom w:val="0"/>
          <w:divBdr>
            <w:top w:val="none" w:sz="0" w:space="0" w:color="auto"/>
            <w:left w:val="none" w:sz="0" w:space="0" w:color="auto"/>
            <w:bottom w:val="none" w:sz="0" w:space="0" w:color="auto"/>
            <w:right w:val="none" w:sz="0" w:space="0" w:color="auto"/>
          </w:divBdr>
        </w:div>
        <w:div w:id="1867986428">
          <w:marLeft w:val="0"/>
          <w:marRight w:val="0"/>
          <w:marTop w:val="0"/>
          <w:marBottom w:val="0"/>
          <w:divBdr>
            <w:top w:val="none" w:sz="0" w:space="0" w:color="auto"/>
            <w:left w:val="none" w:sz="0" w:space="0" w:color="auto"/>
            <w:bottom w:val="none" w:sz="0" w:space="0" w:color="auto"/>
            <w:right w:val="none" w:sz="0" w:space="0" w:color="auto"/>
          </w:divBdr>
        </w:div>
        <w:div w:id="2067950302">
          <w:marLeft w:val="0"/>
          <w:marRight w:val="0"/>
          <w:marTop w:val="0"/>
          <w:marBottom w:val="0"/>
          <w:divBdr>
            <w:top w:val="none" w:sz="0" w:space="0" w:color="auto"/>
            <w:left w:val="none" w:sz="0" w:space="0" w:color="auto"/>
            <w:bottom w:val="none" w:sz="0" w:space="0" w:color="auto"/>
            <w:right w:val="none" w:sz="0" w:space="0" w:color="auto"/>
          </w:divBdr>
        </w:div>
        <w:div w:id="2120249804">
          <w:marLeft w:val="0"/>
          <w:marRight w:val="0"/>
          <w:marTop w:val="0"/>
          <w:marBottom w:val="0"/>
          <w:divBdr>
            <w:top w:val="none" w:sz="0" w:space="0" w:color="auto"/>
            <w:left w:val="none" w:sz="0" w:space="0" w:color="auto"/>
            <w:bottom w:val="none" w:sz="0" w:space="0" w:color="auto"/>
            <w:right w:val="none" w:sz="0" w:space="0" w:color="auto"/>
          </w:divBdr>
        </w:div>
      </w:divsChild>
    </w:div>
    <w:div w:id="517618059">
      <w:bodyDiv w:val="1"/>
      <w:marLeft w:val="0"/>
      <w:marRight w:val="0"/>
      <w:marTop w:val="0"/>
      <w:marBottom w:val="0"/>
      <w:divBdr>
        <w:top w:val="none" w:sz="0" w:space="0" w:color="auto"/>
        <w:left w:val="none" w:sz="0" w:space="0" w:color="auto"/>
        <w:bottom w:val="none" w:sz="0" w:space="0" w:color="auto"/>
        <w:right w:val="none" w:sz="0" w:space="0" w:color="auto"/>
      </w:divBdr>
      <w:divsChild>
        <w:div w:id="1169172941">
          <w:marLeft w:val="0"/>
          <w:marRight w:val="0"/>
          <w:marTop w:val="0"/>
          <w:marBottom w:val="0"/>
          <w:divBdr>
            <w:top w:val="none" w:sz="0" w:space="0" w:color="auto"/>
            <w:left w:val="none" w:sz="0" w:space="0" w:color="auto"/>
            <w:bottom w:val="none" w:sz="0" w:space="0" w:color="auto"/>
            <w:right w:val="none" w:sz="0" w:space="0" w:color="auto"/>
          </w:divBdr>
        </w:div>
      </w:divsChild>
    </w:div>
    <w:div w:id="518350574">
      <w:bodyDiv w:val="1"/>
      <w:marLeft w:val="0"/>
      <w:marRight w:val="0"/>
      <w:marTop w:val="0"/>
      <w:marBottom w:val="0"/>
      <w:divBdr>
        <w:top w:val="none" w:sz="0" w:space="0" w:color="auto"/>
        <w:left w:val="none" w:sz="0" w:space="0" w:color="auto"/>
        <w:bottom w:val="none" w:sz="0" w:space="0" w:color="auto"/>
        <w:right w:val="none" w:sz="0" w:space="0" w:color="auto"/>
      </w:divBdr>
      <w:divsChild>
        <w:div w:id="1098326439">
          <w:marLeft w:val="0"/>
          <w:marRight w:val="0"/>
          <w:marTop w:val="0"/>
          <w:marBottom w:val="0"/>
          <w:divBdr>
            <w:top w:val="none" w:sz="0" w:space="0" w:color="auto"/>
            <w:left w:val="none" w:sz="0" w:space="0" w:color="auto"/>
            <w:bottom w:val="none" w:sz="0" w:space="0" w:color="auto"/>
            <w:right w:val="none" w:sz="0" w:space="0" w:color="auto"/>
          </w:divBdr>
        </w:div>
      </w:divsChild>
    </w:div>
    <w:div w:id="518815494">
      <w:bodyDiv w:val="1"/>
      <w:marLeft w:val="0"/>
      <w:marRight w:val="0"/>
      <w:marTop w:val="0"/>
      <w:marBottom w:val="0"/>
      <w:divBdr>
        <w:top w:val="none" w:sz="0" w:space="0" w:color="auto"/>
        <w:left w:val="none" w:sz="0" w:space="0" w:color="auto"/>
        <w:bottom w:val="none" w:sz="0" w:space="0" w:color="auto"/>
        <w:right w:val="none" w:sz="0" w:space="0" w:color="auto"/>
      </w:divBdr>
      <w:divsChild>
        <w:div w:id="1111050029">
          <w:marLeft w:val="0"/>
          <w:marRight w:val="0"/>
          <w:marTop w:val="0"/>
          <w:marBottom w:val="0"/>
          <w:divBdr>
            <w:top w:val="none" w:sz="0" w:space="0" w:color="auto"/>
            <w:left w:val="none" w:sz="0" w:space="0" w:color="auto"/>
            <w:bottom w:val="none" w:sz="0" w:space="0" w:color="auto"/>
            <w:right w:val="none" w:sz="0" w:space="0" w:color="auto"/>
          </w:divBdr>
        </w:div>
      </w:divsChild>
    </w:div>
    <w:div w:id="522399458">
      <w:bodyDiv w:val="1"/>
      <w:marLeft w:val="0"/>
      <w:marRight w:val="0"/>
      <w:marTop w:val="0"/>
      <w:marBottom w:val="0"/>
      <w:divBdr>
        <w:top w:val="none" w:sz="0" w:space="0" w:color="auto"/>
        <w:left w:val="none" w:sz="0" w:space="0" w:color="auto"/>
        <w:bottom w:val="none" w:sz="0" w:space="0" w:color="auto"/>
        <w:right w:val="none" w:sz="0" w:space="0" w:color="auto"/>
      </w:divBdr>
      <w:divsChild>
        <w:div w:id="298923006">
          <w:marLeft w:val="0"/>
          <w:marRight w:val="0"/>
          <w:marTop w:val="0"/>
          <w:marBottom w:val="0"/>
          <w:divBdr>
            <w:top w:val="none" w:sz="0" w:space="0" w:color="auto"/>
            <w:left w:val="none" w:sz="0" w:space="0" w:color="auto"/>
            <w:bottom w:val="none" w:sz="0" w:space="0" w:color="auto"/>
            <w:right w:val="none" w:sz="0" w:space="0" w:color="auto"/>
          </w:divBdr>
        </w:div>
      </w:divsChild>
    </w:div>
    <w:div w:id="527065899">
      <w:bodyDiv w:val="1"/>
      <w:marLeft w:val="0"/>
      <w:marRight w:val="0"/>
      <w:marTop w:val="0"/>
      <w:marBottom w:val="0"/>
      <w:divBdr>
        <w:top w:val="none" w:sz="0" w:space="0" w:color="auto"/>
        <w:left w:val="none" w:sz="0" w:space="0" w:color="auto"/>
        <w:bottom w:val="none" w:sz="0" w:space="0" w:color="auto"/>
        <w:right w:val="none" w:sz="0" w:space="0" w:color="auto"/>
      </w:divBdr>
      <w:divsChild>
        <w:div w:id="2082291750">
          <w:marLeft w:val="0"/>
          <w:marRight w:val="0"/>
          <w:marTop w:val="0"/>
          <w:marBottom w:val="0"/>
          <w:divBdr>
            <w:top w:val="none" w:sz="0" w:space="0" w:color="auto"/>
            <w:left w:val="none" w:sz="0" w:space="0" w:color="auto"/>
            <w:bottom w:val="none" w:sz="0" w:space="0" w:color="auto"/>
            <w:right w:val="none" w:sz="0" w:space="0" w:color="auto"/>
          </w:divBdr>
        </w:div>
      </w:divsChild>
    </w:div>
    <w:div w:id="528493382">
      <w:bodyDiv w:val="1"/>
      <w:marLeft w:val="0"/>
      <w:marRight w:val="0"/>
      <w:marTop w:val="0"/>
      <w:marBottom w:val="0"/>
      <w:divBdr>
        <w:top w:val="none" w:sz="0" w:space="0" w:color="auto"/>
        <w:left w:val="none" w:sz="0" w:space="0" w:color="auto"/>
        <w:bottom w:val="none" w:sz="0" w:space="0" w:color="auto"/>
        <w:right w:val="none" w:sz="0" w:space="0" w:color="auto"/>
      </w:divBdr>
      <w:divsChild>
        <w:div w:id="426341778">
          <w:marLeft w:val="0"/>
          <w:marRight w:val="0"/>
          <w:marTop w:val="0"/>
          <w:marBottom w:val="0"/>
          <w:divBdr>
            <w:top w:val="none" w:sz="0" w:space="0" w:color="auto"/>
            <w:left w:val="none" w:sz="0" w:space="0" w:color="auto"/>
            <w:bottom w:val="none" w:sz="0" w:space="0" w:color="auto"/>
            <w:right w:val="none" w:sz="0" w:space="0" w:color="auto"/>
          </w:divBdr>
        </w:div>
      </w:divsChild>
    </w:div>
    <w:div w:id="530462408">
      <w:bodyDiv w:val="1"/>
      <w:marLeft w:val="0"/>
      <w:marRight w:val="0"/>
      <w:marTop w:val="0"/>
      <w:marBottom w:val="0"/>
      <w:divBdr>
        <w:top w:val="none" w:sz="0" w:space="0" w:color="auto"/>
        <w:left w:val="none" w:sz="0" w:space="0" w:color="auto"/>
        <w:bottom w:val="none" w:sz="0" w:space="0" w:color="auto"/>
        <w:right w:val="none" w:sz="0" w:space="0" w:color="auto"/>
      </w:divBdr>
      <w:divsChild>
        <w:div w:id="284115890">
          <w:marLeft w:val="0"/>
          <w:marRight w:val="0"/>
          <w:marTop w:val="0"/>
          <w:marBottom w:val="0"/>
          <w:divBdr>
            <w:top w:val="none" w:sz="0" w:space="0" w:color="auto"/>
            <w:left w:val="none" w:sz="0" w:space="0" w:color="auto"/>
            <w:bottom w:val="none" w:sz="0" w:space="0" w:color="auto"/>
            <w:right w:val="none" w:sz="0" w:space="0" w:color="auto"/>
          </w:divBdr>
        </w:div>
      </w:divsChild>
    </w:div>
    <w:div w:id="537090893">
      <w:bodyDiv w:val="1"/>
      <w:marLeft w:val="0"/>
      <w:marRight w:val="0"/>
      <w:marTop w:val="0"/>
      <w:marBottom w:val="0"/>
      <w:divBdr>
        <w:top w:val="none" w:sz="0" w:space="0" w:color="auto"/>
        <w:left w:val="none" w:sz="0" w:space="0" w:color="auto"/>
        <w:bottom w:val="none" w:sz="0" w:space="0" w:color="auto"/>
        <w:right w:val="none" w:sz="0" w:space="0" w:color="auto"/>
      </w:divBdr>
      <w:divsChild>
        <w:div w:id="1568421165">
          <w:marLeft w:val="0"/>
          <w:marRight w:val="0"/>
          <w:marTop w:val="0"/>
          <w:marBottom w:val="0"/>
          <w:divBdr>
            <w:top w:val="none" w:sz="0" w:space="0" w:color="auto"/>
            <w:left w:val="none" w:sz="0" w:space="0" w:color="auto"/>
            <w:bottom w:val="none" w:sz="0" w:space="0" w:color="auto"/>
            <w:right w:val="none" w:sz="0" w:space="0" w:color="auto"/>
          </w:divBdr>
        </w:div>
      </w:divsChild>
    </w:div>
    <w:div w:id="546917241">
      <w:bodyDiv w:val="1"/>
      <w:marLeft w:val="0"/>
      <w:marRight w:val="0"/>
      <w:marTop w:val="0"/>
      <w:marBottom w:val="0"/>
      <w:divBdr>
        <w:top w:val="none" w:sz="0" w:space="0" w:color="auto"/>
        <w:left w:val="none" w:sz="0" w:space="0" w:color="auto"/>
        <w:bottom w:val="none" w:sz="0" w:space="0" w:color="auto"/>
        <w:right w:val="none" w:sz="0" w:space="0" w:color="auto"/>
      </w:divBdr>
      <w:divsChild>
        <w:div w:id="886571990">
          <w:marLeft w:val="0"/>
          <w:marRight w:val="0"/>
          <w:marTop w:val="0"/>
          <w:marBottom w:val="0"/>
          <w:divBdr>
            <w:top w:val="none" w:sz="0" w:space="0" w:color="auto"/>
            <w:left w:val="none" w:sz="0" w:space="0" w:color="auto"/>
            <w:bottom w:val="none" w:sz="0" w:space="0" w:color="auto"/>
            <w:right w:val="none" w:sz="0" w:space="0" w:color="auto"/>
          </w:divBdr>
        </w:div>
      </w:divsChild>
    </w:div>
    <w:div w:id="548079314">
      <w:bodyDiv w:val="1"/>
      <w:marLeft w:val="0"/>
      <w:marRight w:val="0"/>
      <w:marTop w:val="0"/>
      <w:marBottom w:val="0"/>
      <w:divBdr>
        <w:top w:val="none" w:sz="0" w:space="0" w:color="auto"/>
        <w:left w:val="none" w:sz="0" w:space="0" w:color="auto"/>
        <w:bottom w:val="none" w:sz="0" w:space="0" w:color="auto"/>
        <w:right w:val="none" w:sz="0" w:space="0" w:color="auto"/>
      </w:divBdr>
      <w:divsChild>
        <w:div w:id="72943143">
          <w:marLeft w:val="0"/>
          <w:marRight w:val="0"/>
          <w:marTop w:val="0"/>
          <w:marBottom w:val="0"/>
          <w:divBdr>
            <w:top w:val="none" w:sz="0" w:space="0" w:color="auto"/>
            <w:left w:val="none" w:sz="0" w:space="0" w:color="auto"/>
            <w:bottom w:val="none" w:sz="0" w:space="0" w:color="auto"/>
            <w:right w:val="none" w:sz="0" w:space="0" w:color="auto"/>
          </w:divBdr>
        </w:div>
      </w:divsChild>
    </w:div>
    <w:div w:id="573440309">
      <w:bodyDiv w:val="1"/>
      <w:marLeft w:val="0"/>
      <w:marRight w:val="0"/>
      <w:marTop w:val="0"/>
      <w:marBottom w:val="0"/>
      <w:divBdr>
        <w:top w:val="none" w:sz="0" w:space="0" w:color="auto"/>
        <w:left w:val="none" w:sz="0" w:space="0" w:color="auto"/>
        <w:bottom w:val="none" w:sz="0" w:space="0" w:color="auto"/>
        <w:right w:val="none" w:sz="0" w:space="0" w:color="auto"/>
      </w:divBdr>
      <w:divsChild>
        <w:div w:id="1568613099">
          <w:marLeft w:val="0"/>
          <w:marRight w:val="0"/>
          <w:marTop w:val="0"/>
          <w:marBottom w:val="0"/>
          <w:divBdr>
            <w:top w:val="none" w:sz="0" w:space="0" w:color="auto"/>
            <w:left w:val="none" w:sz="0" w:space="0" w:color="auto"/>
            <w:bottom w:val="none" w:sz="0" w:space="0" w:color="auto"/>
            <w:right w:val="none" w:sz="0" w:space="0" w:color="auto"/>
          </w:divBdr>
        </w:div>
      </w:divsChild>
    </w:div>
    <w:div w:id="579414069">
      <w:bodyDiv w:val="1"/>
      <w:marLeft w:val="0"/>
      <w:marRight w:val="0"/>
      <w:marTop w:val="0"/>
      <w:marBottom w:val="0"/>
      <w:divBdr>
        <w:top w:val="none" w:sz="0" w:space="0" w:color="auto"/>
        <w:left w:val="none" w:sz="0" w:space="0" w:color="auto"/>
        <w:bottom w:val="none" w:sz="0" w:space="0" w:color="auto"/>
        <w:right w:val="none" w:sz="0" w:space="0" w:color="auto"/>
      </w:divBdr>
      <w:divsChild>
        <w:div w:id="1060832334">
          <w:marLeft w:val="0"/>
          <w:marRight w:val="0"/>
          <w:marTop w:val="0"/>
          <w:marBottom w:val="0"/>
          <w:divBdr>
            <w:top w:val="none" w:sz="0" w:space="0" w:color="auto"/>
            <w:left w:val="none" w:sz="0" w:space="0" w:color="auto"/>
            <w:bottom w:val="none" w:sz="0" w:space="0" w:color="auto"/>
            <w:right w:val="none" w:sz="0" w:space="0" w:color="auto"/>
          </w:divBdr>
        </w:div>
      </w:divsChild>
    </w:div>
    <w:div w:id="583034735">
      <w:bodyDiv w:val="1"/>
      <w:marLeft w:val="0"/>
      <w:marRight w:val="0"/>
      <w:marTop w:val="0"/>
      <w:marBottom w:val="0"/>
      <w:divBdr>
        <w:top w:val="none" w:sz="0" w:space="0" w:color="auto"/>
        <w:left w:val="none" w:sz="0" w:space="0" w:color="auto"/>
        <w:bottom w:val="none" w:sz="0" w:space="0" w:color="auto"/>
        <w:right w:val="none" w:sz="0" w:space="0" w:color="auto"/>
      </w:divBdr>
      <w:divsChild>
        <w:div w:id="1195000257">
          <w:marLeft w:val="0"/>
          <w:marRight w:val="0"/>
          <w:marTop w:val="0"/>
          <w:marBottom w:val="0"/>
          <w:divBdr>
            <w:top w:val="none" w:sz="0" w:space="0" w:color="auto"/>
            <w:left w:val="none" w:sz="0" w:space="0" w:color="auto"/>
            <w:bottom w:val="none" w:sz="0" w:space="0" w:color="auto"/>
            <w:right w:val="none" w:sz="0" w:space="0" w:color="auto"/>
          </w:divBdr>
        </w:div>
      </w:divsChild>
    </w:div>
    <w:div w:id="588075918">
      <w:bodyDiv w:val="1"/>
      <w:marLeft w:val="0"/>
      <w:marRight w:val="0"/>
      <w:marTop w:val="0"/>
      <w:marBottom w:val="0"/>
      <w:divBdr>
        <w:top w:val="none" w:sz="0" w:space="0" w:color="auto"/>
        <w:left w:val="none" w:sz="0" w:space="0" w:color="auto"/>
        <w:bottom w:val="none" w:sz="0" w:space="0" w:color="auto"/>
        <w:right w:val="none" w:sz="0" w:space="0" w:color="auto"/>
      </w:divBdr>
    </w:div>
    <w:div w:id="588848064">
      <w:bodyDiv w:val="1"/>
      <w:marLeft w:val="0"/>
      <w:marRight w:val="0"/>
      <w:marTop w:val="0"/>
      <w:marBottom w:val="0"/>
      <w:divBdr>
        <w:top w:val="none" w:sz="0" w:space="0" w:color="auto"/>
        <w:left w:val="none" w:sz="0" w:space="0" w:color="auto"/>
        <w:bottom w:val="none" w:sz="0" w:space="0" w:color="auto"/>
        <w:right w:val="none" w:sz="0" w:space="0" w:color="auto"/>
      </w:divBdr>
      <w:divsChild>
        <w:div w:id="2026978689">
          <w:marLeft w:val="0"/>
          <w:marRight w:val="0"/>
          <w:marTop w:val="0"/>
          <w:marBottom w:val="0"/>
          <w:divBdr>
            <w:top w:val="none" w:sz="0" w:space="0" w:color="auto"/>
            <w:left w:val="none" w:sz="0" w:space="0" w:color="auto"/>
            <w:bottom w:val="none" w:sz="0" w:space="0" w:color="auto"/>
            <w:right w:val="none" w:sz="0" w:space="0" w:color="auto"/>
          </w:divBdr>
        </w:div>
      </w:divsChild>
    </w:div>
    <w:div w:id="590748238">
      <w:bodyDiv w:val="1"/>
      <w:marLeft w:val="0"/>
      <w:marRight w:val="0"/>
      <w:marTop w:val="0"/>
      <w:marBottom w:val="0"/>
      <w:divBdr>
        <w:top w:val="none" w:sz="0" w:space="0" w:color="auto"/>
        <w:left w:val="none" w:sz="0" w:space="0" w:color="auto"/>
        <w:bottom w:val="none" w:sz="0" w:space="0" w:color="auto"/>
        <w:right w:val="none" w:sz="0" w:space="0" w:color="auto"/>
      </w:divBdr>
      <w:divsChild>
        <w:div w:id="358094333">
          <w:marLeft w:val="0"/>
          <w:marRight w:val="0"/>
          <w:marTop w:val="0"/>
          <w:marBottom w:val="0"/>
          <w:divBdr>
            <w:top w:val="none" w:sz="0" w:space="0" w:color="auto"/>
            <w:left w:val="none" w:sz="0" w:space="0" w:color="auto"/>
            <w:bottom w:val="none" w:sz="0" w:space="0" w:color="auto"/>
            <w:right w:val="none" w:sz="0" w:space="0" w:color="auto"/>
          </w:divBdr>
        </w:div>
      </w:divsChild>
    </w:div>
    <w:div w:id="595289182">
      <w:bodyDiv w:val="1"/>
      <w:marLeft w:val="0"/>
      <w:marRight w:val="0"/>
      <w:marTop w:val="0"/>
      <w:marBottom w:val="0"/>
      <w:divBdr>
        <w:top w:val="none" w:sz="0" w:space="0" w:color="auto"/>
        <w:left w:val="none" w:sz="0" w:space="0" w:color="auto"/>
        <w:bottom w:val="none" w:sz="0" w:space="0" w:color="auto"/>
        <w:right w:val="none" w:sz="0" w:space="0" w:color="auto"/>
      </w:divBdr>
      <w:divsChild>
        <w:div w:id="294718672">
          <w:marLeft w:val="0"/>
          <w:marRight w:val="0"/>
          <w:marTop w:val="0"/>
          <w:marBottom w:val="0"/>
          <w:divBdr>
            <w:top w:val="none" w:sz="0" w:space="0" w:color="auto"/>
            <w:left w:val="none" w:sz="0" w:space="0" w:color="auto"/>
            <w:bottom w:val="none" w:sz="0" w:space="0" w:color="auto"/>
            <w:right w:val="none" w:sz="0" w:space="0" w:color="auto"/>
          </w:divBdr>
        </w:div>
      </w:divsChild>
    </w:div>
    <w:div w:id="597180373">
      <w:bodyDiv w:val="1"/>
      <w:marLeft w:val="0"/>
      <w:marRight w:val="0"/>
      <w:marTop w:val="0"/>
      <w:marBottom w:val="0"/>
      <w:divBdr>
        <w:top w:val="none" w:sz="0" w:space="0" w:color="auto"/>
        <w:left w:val="none" w:sz="0" w:space="0" w:color="auto"/>
        <w:bottom w:val="none" w:sz="0" w:space="0" w:color="auto"/>
        <w:right w:val="none" w:sz="0" w:space="0" w:color="auto"/>
      </w:divBdr>
      <w:divsChild>
        <w:div w:id="1906451756">
          <w:marLeft w:val="0"/>
          <w:marRight w:val="0"/>
          <w:marTop w:val="0"/>
          <w:marBottom w:val="0"/>
          <w:divBdr>
            <w:top w:val="none" w:sz="0" w:space="0" w:color="auto"/>
            <w:left w:val="none" w:sz="0" w:space="0" w:color="auto"/>
            <w:bottom w:val="none" w:sz="0" w:space="0" w:color="auto"/>
            <w:right w:val="none" w:sz="0" w:space="0" w:color="auto"/>
          </w:divBdr>
        </w:div>
      </w:divsChild>
    </w:div>
    <w:div w:id="598947646">
      <w:bodyDiv w:val="1"/>
      <w:marLeft w:val="0"/>
      <w:marRight w:val="0"/>
      <w:marTop w:val="0"/>
      <w:marBottom w:val="0"/>
      <w:divBdr>
        <w:top w:val="none" w:sz="0" w:space="0" w:color="auto"/>
        <w:left w:val="none" w:sz="0" w:space="0" w:color="auto"/>
        <w:bottom w:val="none" w:sz="0" w:space="0" w:color="auto"/>
        <w:right w:val="none" w:sz="0" w:space="0" w:color="auto"/>
      </w:divBdr>
      <w:divsChild>
        <w:div w:id="1010645254">
          <w:marLeft w:val="0"/>
          <w:marRight w:val="0"/>
          <w:marTop w:val="0"/>
          <w:marBottom w:val="0"/>
          <w:divBdr>
            <w:top w:val="none" w:sz="0" w:space="0" w:color="auto"/>
            <w:left w:val="none" w:sz="0" w:space="0" w:color="auto"/>
            <w:bottom w:val="none" w:sz="0" w:space="0" w:color="auto"/>
            <w:right w:val="none" w:sz="0" w:space="0" w:color="auto"/>
          </w:divBdr>
        </w:div>
      </w:divsChild>
    </w:div>
    <w:div w:id="602618396">
      <w:bodyDiv w:val="1"/>
      <w:marLeft w:val="0"/>
      <w:marRight w:val="0"/>
      <w:marTop w:val="0"/>
      <w:marBottom w:val="0"/>
      <w:divBdr>
        <w:top w:val="none" w:sz="0" w:space="0" w:color="auto"/>
        <w:left w:val="none" w:sz="0" w:space="0" w:color="auto"/>
        <w:bottom w:val="none" w:sz="0" w:space="0" w:color="auto"/>
        <w:right w:val="none" w:sz="0" w:space="0" w:color="auto"/>
      </w:divBdr>
      <w:divsChild>
        <w:div w:id="1409038551">
          <w:marLeft w:val="0"/>
          <w:marRight w:val="0"/>
          <w:marTop w:val="0"/>
          <w:marBottom w:val="0"/>
          <w:divBdr>
            <w:top w:val="none" w:sz="0" w:space="0" w:color="auto"/>
            <w:left w:val="none" w:sz="0" w:space="0" w:color="auto"/>
            <w:bottom w:val="none" w:sz="0" w:space="0" w:color="auto"/>
            <w:right w:val="none" w:sz="0" w:space="0" w:color="auto"/>
          </w:divBdr>
        </w:div>
      </w:divsChild>
    </w:div>
    <w:div w:id="603612974">
      <w:bodyDiv w:val="1"/>
      <w:marLeft w:val="0"/>
      <w:marRight w:val="0"/>
      <w:marTop w:val="0"/>
      <w:marBottom w:val="0"/>
      <w:divBdr>
        <w:top w:val="none" w:sz="0" w:space="0" w:color="auto"/>
        <w:left w:val="none" w:sz="0" w:space="0" w:color="auto"/>
        <w:bottom w:val="none" w:sz="0" w:space="0" w:color="auto"/>
        <w:right w:val="none" w:sz="0" w:space="0" w:color="auto"/>
      </w:divBdr>
      <w:divsChild>
        <w:div w:id="1863393133">
          <w:marLeft w:val="0"/>
          <w:marRight w:val="0"/>
          <w:marTop w:val="0"/>
          <w:marBottom w:val="0"/>
          <w:divBdr>
            <w:top w:val="none" w:sz="0" w:space="0" w:color="auto"/>
            <w:left w:val="none" w:sz="0" w:space="0" w:color="auto"/>
            <w:bottom w:val="none" w:sz="0" w:space="0" w:color="auto"/>
            <w:right w:val="none" w:sz="0" w:space="0" w:color="auto"/>
          </w:divBdr>
        </w:div>
      </w:divsChild>
    </w:div>
    <w:div w:id="604076192">
      <w:bodyDiv w:val="1"/>
      <w:marLeft w:val="0"/>
      <w:marRight w:val="0"/>
      <w:marTop w:val="0"/>
      <w:marBottom w:val="0"/>
      <w:divBdr>
        <w:top w:val="none" w:sz="0" w:space="0" w:color="auto"/>
        <w:left w:val="none" w:sz="0" w:space="0" w:color="auto"/>
        <w:bottom w:val="none" w:sz="0" w:space="0" w:color="auto"/>
        <w:right w:val="none" w:sz="0" w:space="0" w:color="auto"/>
      </w:divBdr>
      <w:divsChild>
        <w:div w:id="905797299">
          <w:marLeft w:val="0"/>
          <w:marRight w:val="0"/>
          <w:marTop w:val="0"/>
          <w:marBottom w:val="0"/>
          <w:divBdr>
            <w:top w:val="none" w:sz="0" w:space="0" w:color="auto"/>
            <w:left w:val="none" w:sz="0" w:space="0" w:color="auto"/>
            <w:bottom w:val="none" w:sz="0" w:space="0" w:color="auto"/>
            <w:right w:val="none" w:sz="0" w:space="0" w:color="auto"/>
          </w:divBdr>
        </w:div>
      </w:divsChild>
    </w:div>
    <w:div w:id="619412804">
      <w:bodyDiv w:val="1"/>
      <w:marLeft w:val="0"/>
      <w:marRight w:val="0"/>
      <w:marTop w:val="0"/>
      <w:marBottom w:val="0"/>
      <w:divBdr>
        <w:top w:val="none" w:sz="0" w:space="0" w:color="auto"/>
        <w:left w:val="none" w:sz="0" w:space="0" w:color="auto"/>
        <w:bottom w:val="none" w:sz="0" w:space="0" w:color="auto"/>
        <w:right w:val="none" w:sz="0" w:space="0" w:color="auto"/>
      </w:divBdr>
      <w:divsChild>
        <w:div w:id="640769689">
          <w:marLeft w:val="0"/>
          <w:marRight w:val="0"/>
          <w:marTop w:val="0"/>
          <w:marBottom w:val="0"/>
          <w:divBdr>
            <w:top w:val="none" w:sz="0" w:space="0" w:color="auto"/>
            <w:left w:val="none" w:sz="0" w:space="0" w:color="auto"/>
            <w:bottom w:val="none" w:sz="0" w:space="0" w:color="auto"/>
            <w:right w:val="none" w:sz="0" w:space="0" w:color="auto"/>
          </w:divBdr>
        </w:div>
      </w:divsChild>
    </w:div>
    <w:div w:id="628323898">
      <w:bodyDiv w:val="1"/>
      <w:marLeft w:val="0"/>
      <w:marRight w:val="0"/>
      <w:marTop w:val="0"/>
      <w:marBottom w:val="0"/>
      <w:divBdr>
        <w:top w:val="none" w:sz="0" w:space="0" w:color="auto"/>
        <w:left w:val="none" w:sz="0" w:space="0" w:color="auto"/>
        <w:bottom w:val="none" w:sz="0" w:space="0" w:color="auto"/>
        <w:right w:val="none" w:sz="0" w:space="0" w:color="auto"/>
      </w:divBdr>
      <w:divsChild>
        <w:div w:id="893083952">
          <w:marLeft w:val="0"/>
          <w:marRight w:val="0"/>
          <w:marTop w:val="0"/>
          <w:marBottom w:val="0"/>
          <w:divBdr>
            <w:top w:val="none" w:sz="0" w:space="0" w:color="auto"/>
            <w:left w:val="none" w:sz="0" w:space="0" w:color="auto"/>
            <w:bottom w:val="none" w:sz="0" w:space="0" w:color="auto"/>
            <w:right w:val="none" w:sz="0" w:space="0" w:color="auto"/>
          </w:divBdr>
        </w:div>
      </w:divsChild>
    </w:div>
    <w:div w:id="630550307">
      <w:bodyDiv w:val="1"/>
      <w:marLeft w:val="0"/>
      <w:marRight w:val="0"/>
      <w:marTop w:val="0"/>
      <w:marBottom w:val="0"/>
      <w:divBdr>
        <w:top w:val="none" w:sz="0" w:space="0" w:color="auto"/>
        <w:left w:val="none" w:sz="0" w:space="0" w:color="auto"/>
        <w:bottom w:val="none" w:sz="0" w:space="0" w:color="auto"/>
        <w:right w:val="none" w:sz="0" w:space="0" w:color="auto"/>
      </w:divBdr>
      <w:divsChild>
        <w:div w:id="1470435674">
          <w:marLeft w:val="0"/>
          <w:marRight w:val="0"/>
          <w:marTop w:val="0"/>
          <w:marBottom w:val="0"/>
          <w:divBdr>
            <w:top w:val="none" w:sz="0" w:space="0" w:color="auto"/>
            <w:left w:val="none" w:sz="0" w:space="0" w:color="auto"/>
            <w:bottom w:val="none" w:sz="0" w:space="0" w:color="auto"/>
            <w:right w:val="none" w:sz="0" w:space="0" w:color="auto"/>
          </w:divBdr>
        </w:div>
      </w:divsChild>
    </w:div>
    <w:div w:id="643437135">
      <w:bodyDiv w:val="1"/>
      <w:marLeft w:val="0"/>
      <w:marRight w:val="0"/>
      <w:marTop w:val="0"/>
      <w:marBottom w:val="0"/>
      <w:divBdr>
        <w:top w:val="none" w:sz="0" w:space="0" w:color="auto"/>
        <w:left w:val="none" w:sz="0" w:space="0" w:color="auto"/>
        <w:bottom w:val="none" w:sz="0" w:space="0" w:color="auto"/>
        <w:right w:val="none" w:sz="0" w:space="0" w:color="auto"/>
      </w:divBdr>
      <w:divsChild>
        <w:div w:id="1571038118">
          <w:marLeft w:val="0"/>
          <w:marRight w:val="0"/>
          <w:marTop w:val="0"/>
          <w:marBottom w:val="0"/>
          <w:divBdr>
            <w:top w:val="none" w:sz="0" w:space="0" w:color="auto"/>
            <w:left w:val="none" w:sz="0" w:space="0" w:color="auto"/>
            <w:bottom w:val="none" w:sz="0" w:space="0" w:color="auto"/>
            <w:right w:val="none" w:sz="0" w:space="0" w:color="auto"/>
          </w:divBdr>
        </w:div>
      </w:divsChild>
    </w:div>
    <w:div w:id="651912362">
      <w:bodyDiv w:val="1"/>
      <w:marLeft w:val="0"/>
      <w:marRight w:val="0"/>
      <w:marTop w:val="0"/>
      <w:marBottom w:val="0"/>
      <w:divBdr>
        <w:top w:val="none" w:sz="0" w:space="0" w:color="auto"/>
        <w:left w:val="none" w:sz="0" w:space="0" w:color="auto"/>
        <w:bottom w:val="none" w:sz="0" w:space="0" w:color="auto"/>
        <w:right w:val="none" w:sz="0" w:space="0" w:color="auto"/>
      </w:divBdr>
    </w:div>
    <w:div w:id="655960891">
      <w:bodyDiv w:val="1"/>
      <w:marLeft w:val="0"/>
      <w:marRight w:val="0"/>
      <w:marTop w:val="0"/>
      <w:marBottom w:val="0"/>
      <w:divBdr>
        <w:top w:val="none" w:sz="0" w:space="0" w:color="auto"/>
        <w:left w:val="none" w:sz="0" w:space="0" w:color="auto"/>
        <w:bottom w:val="none" w:sz="0" w:space="0" w:color="auto"/>
        <w:right w:val="none" w:sz="0" w:space="0" w:color="auto"/>
      </w:divBdr>
      <w:divsChild>
        <w:div w:id="82917878">
          <w:marLeft w:val="0"/>
          <w:marRight w:val="0"/>
          <w:marTop w:val="0"/>
          <w:marBottom w:val="0"/>
          <w:divBdr>
            <w:top w:val="none" w:sz="0" w:space="0" w:color="auto"/>
            <w:left w:val="none" w:sz="0" w:space="0" w:color="auto"/>
            <w:bottom w:val="none" w:sz="0" w:space="0" w:color="auto"/>
            <w:right w:val="none" w:sz="0" w:space="0" w:color="auto"/>
          </w:divBdr>
        </w:div>
      </w:divsChild>
    </w:div>
    <w:div w:id="656568290">
      <w:bodyDiv w:val="1"/>
      <w:marLeft w:val="0"/>
      <w:marRight w:val="0"/>
      <w:marTop w:val="0"/>
      <w:marBottom w:val="0"/>
      <w:divBdr>
        <w:top w:val="none" w:sz="0" w:space="0" w:color="auto"/>
        <w:left w:val="none" w:sz="0" w:space="0" w:color="auto"/>
        <w:bottom w:val="none" w:sz="0" w:space="0" w:color="auto"/>
        <w:right w:val="none" w:sz="0" w:space="0" w:color="auto"/>
      </w:divBdr>
      <w:divsChild>
        <w:div w:id="621810006">
          <w:marLeft w:val="0"/>
          <w:marRight w:val="0"/>
          <w:marTop w:val="0"/>
          <w:marBottom w:val="0"/>
          <w:divBdr>
            <w:top w:val="none" w:sz="0" w:space="0" w:color="auto"/>
            <w:left w:val="none" w:sz="0" w:space="0" w:color="auto"/>
            <w:bottom w:val="none" w:sz="0" w:space="0" w:color="auto"/>
            <w:right w:val="none" w:sz="0" w:space="0" w:color="auto"/>
          </w:divBdr>
        </w:div>
      </w:divsChild>
    </w:div>
    <w:div w:id="672755660">
      <w:bodyDiv w:val="1"/>
      <w:marLeft w:val="0"/>
      <w:marRight w:val="0"/>
      <w:marTop w:val="0"/>
      <w:marBottom w:val="0"/>
      <w:divBdr>
        <w:top w:val="none" w:sz="0" w:space="0" w:color="auto"/>
        <w:left w:val="none" w:sz="0" w:space="0" w:color="auto"/>
        <w:bottom w:val="none" w:sz="0" w:space="0" w:color="auto"/>
        <w:right w:val="none" w:sz="0" w:space="0" w:color="auto"/>
      </w:divBdr>
      <w:divsChild>
        <w:div w:id="391587727">
          <w:marLeft w:val="0"/>
          <w:marRight w:val="0"/>
          <w:marTop w:val="0"/>
          <w:marBottom w:val="0"/>
          <w:divBdr>
            <w:top w:val="none" w:sz="0" w:space="0" w:color="auto"/>
            <w:left w:val="none" w:sz="0" w:space="0" w:color="auto"/>
            <w:bottom w:val="none" w:sz="0" w:space="0" w:color="auto"/>
            <w:right w:val="none" w:sz="0" w:space="0" w:color="auto"/>
          </w:divBdr>
        </w:div>
      </w:divsChild>
    </w:div>
    <w:div w:id="678854443">
      <w:bodyDiv w:val="1"/>
      <w:marLeft w:val="0"/>
      <w:marRight w:val="0"/>
      <w:marTop w:val="0"/>
      <w:marBottom w:val="0"/>
      <w:divBdr>
        <w:top w:val="none" w:sz="0" w:space="0" w:color="auto"/>
        <w:left w:val="none" w:sz="0" w:space="0" w:color="auto"/>
        <w:bottom w:val="none" w:sz="0" w:space="0" w:color="auto"/>
        <w:right w:val="none" w:sz="0" w:space="0" w:color="auto"/>
      </w:divBdr>
      <w:divsChild>
        <w:div w:id="934629716">
          <w:marLeft w:val="0"/>
          <w:marRight w:val="0"/>
          <w:marTop w:val="0"/>
          <w:marBottom w:val="0"/>
          <w:divBdr>
            <w:top w:val="none" w:sz="0" w:space="0" w:color="auto"/>
            <w:left w:val="none" w:sz="0" w:space="0" w:color="auto"/>
            <w:bottom w:val="none" w:sz="0" w:space="0" w:color="auto"/>
            <w:right w:val="none" w:sz="0" w:space="0" w:color="auto"/>
          </w:divBdr>
        </w:div>
      </w:divsChild>
    </w:div>
    <w:div w:id="679545265">
      <w:bodyDiv w:val="1"/>
      <w:marLeft w:val="0"/>
      <w:marRight w:val="0"/>
      <w:marTop w:val="0"/>
      <w:marBottom w:val="0"/>
      <w:divBdr>
        <w:top w:val="none" w:sz="0" w:space="0" w:color="auto"/>
        <w:left w:val="none" w:sz="0" w:space="0" w:color="auto"/>
        <w:bottom w:val="none" w:sz="0" w:space="0" w:color="auto"/>
        <w:right w:val="none" w:sz="0" w:space="0" w:color="auto"/>
      </w:divBdr>
      <w:divsChild>
        <w:div w:id="1371610045">
          <w:marLeft w:val="0"/>
          <w:marRight w:val="0"/>
          <w:marTop w:val="0"/>
          <w:marBottom w:val="0"/>
          <w:divBdr>
            <w:top w:val="none" w:sz="0" w:space="0" w:color="auto"/>
            <w:left w:val="none" w:sz="0" w:space="0" w:color="auto"/>
            <w:bottom w:val="none" w:sz="0" w:space="0" w:color="auto"/>
            <w:right w:val="none" w:sz="0" w:space="0" w:color="auto"/>
          </w:divBdr>
        </w:div>
      </w:divsChild>
    </w:div>
    <w:div w:id="681316637">
      <w:bodyDiv w:val="1"/>
      <w:marLeft w:val="0"/>
      <w:marRight w:val="0"/>
      <w:marTop w:val="0"/>
      <w:marBottom w:val="0"/>
      <w:divBdr>
        <w:top w:val="none" w:sz="0" w:space="0" w:color="auto"/>
        <w:left w:val="none" w:sz="0" w:space="0" w:color="auto"/>
        <w:bottom w:val="none" w:sz="0" w:space="0" w:color="auto"/>
        <w:right w:val="none" w:sz="0" w:space="0" w:color="auto"/>
      </w:divBdr>
      <w:divsChild>
        <w:div w:id="440103427">
          <w:marLeft w:val="0"/>
          <w:marRight w:val="0"/>
          <w:marTop w:val="0"/>
          <w:marBottom w:val="0"/>
          <w:divBdr>
            <w:top w:val="none" w:sz="0" w:space="0" w:color="auto"/>
            <w:left w:val="none" w:sz="0" w:space="0" w:color="auto"/>
            <w:bottom w:val="none" w:sz="0" w:space="0" w:color="auto"/>
            <w:right w:val="none" w:sz="0" w:space="0" w:color="auto"/>
          </w:divBdr>
        </w:div>
        <w:div w:id="462774101">
          <w:marLeft w:val="0"/>
          <w:marRight w:val="0"/>
          <w:marTop w:val="0"/>
          <w:marBottom w:val="0"/>
          <w:divBdr>
            <w:top w:val="none" w:sz="0" w:space="0" w:color="auto"/>
            <w:left w:val="none" w:sz="0" w:space="0" w:color="auto"/>
            <w:bottom w:val="none" w:sz="0" w:space="0" w:color="auto"/>
            <w:right w:val="none" w:sz="0" w:space="0" w:color="auto"/>
          </w:divBdr>
        </w:div>
        <w:div w:id="626937064">
          <w:marLeft w:val="0"/>
          <w:marRight w:val="0"/>
          <w:marTop w:val="0"/>
          <w:marBottom w:val="0"/>
          <w:divBdr>
            <w:top w:val="none" w:sz="0" w:space="0" w:color="auto"/>
            <w:left w:val="none" w:sz="0" w:space="0" w:color="auto"/>
            <w:bottom w:val="none" w:sz="0" w:space="0" w:color="auto"/>
            <w:right w:val="none" w:sz="0" w:space="0" w:color="auto"/>
          </w:divBdr>
        </w:div>
        <w:div w:id="759065555">
          <w:marLeft w:val="0"/>
          <w:marRight w:val="0"/>
          <w:marTop w:val="0"/>
          <w:marBottom w:val="0"/>
          <w:divBdr>
            <w:top w:val="none" w:sz="0" w:space="0" w:color="auto"/>
            <w:left w:val="none" w:sz="0" w:space="0" w:color="auto"/>
            <w:bottom w:val="none" w:sz="0" w:space="0" w:color="auto"/>
            <w:right w:val="none" w:sz="0" w:space="0" w:color="auto"/>
          </w:divBdr>
        </w:div>
        <w:div w:id="1272474142">
          <w:marLeft w:val="0"/>
          <w:marRight w:val="0"/>
          <w:marTop w:val="0"/>
          <w:marBottom w:val="0"/>
          <w:divBdr>
            <w:top w:val="none" w:sz="0" w:space="0" w:color="auto"/>
            <w:left w:val="none" w:sz="0" w:space="0" w:color="auto"/>
            <w:bottom w:val="none" w:sz="0" w:space="0" w:color="auto"/>
            <w:right w:val="none" w:sz="0" w:space="0" w:color="auto"/>
          </w:divBdr>
        </w:div>
        <w:div w:id="1386947914">
          <w:marLeft w:val="0"/>
          <w:marRight w:val="0"/>
          <w:marTop w:val="0"/>
          <w:marBottom w:val="0"/>
          <w:divBdr>
            <w:top w:val="none" w:sz="0" w:space="0" w:color="auto"/>
            <w:left w:val="none" w:sz="0" w:space="0" w:color="auto"/>
            <w:bottom w:val="none" w:sz="0" w:space="0" w:color="auto"/>
            <w:right w:val="none" w:sz="0" w:space="0" w:color="auto"/>
          </w:divBdr>
        </w:div>
        <w:div w:id="1837573590">
          <w:marLeft w:val="0"/>
          <w:marRight w:val="0"/>
          <w:marTop w:val="0"/>
          <w:marBottom w:val="0"/>
          <w:divBdr>
            <w:top w:val="none" w:sz="0" w:space="0" w:color="auto"/>
            <w:left w:val="none" w:sz="0" w:space="0" w:color="auto"/>
            <w:bottom w:val="none" w:sz="0" w:space="0" w:color="auto"/>
            <w:right w:val="none" w:sz="0" w:space="0" w:color="auto"/>
          </w:divBdr>
        </w:div>
        <w:div w:id="2139255844">
          <w:marLeft w:val="0"/>
          <w:marRight w:val="0"/>
          <w:marTop w:val="0"/>
          <w:marBottom w:val="0"/>
          <w:divBdr>
            <w:top w:val="none" w:sz="0" w:space="0" w:color="auto"/>
            <w:left w:val="none" w:sz="0" w:space="0" w:color="auto"/>
            <w:bottom w:val="none" w:sz="0" w:space="0" w:color="auto"/>
            <w:right w:val="none" w:sz="0" w:space="0" w:color="auto"/>
          </w:divBdr>
        </w:div>
      </w:divsChild>
    </w:div>
    <w:div w:id="696857189">
      <w:bodyDiv w:val="1"/>
      <w:marLeft w:val="0"/>
      <w:marRight w:val="0"/>
      <w:marTop w:val="0"/>
      <w:marBottom w:val="0"/>
      <w:divBdr>
        <w:top w:val="none" w:sz="0" w:space="0" w:color="auto"/>
        <w:left w:val="none" w:sz="0" w:space="0" w:color="auto"/>
        <w:bottom w:val="none" w:sz="0" w:space="0" w:color="auto"/>
        <w:right w:val="none" w:sz="0" w:space="0" w:color="auto"/>
      </w:divBdr>
      <w:divsChild>
        <w:div w:id="1040200625">
          <w:marLeft w:val="0"/>
          <w:marRight w:val="0"/>
          <w:marTop w:val="0"/>
          <w:marBottom w:val="0"/>
          <w:divBdr>
            <w:top w:val="none" w:sz="0" w:space="0" w:color="auto"/>
            <w:left w:val="none" w:sz="0" w:space="0" w:color="auto"/>
            <w:bottom w:val="none" w:sz="0" w:space="0" w:color="auto"/>
            <w:right w:val="none" w:sz="0" w:space="0" w:color="auto"/>
          </w:divBdr>
        </w:div>
      </w:divsChild>
    </w:div>
    <w:div w:id="699548423">
      <w:bodyDiv w:val="1"/>
      <w:marLeft w:val="0"/>
      <w:marRight w:val="0"/>
      <w:marTop w:val="0"/>
      <w:marBottom w:val="0"/>
      <w:divBdr>
        <w:top w:val="none" w:sz="0" w:space="0" w:color="auto"/>
        <w:left w:val="none" w:sz="0" w:space="0" w:color="auto"/>
        <w:bottom w:val="none" w:sz="0" w:space="0" w:color="auto"/>
        <w:right w:val="none" w:sz="0" w:space="0" w:color="auto"/>
      </w:divBdr>
      <w:divsChild>
        <w:div w:id="34736772">
          <w:marLeft w:val="0"/>
          <w:marRight w:val="0"/>
          <w:marTop w:val="0"/>
          <w:marBottom w:val="0"/>
          <w:divBdr>
            <w:top w:val="none" w:sz="0" w:space="0" w:color="auto"/>
            <w:left w:val="none" w:sz="0" w:space="0" w:color="auto"/>
            <w:bottom w:val="none" w:sz="0" w:space="0" w:color="auto"/>
            <w:right w:val="none" w:sz="0" w:space="0" w:color="auto"/>
          </w:divBdr>
        </w:div>
        <w:div w:id="115025036">
          <w:marLeft w:val="0"/>
          <w:marRight w:val="0"/>
          <w:marTop w:val="0"/>
          <w:marBottom w:val="0"/>
          <w:divBdr>
            <w:top w:val="none" w:sz="0" w:space="0" w:color="auto"/>
            <w:left w:val="none" w:sz="0" w:space="0" w:color="auto"/>
            <w:bottom w:val="none" w:sz="0" w:space="0" w:color="auto"/>
            <w:right w:val="none" w:sz="0" w:space="0" w:color="auto"/>
          </w:divBdr>
        </w:div>
        <w:div w:id="185098276">
          <w:marLeft w:val="0"/>
          <w:marRight w:val="0"/>
          <w:marTop w:val="0"/>
          <w:marBottom w:val="0"/>
          <w:divBdr>
            <w:top w:val="none" w:sz="0" w:space="0" w:color="auto"/>
            <w:left w:val="none" w:sz="0" w:space="0" w:color="auto"/>
            <w:bottom w:val="none" w:sz="0" w:space="0" w:color="auto"/>
            <w:right w:val="none" w:sz="0" w:space="0" w:color="auto"/>
          </w:divBdr>
        </w:div>
        <w:div w:id="208297398">
          <w:marLeft w:val="0"/>
          <w:marRight w:val="0"/>
          <w:marTop w:val="0"/>
          <w:marBottom w:val="0"/>
          <w:divBdr>
            <w:top w:val="none" w:sz="0" w:space="0" w:color="auto"/>
            <w:left w:val="none" w:sz="0" w:space="0" w:color="auto"/>
            <w:bottom w:val="none" w:sz="0" w:space="0" w:color="auto"/>
            <w:right w:val="none" w:sz="0" w:space="0" w:color="auto"/>
          </w:divBdr>
        </w:div>
        <w:div w:id="267809361">
          <w:marLeft w:val="0"/>
          <w:marRight w:val="0"/>
          <w:marTop w:val="0"/>
          <w:marBottom w:val="0"/>
          <w:divBdr>
            <w:top w:val="none" w:sz="0" w:space="0" w:color="auto"/>
            <w:left w:val="none" w:sz="0" w:space="0" w:color="auto"/>
            <w:bottom w:val="none" w:sz="0" w:space="0" w:color="auto"/>
            <w:right w:val="none" w:sz="0" w:space="0" w:color="auto"/>
          </w:divBdr>
        </w:div>
        <w:div w:id="398359078">
          <w:marLeft w:val="0"/>
          <w:marRight w:val="0"/>
          <w:marTop w:val="0"/>
          <w:marBottom w:val="0"/>
          <w:divBdr>
            <w:top w:val="none" w:sz="0" w:space="0" w:color="auto"/>
            <w:left w:val="none" w:sz="0" w:space="0" w:color="auto"/>
            <w:bottom w:val="none" w:sz="0" w:space="0" w:color="auto"/>
            <w:right w:val="none" w:sz="0" w:space="0" w:color="auto"/>
          </w:divBdr>
        </w:div>
        <w:div w:id="426657844">
          <w:marLeft w:val="0"/>
          <w:marRight w:val="0"/>
          <w:marTop w:val="0"/>
          <w:marBottom w:val="0"/>
          <w:divBdr>
            <w:top w:val="none" w:sz="0" w:space="0" w:color="auto"/>
            <w:left w:val="none" w:sz="0" w:space="0" w:color="auto"/>
            <w:bottom w:val="none" w:sz="0" w:space="0" w:color="auto"/>
            <w:right w:val="none" w:sz="0" w:space="0" w:color="auto"/>
          </w:divBdr>
        </w:div>
        <w:div w:id="439230138">
          <w:marLeft w:val="0"/>
          <w:marRight w:val="0"/>
          <w:marTop w:val="0"/>
          <w:marBottom w:val="0"/>
          <w:divBdr>
            <w:top w:val="none" w:sz="0" w:space="0" w:color="auto"/>
            <w:left w:val="none" w:sz="0" w:space="0" w:color="auto"/>
            <w:bottom w:val="none" w:sz="0" w:space="0" w:color="auto"/>
            <w:right w:val="none" w:sz="0" w:space="0" w:color="auto"/>
          </w:divBdr>
        </w:div>
        <w:div w:id="489256213">
          <w:marLeft w:val="0"/>
          <w:marRight w:val="0"/>
          <w:marTop w:val="0"/>
          <w:marBottom w:val="0"/>
          <w:divBdr>
            <w:top w:val="none" w:sz="0" w:space="0" w:color="auto"/>
            <w:left w:val="none" w:sz="0" w:space="0" w:color="auto"/>
            <w:bottom w:val="none" w:sz="0" w:space="0" w:color="auto"/>
            <w:right w:val="none" w:sz="0" w:space="0" w:color="auto"/>
          </w:divBdr>
        </w:div>
        <w:div w:id="623462009">
          <w:marLeft w:val="0"/>
          <w:marRight w:val="0"/>
          <w:marTop w:val="0"/>
          <w:marBottom w:val="0"/>
          <w:divBdr>
            <w:top w:val="none" w:sz="0" w:space="0" w:color="auto"/>
            <w:left w:val="none" w:sz="0" w:space="0" w:color="auto"/>
            <w:bottom w:val="none" w:sz="0" w:space="0" w:color="auto"/>
            <w:right w:val="none" w:sz="0" w:space="0" w:color="auto"/>
          </w:divBdr>
        </w:div>
        <w:div w:id="625618799">
          <w:marLeft w:val="0"/>
          <w:marRight w:val="0"/>
          <w:marTop w:val="0"/>
          <w:marBottom w:val="0"/>
          <w:divBdr>
            <w:top w:val="none" w:sz="0" w:space="0" w:color="auto"/>
            <w:left w:val="none" w:sz="0" w:space="0" w:color="auto"/>
            <w:bottom w:val="none" w:sz="0" w:space="0" w:color="auto"/>
            <w:right w:val="none" w:sz="0" w:space="0" w:color="auto"/>
          </w:divBdr>
        </w:div>
        <w:div w:id="734275570">
          <w:marLeft w:val="0"/>
          <w:marRight w:val="0"/>
          <w:marTop w:val="0"/>
          <w:marBottom w:val="0"/>
          <w:divBdr>
            <w:top w:val="none" w:sz="0" w:space="0" w:color="auto"/>
            <w:left w:val="none" w:sz="0" w:space="0" w:color="auto"/>
            <w:bottom w:val="none" w:sz="0" w:space="0" w:color="auto"/>
            <w:right w:val="none" w:sz="0" w:space="0" w:color="auto"/>
          </w:divBdr>
        </w:div>
        <w:div w:id="737946533">
          <w:marLeft w:val="0"/>
          <w:marRight w:val="0"/>
          <w:marTop w:val="0"/>
          <w:marBottom w:val="0"/>
          <w:divBdr>
            <w:top w:val="none" w:sz="0" w:space="0" w:color="auto"/>
            <w:left w:val="none" w:sz="0" w:space="0" w:color="auto"/>
            <w:bottom w:val="none" w:sz="0" w:space="0" w:color="auto"/>
            <w:right w:val="none" w:sz="0" w:space="0" w:color="auto"/>
          </w:divBdr>
        </w:div>
        <w:div w:id="743719846">
          <w:marLeft w:val="0"/>
          <w:marRight w:val="0"/>
          <w:marTop w:val="0"/>
          <w:marBottom w:val="0"/>
          <w:divBdr>
            <w:top w:val="none" w:sz="0" w:space="0" w:color="auto"/>
            <w:left w:val="none" w:sz="0" w:space="0" w:color="auto"/>
            <w:bottom w:val="none" w:sz="0" w:space="0" w:color="auto"/>
            <w:right w:val="none" w:sz="0" w:space="0" w:color="auto"/>
          </w:divBdr>
        </w:div>
        <w:div w:id="787818553">
          <w:marLeft w:val="0"/>
          <w:marRight w:val="0"/>
          <w:marTop w:val="0"/>
          <w:marBottom w:val="0"/>
          <w:divBdr>
            <w:top w:val="none" w:sz="0" w:space="0" w:color="auto"/>
            <w:left w:val="none" w:sz="0" w:space="0" w:color="auto"/>
            <w:bottom w:val="none" w:sz="0" w:space="0" w:color="auto"/>
            <w:right w:val="none" w:sz="0" w:space="0" w:color="auto"/>
          </w:divBdr>
        </w:div>
        <w:div w:id="844443024">
          <w:marLeft w:val="0"/>
          <w:marRight w:val="0"/>
          <w:marTop w:val="0"/>
          <w:marBottom w:val="0"/>
          <w:divBdr>
            <w:top w:val="none" w:sz="0" w:space="0" w:color="auto"/>
            <w:left w:val="none" w:sz="0" w:space="0" w:color="auto"/>
            <w:bottom w:val="none" w:sz="0" w:space="0" w:color="auto"/>
            <w:right w:val="none" w:sz="0" w:space="0" w:color="auto"/>
          </w:divBdr>
        </w:div>
        <w:div w:id="869683342">
          <w:marLeft w:val="0"/>
          <w:marRight w:val="0"/>
          <w:marTop w:val="0"/>
          <w:marBottom w:val="0"/>
          <w:divBdr>
            <w:top w:val="none" w:sz="0" w:space="0" w:color="auto"/>
            <w:left w:val="none" w:sz="0" w:space="0" w:color="auto"/>
            <w:bottom w:val="none" w:sz="0" w:space="0" w:color="auto"/>
            <w:right w:val="none" w:sz="0" w:space="0" w:color="auto"/>
          </w:divBdr>
        </w:div>
        <w:div w:id="985359721">
          <w:marLeft w:val="0"/>
          <w:marRight w:val="0"/>
          <w:marTop w:val="0"/>
          <w:marBottom w:val="0"/>
          <w:divBdr>
            <w:top w:val="none" w:sz="0" w:space="0" w:color="auto"/>
            <w:left w:val="none" w:sz="0" w:space="0" w:color="auto"/>
            <w:bottom w:val="none" w:sz="0" w:space="0" w:color="auto"/>
            <w:right w:val="none" w:sz="0" w:space="0" w:color="auto"/>
          </w:divBdr>
        </w:div>
        <w:div w:id="1023090291">
          <w:marLeft w:val="0"/>
          <w:marRight w:val="0"/>
          <w:marTop w:val="0"/>
          <w:marBottom w:val="0"/>
          <w:divBdr>
            <w:top w:val="none" w:sz="0" w:space="0" w:color="auto"/>
            <w:left w:val="none" w:sz="0" w:space="0" w:color="auto"/>
            <w:bottom w:val="none" w:sz="0" w:space="0" w:color="auto"/>
            <w:right w:val="none" w:sz="0" w:space="0" w:color="auto"/>
          </w:divBdr>
        </w:div>
        <w:div w:id="1040012410">
          <w:marLeft w:val="0"/>
          <w:marRight w:val="0"/>
          <w:marTop w:val="0"/>
          <w:marBottom w:val="0"/>
          <w:divBdr>
            <w:top w:val="none" w:sz="0" w:space="0" w:color="auto"/>
            <w:left w:val="none" w:sz="0" w:space="0" w:color="auto"/>
            <w:bottom w:val="none" w:sz="0" w:space="0" w:color="auto"/>
            <w:right w:val="none" w:sz="0" w:space="0" w:color="auto"/>
          </w:divBdr>
        </w:div>
        <w:div w:id="1083993145">
          <w:marLeft w:val="0"/>
          <w:marRight w:val="0"/>
          <w:marTop w:val="0"/>
          <w:marBottom w:val="0"/>
          <w:divBdr>
            <w:top w:val="none" w:sz="0" w:space="0" w:color="auto"/>
            <w:left w:val="none" w:sz="0" w:space="0" w:color="auto"/>
            <w:bottom w:val="none" w:sz="0" w:space="0" w:color="auto"/>
            <w:right w:val="none" w:sz="0" w:space="0" w:color="auto"/>
          </w:divBdr>
        </w:div>
        <w:div w:id="1141849882">
          <w:marLeft w:val="0"/>
          <w:marRight w:val="0"/>
          <w:marTop w:val="0"/>
          <w:marBottom w:val="0"/>
          <w:divBdr>
            <w:top w:val="none" w:sz="0" w:space="0" w:color="auto"/>
            <w:left w:val="none" w:sz="0" w:space="0" w:color="auto"/>
            <w:bottom w:val="none" w:sz="0" w:space="0" w:color="auto"/>
            <w:right w:val="none" w:sz="0" w:space="0" w:color="auto"/>
          </w:divBdr>
        </w:div>
        <w:div w:id="1166744080">
          <w:marLeft w:val="0"/>
          <w:marRight w:val="0"/>
          <w:marTop w:val="0"/>
          <w:marBottom w:val="0"/>
          <w:divBdr>
            <w:top w:val="none" w:sz="0" w:space="0" w:color="auto"/>
            <w:left w:val="none" w:sz="0" w:space="0" w:color="auto"/>
            <w:bottom w:val="none" w:sz="0" w:space="0" w:color="auto"/>
            <w:right w:val="none" w:sz="0" w:space="0" w:color="auto"/>
          </w:divBdr>
        </w:div>
        <w:div w:id="1203787886">
          <w:marLeft w:val="0"/>
          <w:marRight w:val="0"/>
          <w:marTop w:val="0"/>
          <w:marBottom w:val="0"/>
          <w:divBdr>
            <w:top w:val="none" w:sz="0" w:space="0" w:color="auto"/>
            <w:left w:val="none" w:sz="0" w:space="0" w:color="auto"/>
            <w:bottom w:val="none" w:sz="0" w:space="0" w:color="auto"/>
            <w:right w:val="none" w:sz="0" w:space="0" w:color="auto"/>
          </w:divBdr>
        </w:div>
        <w:div w:id="1282415577">
          <w:marLeft w:val="0"/>
          <w:marRight w:val="0"/>
          <w:marTop w:val="0"/>
          <w:marBottom w:val="0"/>
          <w:divBdr>
            <w:top w:val="none" w:sz="0" w:space="0" w:color="auto"/>
            <w:left w:val="none" w:sz="0" w:space="0" w:color="auto"/>
            <w:bottom w:val="none" w:sz="0" w:space="0" w:color="auto"/>
            <w:right w:val="none" w:sz="0" w:space="0" w:color="auto"/>
          </w:divBdr>
        </w:div>
        <w:div w:id="1415006378">
          <w:marLeft w:val="0"/>
          <w:marRight w:val="0"/>
          <w:marTop w:val="0"/>
          <w:marBottom w:val="0"/>
          <w:divBdr>
            <w:top w:val="none" w:sz="0" w:space="0" w:color="auto"/>
            <w:left w:val="none" w:sz="0" w:space="0" w:color="auto"/>
            <w:bottom w:val="none" w:sz="0" w:space="0" w:color="auto"/>
            <w:right w:val="none" w:sz="0" w:space="0" w:color="auto"/>
          </w:divBdr>
        </w:div>
        <w:div w:id="1476293682">
          <w:marLeft w:val="0"/>
          <w:marRight w:val="0"/>
          <w:marTop w:val="0"/>
          <w:marBottom w:val="0"/>
          <w:divBdr>
            <w:top w:val="none" w:sz="0" w:space="0" w:color="auto"/>
            <w:left w:val="none" w:sz="0" w:space="0" w:color="auto"/>
            <w:bottom w:val="none" w:sz="0" w:space="0" w:color="auto"/>
            <w:right w:val="none" w:sz="0" w:space="0" w:color="auto"/>
          </w:divBdr>
        </w:div>
        <w:div w:id="1601986943">
          <w:marLeft w:val="0"/>
          <w:marRight w:val="0"/>
          <w:marTop w:val="0"/>
          <w:marBottom w:val="0"/>
          <w:divBdr>
            <w:top w:val="none" w:sz="0" w:space="0" w:color="auto"/>
            <w:left w:val="none" w:sz="0" w:space="0" w:color="auto"/>
            <w:bottom w:val="none" w:sz="0" w:space="0" w:color="auto"/>
            <w:right w:val="none" w:sz="0" w:space="0" w:color="auto"/>
          </w:divBdr>
        </w:div>
        <w:div w:id="1612127529">
          <w:marLeft w:val="0"/>
          <w:marRight w:val="0"/>
          <w:marTop w:val="0"/>
          <w:marBottom w:val="0"/>
          <w:divBdr>
            <w:top w:val="none" w:sz="0" w:space="0" w:color="auto"/>
            <w:left w:val="none" w:sz="0" w:space="0" w:color="auto"/>
            <w:bottom w:val="none" w:sz="0" w:space="0" w:color="auto"/>
            <w:right w:val="none" w:sz="0" w:space="0" w:color="auto"/>
          </w:divBdr>
        </w:div>
        <w:div w:id="1671981438">
          <w:marLeft w:val="0"/>
          <w:marRight w:val="0"/>
          <w:marTop w:val="0"/>
          <w:marBottom w:val="0"/>
          <w:divBdr>
            <w:top w:val="none" w:sz="0" w:space="0" w:color="auto"/>
            <w:left w:val="none" w:sz="0" w:space="0" w:color="auto"/>
            <w:bottom w:val="none" w:sz="0" w:space="0" w:color="auto"/>
            <w:right w:val="none" w:sz="0" w:space="0" w:color="auto"/>
          </w:divBdr>
        </w:div>
        <w:div w:id="1719668193">
          <w:marLeft w:val="0"/>
          <w:marRight w:val="0"/>
          <w:marTop w:val="0"/>
          <w:marBottom w:val="0"/>
          <w:divBdr>
            <w:top w:val="none" w:sz="0" w:space="0" w:color="auto"/>
            <w:left w:val="none" w:sz="0" w:space="0" w:color="auto"/>
            <w:bottom w:val="none" w:sz="0" w:space="0" w:color="auto"/>
            <w:right w:val="none" w:sz="0" w:space="0" w:color="auto"/>
          </w:divBdr>
        </w:div>
        <w:div w:id="1771274191">
          <w:marLeft w:val="0"/>
          <w:marRight w:val="0"/>
          <w:marTop w:val="0"/>
          <w:marBottom w:val="0"/>
          <w:divBdr>
            <w:top w:val="none" w:sz="0" w:space="0" w:color="auto"/>
            <w:left w:val="none" w:sz="0" w:space="0" w:color="auto"/>
            <w:bottom w:val="none" w:sz="0" w:space="0" w:color="auto"/>
            <w:right w:val="none" w:sz="0" w:space="0" w:color="auto"/>
          </w:divBdr>
        </w:div>
        <w:div w:id="1795103027">
          <w:marLeft w:val="0"/>
          <w:marRight w:val="0"/>
          <w:marTop w:val="0"/>
          <w:marBottom w:val="0"/>
          <w:divBdr>
            <w:top w:val="none" w:sz="0" w:space="0" w:color="auto"/>
            <w:left w:val="none" w:sz="0" w:space="0" w:color="auto"/>
            <w:bottom w:val="none" w:sz="0" w:space="0" w:color="auto"/>
            <w:right w:val="none" w:sz="0" w:space="0" w:color="auto"/>
          </w:divBdr>
        </w:div>
        <w:div w:id="1811483099">
          <w:marLeft w:val="0"/>
          <w:marRight w:val="0"/>
          <w:marTop w:val="0"/>
          <w:marBottom w:val="0"/>
          <w:divBdr>
            <w:top w:val="none" w:sz="0" w:space="0" w:color="auto"/>
            <w:left w:val="none" w:sz="0" w:space="0" w:color="auto"/>
            <w:bottom w:val="none" w:sz="0" w:space="0" w:color="auto"/>
            <w:right w:val="none" w:sz="0" w:space="0" w:color="auto"/>
          </w:divBdr>
        </w:div>
        <w:div w:id="1866869872">
          <w:marLeft w:val="0"/>
          <w:marRight w:val="0"/>
          <w:marTop w:val="0"/>
          <w:marBottom w:val="0"/>
          <w:divBdr>
            <w:top w:val="none" w:sz="0" w:space="0" w:color="auto"/>
            <w:left w:val="none" w:sz="0" w:space="0" w:color="auto"/>
            <w:bottom w:val="none" w:sz="0" w:space="0" w:color="auto"/>
            <w:right w:val="none" w:sz="0" w:space="0" w:color="auto"/>
          </w:divBdr>
        </w:div>
        <w:div w:id="1927422381">
          <w:marLeft w:val="0"/>
          <w:marRight w:val="0"/>
          <w:marTop w:val="0"/>
          <w:marBottom w:val="0"/>
          <w:divBdr>
            <w:top w:val="none" w:sz="0" w:space="0" w:color="auto"/>
            <w:left w:val="none" w:sz="0" w:space="0" w:color="auto"/>
            <w:bottom w:val="none" w:sz="0" w:space="0" w:color="auto"/>
            <w:right w:val="none" w:sz="0" w:space="0" w:color="auto"/>
          </w:divBdr>
        </w:div>
        <w:div w:id="1943033163">
          <w:marLeft w:val="0"/>
          <w:marRight w:val="0"/>
          <w:marTop w:val="0"/>
          <w:marBottom w:val="0"/>
          <w:divBdr>
            <w:top w:val="none" w:sz="0" w:space="0" w:color="auto"/>
            <w:left w:val="none" w:sz="0" w:space="0" w:color="auto"/>
            <w:bottom w:val="none" w:sz="0" w:space="0" w:color="auto"/>
            <w:right w:val="none" w:sz="0" w:space="0" w:color="auto"/>
          </w:divBdr>
        </w:div>
        <w:div w:id="1952736002">
          <w:marLeft w:val="0"/>
          <w:marRight w:val="0"/>
          <w:marTop w:val="0"/>
          <w:marBottom w:val="0"/>
          <w:divBdr>
            <w:top w:val="none" w:sz="0" w:space="0" w:color="auto"/>
            <w:left w:val="none" w:sz="0" w:space="0" w:color="auto"/>
            <w:bottom w:val="none" w:sz="0" w:space="0" w:color="auto"/>
            <w:right w:val="none" w:sz="0" w:space="0" w:color="auto"/>
          </w:divBdr>
        </w:div>
        <w:div w:id="1977030567">
          <w:marLeft w:val="0"/>
          <w:marRight w:val="0"/>
          <w:marTop w:val="0"/>
          <w:marBottom w:val="0"/>
          <w:divBdr>
            <w:top w:val="none" w:sz="0" w:space="0" w:color="auto"/>
            <w:left w:val="none" w:sz="0" w:space="0" w:color="auto"/>
            <w:bottom w:val="none" w:sz="0" w:space="0" w:color="auto"/>
            <w:right w:val="none" w:sz="0" w:space="0" w:color="auto"/>
          </w:divBdr>
        </w:div>
        <w:div w:id="2000499520">
          <w:marLeft w:val="0"/>
          <w:marRight w:val="0"/>
          <w:marTop w:val="0"/>
          <w:marBottom w:val="0"/>
          <w:divBdr>
            <w:top w:val="none" w:sz="0" w:space="0" w:color="auto"/>
            <w:left w:val="none" w:sz="0" w:space="0" w:color="auto"/>
            <w:bottom w:val="none" w:sz="0" w:space="0" w:color="auto"/>
            <w:right w:val="none" w:sz="0" w:space="0" w:color="auto"/>
          </w:divBdr>
        </w:div>
        <w:div w:id="2015185268">
          <w:marLeft w:val="0"/>
          <w:marRight w:val="0"/>
          <w:marTop w:val="0"/>
          <w:marBottom w:val="0"/>
          <w:divBdr>
            <w:top w:val="none" w:sz="0" w:space="0" w:color="auto"/>
            <w:left w:val="none" w:sz="0" w:space="0" w:color="auto"/>
            <w:bottom w:val="none" w:sz="0" w:space="0" w:color="auto"/>
            <w:right w:val="none" w:sz="0" w:space="0" w:color="auto"/>
          </w:divBdr>
        </w:div>
        <w:div w:id="2058817622">
          <w:marLeft w:val="0"/>
          <w:marRight w:val="0"/>
          <w:marTop w:val="0"/>
          <w:marBottom w:val="0"/>
          <w:divBdr>
            <w:top w:val="none" w:sz="0" w:space="0" w:color="auto"/>
            <w:left w:val="none" w:sz="0" w:space="0" w:color="auto"/>
            <w:bottom w:val="none" w:sz="0" w:space="0" w:color="auto"/>
            <w:right w:val="none" w:sz="0" w:space="0" w:color="auto"/>
          </w:divBdr>
        </w:div>
      </w:divsChild>
    </w:div>
    <w:div w:id="717172544">
      <w:bodyDiv w:val="1"/>
      <w:marLeft w:val="0"/>
      <w:marRight w:val="0"/>
      <w:marTop w:val="0"/>
      <w:marBottom w:val="0"/>
      <w:divBdr>
        <w:top w:val="none" w:sz="0" w:space="0" w:color="auto"/>
        <w:left w:val="none" w:sz="0" w:space="0" w:color="auto"/>
        <w:bottom w:val="none" w:sz="0" w:space="0" w:color="auto"/>
        <w:right w:val="none" w:sz="0" w:space="0" w:color="auto"/>
      </w:divBdr>
    </w:div>
    <w:div w:id="721446654">
      <w:bodyDiv w:val="1"/>
      <w:marLeft w:val="0"/>
      <w:marRight w:val="0"/>
      <w:marTop w:val="0"/>
      <w:marBottom w:val="0"/>
      <w:divBdr>
        <w:top w:val="none" w:sz="0" w:space="0" w:color="auto"/>
        <w:left w:val="none" w:sz="0" w:space="0" w:color="auto"/>
        <w:bottom w:val="none" w:sz="0" w:space="0" w:color="auto"/>
        <w:right w:val="none" w:sz="0" w:space="0" w:color="auto"/>
      </w:divBdr>
      <w:divsChild>
        <w:div w:id="163017070">
          <w:marLeft w:val="0"/>
          <w:marRight w:val="0"/>
          <w:marTop w:val="0"/>
          <w:marBottom w:val="0"/>
          <w:divBdr>
            <w:top w:val="none" w:sz="0" w:space="0" w:color="auto"/>
            <w:left w:val="none" w:sz="0" w:space="0" w:color="auto"/>
            <w:bottom w:val="none" w:sz="0" w:space="0" w:color="auto"/>
            <w:right w:val="none" w:sz="0" w:space="0" w:color="auto"/>
          </w:divBdr>
        </w:div>
      </w:divsChild>
    </w:div>
    <w:div w:id="726269962">
      <w:bodyDiv w:val="1"/>
      <w:marLeft w:val="0"/>
      <w:marRight w:val="0"/>
      <w:marTop w:val="0"/>
      <w:marBottom w:val="0"/>
      <w:divBdr>
        <w:top w:val="none" w:sz="0" w:space="0" w:color="auto"/>
        <w:left w:val="none" w:sz="0" w:space="0" w:color="auto"/>
        <w:bottom w:val="none" w:sz="0" w:space="0" w:color="auto"/>
        <w:right w:val="none" w:sz="0" w:space="0" w:color="auto"/>
      </w:divBdr>
      <w:divsChild>
        <w:div w:id="1030761363">
          <w:marLeft w:val="0"/>
          <w:marRight w:val="0"/>
          <w:marTop w:val="0"/>
          <w:marBottom w:val="0"/>
          <w:divBdr>
            <w:top w:val="none" w:sz="0" w:space="0" w:color="auto"/>
            <w:left w:val="none" w:sz="0" w:space="0" w:color="auto"/>
            <w:bottom w:val="none" w:sz="0" w:space="0" w:color="auto"/>
            <w:right w:val="none" w:sz="0" w:space="0" w:color="auto"/>
          </w:divBdr>
        </w:div>
      </w:divsChild>
    </w:div>
    <w:div w:id="736824532">
      <w:bodyDiv w:val="1"/>
      <w:marLeft w:val="0"/>
      <w:marRight w:val="0"/>
      <w:marTop w:val="0"/>
      <w:marBottom w:val="0"/>
      <w:divBdr>
        <w:top w:val="none" w:sz="0" w:space="0" w:color="auto"/>
        <w:left w:val="none" w:sz="0" w:space="0" w:color="auto"/>
        <w:bottom w:val="none" w:sz="0" w:space="0" w:color="auto"/>
        <w:right w:val="none" w:sz="0" w:space="0" w:color="auto"/>
      </w:divBdr>
      <w:divsChild>
        <w:div w:id="766077327">
          <w:marLeft w:val="0"/>
          <w:marRight w:val="0"/>
          <w:marTop w:val="0"/>
          <w:marBottom w:val="0"/>
          <w:divBdr>
            <w:top w:val="none" w:sz="0" w:space="0" w:color="auto"/>
            <w:left w:val="none" w:sz="0" w:space="0" w:color="auto"/>
            <w:bottom w:val="none" w:sz="0" w:space="0" w:color="auto"/>
            <w:right w:val="none" w:sz="0" w:space="0" w:color="auto"/>
          </w:divBdr>
        </w:div>
      </w:divsChild>
    </w:div>
    <w:div w:id="738483511">
      <w:bodyDiv w:val="1"/>
      <w:marLeft w:val="0"/>
      <w:marRight w:val="0"/>
      <w:marTop w:val="0"/>
      <w:marBottom w:val="0"/>
      <w:divBdr>
        <w:top w:val="none" w:sz="0" w:space="0" w:color="auto"/>
        <w:left w:val="none" w:sz="0" w:space="0" w:color="auto"/>
        <w:bottom w:val="none" w:sz="0" w:space="0" w:color="auto"/>
        <w:right w:val="none" w:sz="0" w:space="0" w:color="auto"/>
      </w:divBdr>
      <w:divsChild>
        <w:div w:id="1122458314">
          <w:marLeft w:val="0"/>
          <w:marRight w:val="0"/>
          <w:marTop w:val="0"/>
          <w:marBottom w:val="0"/>
          <w:divBdr>
            <w:top w:val="none" w:sz="0" w:space="0" w:color="auto"/>
            <w:left w:val="none" w:sz="0" w:space="0" w:color="auto"/>
            <w:bottom w:val="none" w:sz="0" w:space="0" w:color="auto"/>
            <w:right w:val="none" w:sz="0" w:space="0" w:color="auto"/>
          </w:divBdr>
        </w:div>
      </w:divsChild>
    </w:div>
    <w:div w:id="743451364">
      <w:bodyDiv w:val="1"/>
      <w:marLeft w:val="0"/>
      <w:marRight w:val="0"/>
      <w:marTop w:val="0"/>
      <w:marBottom w:val="0"/>
      <w:divBdr>
        <w:top w:val="none" w:sz="0" w:space="0" w:color="auto"/>
        <w:left w:val="none" w:sz="0" w:space="0" w:color="auto"/>
        <w:bottom w:val="none" w:sz="0" w:space="0" w:color="auto"/>
        <w:right w:val="none" w:sz="0" w:space="0" w:color="auto"/>
      </w:divBdr>
      <w:divsChild>
        <w:div w:id="191647357">
          <w:marLeft w:val="0"/>
          <w:marRight w:val="0"/>
          <w:marTop w:val="0"/>
          <w:marBottom w:val="0"/>
          <w:divBdr>
            <w:top w:val="none" w:sz="0" w:space="0" w:color="auto"/>
            <w:left w:val="none" w:sz="0" w:space="0" w:color="auto"/>
            <w:bottom w:val="none" w:sz="0" w:space="0" w:color="auto"/>
            <w:right w:val="none" w:sz="0" w:space="0" w:color="auto"/>
          </w:divBdr>
        </w:div>
      </w:divsChild>
    </w:div>
    <w:div w:id="753167218">
      <w:bodyDiv w:val="1"/>
      <w:marLeft w:val="0"/>
      <w:marRight w:val="0"/>
      <w:marTop w:val="0"/>
      <w:marBottom w:val="0"/>
      <w:divBdr>
        <w:top w:val="none" w:sz="0" w:space="0" w:color="auto"/>
        <w:left w:val="none" w:sz="0" w:space="0" w:color="auto"/>
        <w:bottom w:val="none" w:sz="0" w:space="0" w:color="auto"/>
        <w:right w:val="none" w:sz="0" w:space="0" w:color="auto"/>
      </w:divBdr>
      <w:divsChild>
        <w:div w:id="829641324">
          <w:marLeft w:val="0"/>
          <w:marRight w:val="0"/>
          <w:marTop w:val="0"/>
          <w:marBottom w:val="0"/>
          <w:divBdr>
            <w:top w:val="none" w:sz="0" w:space="0" w:color="auto"/>
            <w:left w:val="none" w:sz="0" w:space="0" w:color="auto"/>
            <w:bottom w:val="none" w:sz="0" w:space="0" w:color="auto"/>
            <w:right w:val="none" w:sz="0" w:space="0" w:color="auto"/>
          </w:divBdr>
        </w:div>
      </w:divsChild>
    </w:div>
    <w:div w:id="758213176">
      <w:bodyDiv w:val="1"/>
      <w:marLeft w:val="0"/>
      <w:marRight w:val="0"/>
      <w:marTop w:val="0"/>
      <w:marBottom w:val="0"/>
      <w:divBdr>
        <w:top w:val="none" w:sz="0" w:space="0" w:color="auto"/>
        <w:left w:val="none" w:sz="0" w:space="0" w:color="auto"/>
        <w:bottom w:val="none" w:sz="0" w:space="0" w:color="auto"/>
        <w:right w:val="none" w:sz="0" w:space="0" w:color="auto"/>
      </w:divBdr>
      <w:divsChild>
        <w:div w:id="1838880641">
          <w:marLeft w:val="0"/>
          <w:marRight w:val="0"/>
          <w:marTop w:val="0"/>
          <w:marBottom w:val="0"/>
          <w:divBdr>
            <w:top w:val="none" w:sz="0" w:space="0" w:color="auto"/>
            <w:left w:val="none" w:sz="0" w:space="0" w:color="auto"/>
            <w:bottom w:val="none" w:sz="0" w:space="0" w:color="auto"/>
            <w:right w:val="none" w:sz="0" w:space="0" w:color="auto"/>
          </w:divBdr>
        </w:div>
      </w:divsChild>
    </w:div>
    <w:div w:id="759526880">
      <w:bodyDiv w:val="1"/>
      <w:marLeft w:val="0"/>
      <w:marRight w:val="0"/>
      <w:marTop w:val="0"/>
      <w:marBottom w:val="0"/>
      <w:divBdr>
        <w:top w:val="none" w:sz="0" w:space="0" w:color="auto"/>
        <w:left w:val="none" w:sz="0" w:space="0" w:color="auto"/>
        <w:bottom w:val="none" w:sz="0" w:space="0" w:color="auto"/>
        <w:right w:val="none" w:sz="0" w:space="0" w:color="auto"/>
      </w:divBdr>
      <w:divsChild>
        <w:div w:id="1282227702">
          <w:marLeft w:val="0"/>
          <w:marRight w:val="0"/>
          <w:marTop w:val="0"/>
          <w:marBottom w:val="0"/>
          <w:divBdr>
            <w:top w:val="none" w:sz="0" w:space="0" w:color="auto"/>
            <w:left w:val="none" w:sz="0" w:space="0" w:color="auto"/>
            <w:bottom w:val="none" w:sz="0" w:space="0" w:color="auto"/>
            <w:right w:val="none" w:sz="0" w:space="0" w:color="auto"/>
          </w:divBdr>
        </w:div>
      </w:divsChild>
    </w:div>
    <w:div w:id="760687334">
      <w:bodyDiv w:val="1"/>
      <w:marLeft w:val="0"/>
      <w:marRight w:val="0"/>
      <w:marTop w:val="0"/>
      <w:marBottom w:val="0"/>
      <w:divBdr>
        <w:top w:val="none" w:sz="0" w:space="0" w:color="auto"/>
        <w:left w:val="none" w:sz="0" w:space="0" w:color="auto"/>
        <w:bottom w:val="none" w:sz="0" w:space="0" w:color="auto"/>
        <w:right w:val="none" w:sz="0" w:space="0" w:color="auto"/>
      </w:divBdr>
      <w:divsChild>
        <w:div w:id="2122607147">
          <w:marLeft w:val="0"/>
          <w:marRight w:val="0"/>
          <w:marTop w:val="0"/>
          <w:marBottom w:val="0"/>
          <w:divBdr>
            <w:top w:val="none" w:sz="0" w:space="0" w:color="auto"/>
            <w:left w:val="none" w:sz="0" w:space="0" w:color="auto"/>
            <w:bottom w:val="none" w:sz="0" w:space="0" w:color="auto"/>
            <w:right w:val="none" w:sz="0" w:space="0" w:color="auto"/>
          </w:divBdr>
        </w:div>
      </w:divsChild>
    </w:div>
    <w:div w:id="769666757">
      <w:bodyDiv w:val="1"/>
      <w:marLeft w:val="0"/>
      <w:marRight w:val="0"/>
      <w:marTop w:val="0"/>
      <w:marBottom w:val="0"/>
      <w:divBdr>
        <w:top w:val="none" w:sz="0" w:space="0" w:color="auto"/>
        <w:left w:val="none" w:sz="0" w:space="0" w:color="auto"/>
        <w:bottom w:val="none" w:sz="0" w:space="0" w:color="auto"/>
        <w:right w:val="none" w:sz="0" w:space="0" w:color="auto"/>
      </w:divBdr>
    </w:div>
    <w:div w:id="771361193">
      <w:bodyDiv w:val="1"/>
      <w:marLeft w:val="0"/>
      <w:marRight w:val="0"/>
      <w:marTop w:val="0"/>
      <w:marBottom w:val="0"/>
      <w:divBdr>
        <w:top w:val="none" w:sz="0" w:space="0" w:color="auto"/>
        <w:left w:val="none" w:sz="0" w:space="0" w:color="auto"/>
        <w:bottom w:val="none" w:sz="0" w:space="0" w:color="auto"/>
        <w:right w:val="none" w:sz="0" w:space="0" w:color="auto"/>
      </w:divBdr>
      <w:divsChild>
        <w:div w:id="1439522700">
          <w:marLeft w:val="0"/>
          <w:marRight w:val="0"/>
          <w:marTop w:val="0"/>
          <w:marBottom w:val="0"/>
          <w:divBdr>
            <w:top w:val="none" w:sz="0" w:space="0" w:color="auto"/>
            <w:left w:val="none" w:sz="0" w:space="0" w:color="auto"/>
            <w:bottom w:val="none" w:sz="0" w:space="0" w:color="auto"/>
            <w:right w:val="none" w:sz="0" w:space="0" w:color="auto"/>
          </w:divBdr>
        </w:div>
      </w:divsChild>
    </w:div>
    <w:div w:id="783622483">
      <w:bodyDiv w:val="1"/>
      <w:marLeft w:val="0"/>
      <w:marRight w:val="0"/>
      <w:marTop w:val="0"/>
      <w:marBottom w:val="0"/>
      <w:divBdr>
        <w:top w:val="none" w:sz="0" w:space="0" w:color="auto"/>
        <w:left w:val="none" w:sz="0" w:space="0" w:color="auto"/>
        <w:bottom w:val="none" w:sz="0" w:space="0" w:color="auto"/>
        <w:right w:val="none" w:sz="0" w:space="0" w:color="auto"/>
      </w:divBdr>
      <w:divsChild>
        <w:div w:id="405880521">
          <w:marLeft w:val="0"/>
          <w:marRight w:val="0"/>
          <w:marTop w:val="0"/>
          <w:marBottom w:val="0"/>
          <w:divBdr>
            <w:top w:val="none" w:sz="0" w:space="0" w:color="auto"/>
            <w:left w:val="none" w:sz="0" w:space="0" w:color="auto"/>
            <w:bottom w:val="none" w:sz="0" w:space="0" w:color="auto"/>
            <w:right w:val="none" w:sz="0" w:space="0" w:color="auto"/>
          </w:divBdr>
        </w:div>
      </w:divsChild>
    </w:div>
    <w:div w:id="793211789">
      <w:bodyDiv w:val="1"/>
      <w:marLeft w:val="0"/>
      <w:marRight w:val="0"/>
      <w:marTop w:val="0"/>
      <w:marBottom w:val="0"/>
      <w:divBdr>
        <w:top w:val="none" w:sz="0" w:space="0" w:color="auto"/>
        <w:left w:val="none" w:sz="0" w:space="0" w:color="auto"/>
        <w:bottom w:val="none" w:sz="0" w:space="0" w:color="auto"/>
        <w:right w:val="none" w:sz="0" w:space="0" w:color="auto"/>
      </w:divBdr>
      <w:divsChild>
        <w:div w:id="482888941">
          <w:marLeft w:val="0"/>
          <w:marRight w:val="0"/>
          <w:marTop w:val="0"/>
          <w:marBottom w:val="0"/>
          <w:divBdr>
            <w:top w:val="none" w:sz="0" w:space="0" w:color="auto"/>
            <w:left w:val="none" w:sz="0" w:space="0" w:color="auto"/>
            <w:bottom w:val="none" w:sz="0" w:space="0" w:color="auto"/>
            <w:right w:val="none" w:sz="0" w:space="0" w:color="auto"/>
          </w:divBdr>
        </w:div>
      </w:divsChild>
    </w:div>
    <w:div w:id="805900092">
      <w:bodyDiv w:val="1"/>
      <w:marLeft w:val="0"/>
      <w:marRight w:val="0"/>
      <w:marTop w:val="0"/>
      <w:marBottom w:val="0"/>
      <w:divBdr>
        <w:top w:val="none" w:sz="0" w:space="0" w:color="auto"/>
        <w:left w:val="none" w:sz="0" w:space="0" w:color="auto"/>
        <w:bottom w:val="none" w:sz="0" w:space="0" w:color="auto"/>
        <w:right w:val="none" w:sz="0" w:space="0" w:color="auto"/>
      </w:divBdr>
      <w:divsChild>
        <w:div w:id="93525839">
          <w:marLeft w:val="0"/>
          <w:marRight w:val="0"/>
          <w:marTop w:val="0"/>
          <w:marBottom w:val="0"/>
          <w:divBdr>
            <w:top w:val="none" w:sz="0" w:space="0" w:color="auto"/>
            <w:left w:val="none" w:sz="0" w:space="0" w:color="auto"/>
            <w:bottom w:val="none" w:sz="0" w:space="0" w:color="auto"/>
            <w:right w:val="none" w:sz="0" w:space="0" w:color="auto"/>
          </w:divBdr>
        </w:div>
      </w:divsChild>
    </w:div>
    <w:div w:id="833761294">
      <w:bodyDiv w:val="1"/>
      <w:marLeft w:val="0"/>
      <w:marRight w:val="0"/>
      <w:marTop w:val="0"/>
      <w:marBottom w:val="0"/>
      <w:divBdr>
        <w:top w:val="none" w:sz="0" w:space="0" w:color="auto"/>
        <w:left w:val="none" w:sz="0" w:space="0" w:color="auto"/>
        <w:bottom w:val="none" w:sz="0" w:space="0" w:color="auto"/>
        <w:right w:val="none" w:sz="0" w:space="0" w:color="auto"/>
      </w:divBdr>
      <w:divsChild>
        <w:div w:id="546336994">
          <w:marLeft w:val="0"/>
          <w:marRight w:val="0"/>
          <w:marTop w:val="0"/>
          <w:marBottom w:val="0"/>
          <w:divBdr>
            <w:top w:val="none" w:sz="0" w:space="0" w:color="auto"/>
            <w:left w:val="none" w:sz="0" w:space="0" w:color="auto"/>
            <w:bottom w:val="none" w:sz="0" w:space="0" w:color="auto"/>
            <w:right w:val="none" w:sz="0" w:space="0" w:color="auto"/>
          </w:divBdr>
        </w:div>
      </w:divsChild>
    </w:div>
    <w:div w:id="838160306">
      <w:bodyDiv w:val="1"/>
      <w:marLeft w:val="0"/>
      <w:marRight w:val="0"/>
      <w:marTop w:val="0"/>
      <w:marBottom w:val="0"/>
      <w:divBdr>
        <w:top w:val="none" w:sz="0" w:space="0" w:color="auto"/>
        <w:left w:val="none" w:sz="0" w:space="0" w:color="auto"/>
        <w:bottom w:val="none" w:sz="0" w:space="0" w:color="auto"/>
        <w:right w:val="none" w:sz="0" w:space="0" w:color="auto"/>
      </w:divBdr>
      <w:divsChild>
        <w:div w:id="1524587855">
          <w:marLeft w:val="0"/>
          <w:marRight w:val="0"/>
          <w:marTop w:val="0"/>
          <w:marBottom w:val="0"/>
          <w:divBdr>
            <w:top w:val="none" w:sz="0" w:space="0" w:color="auto"/>
            <w:left w:val="none" w:sz="0" w:space="0" w:color="auto"/>
            <w:bottom w:val="none" w:sz="0" w:space="0" w:color="auto"/>
            <w:right w:val="none" w:sz="0" w:space="0" w:color="auto"/>
          </w:divBdr>
        </w:div>
      </w:divsChild>
    </w:div>
    <w:div w:id="842622247">
      <w:bodyDiv w:val="1"/>
      <w:marLeft w:val="0"/>
      <w:marRight w:val="0"/>
      <w:marTop w:val="0"/>
      <w:marBottom w:val="0"/>
      <w:divBdr>
        <w:top w:val="none" w:sz="0" w:space="0" w:color="auto"/>
        <w:left w:val="none" w:sz="0" w:space="0" w:color="auto"/>
        <w:bottom w:val="none" w:sz="0" w:space="0" w:color="auto"/>
        <w:right w:val="none" w:sz="0" w:space="0" w:color="auto"/>
      </w:divBdr>
      <w:divsChild>
        <w:div w:id="490297191">
          <w:marLeft w:val="0"/>
          <w:marRight w:val="0"/>
          <w:marTop w:val="0"/>
          <w:marBottom w:val="0"/>
          <w:divBdr>
            <w:top w:val="none" w:sz="0" w:space="0" w:color="auto"/>
            <w:left w:val="none" w:sz="0" w:space="0" w:color="auto"/>
            <w:bottom w:val="none" w:sz="0" w:space="0" w:color="auto"/>
            <w:right w:val="none" w:sz="0" w:space="0" w:color="auto"/>
          </w:divBdr>
        </w:div>
      </w:divsChild>
    </w:div>
    <w:div w:id="850946180">
      <w:bodyDiv w:val="1"/>
      <w:marLeft w:val="0"/>
      <w:marRight w:val="0"/>
      <w:marTop w:val="0"/>
      <w:marBottom w:val="0"/>
      <w:divBdr>
        <w:top w:val="none" w:sz="0" w:space="0" w:color="auto"/>
        <w:left w:val="none" w:sz="0" w:space="0" w:color="auto"/>
        <w:bottom w:val="none" w:sz="0" w:space="0" w:color="auto"/>
        <w:right w:val="none" w:sz="0" w:space="0" w:color="auto"/>
      </w:divBdr>
      <w:divsChild>
        <w:div w:id="620307793">
          <w:marLeft w:val="0"/>
          <w:marRight w:val="0"/>
          <w:marTop w:val="0"/>
          <w:marBottom w:val="0"/>
          <w:divBdr>
            <w:top w:val="none" w:sz="0" w:space="0" w:color="auto"/>
            <w:left w:val="none" w:sz="0" w:space="0" w:color="auto"/>
            <w:bottom w:val="none" w:sz="0" w:space="0" w:color="auto"/>
            <w:right w:val="none" w:sz="0" w:space="0" w:color="auto"/>
          </w:divBdr>
        </w:div>
      </w:divsChild>
    </w:div>
    <w:div w:id="851841548">
      <w:bodyDiv w:val="1"/>
      <w:marLeft w:val="0"/>
      <w:marRight w:val="0"/>
      <w:marTop w:val="0"/>
      <w:marBottom w:val="0"/>
      <w:divBdr>
        <w:top w:val="none" w:sz="0" w:space="0" w:color="auto"/>
        <w:left w:val="none" w:sz="0" w:space="0" w:color="auto"/>
        <w:bottom w:val="none" w:sz="0" w:space="0" w:color="auto"/>
        <w:right w:val="none" w:sz="0" w:space="0" w:color="auto"/>
      </w:divBdr>
      <w:divsChild>
        <w:div w:id="1075083093">
          <w:marLeft w:val="0"/>
          <w:marRight w:val="0"/>
          <w:marTop w:val="0"/>
          <w:marBottom w:val="0"/>
          <w:divBdr>
            <w:top w:val="none" w:sz="0" w:space="0" w:color="auto"/>
            <w:left w:val="none" w:sz="0" w:space="0" w:color="auto"/>
            <w:bottom w:val="none" w:sz="0" w:space="0" w:color="auto"/>
            <w:right w:val="none" w:sz="0" w:space="0" w:color="auto"/>
          </w:divBdr>
        </w:div>
      </w:divsChild>
    </w:div>
    <w:div w:id="863905043">
      <w:bodyDiv w:val="1"/>
      <w:marLeft w:val="0"/>
      <w:marRight w:val="0"/>
      <w:marTop w:val="0"/>
      <w:marBottom w:val="0"/>
      <w:divBdr>
        <w:top w:val="none" w:sz="0" w:space="0" w:color="auto"/>
        <w:left w:val="none" w:sz="0" w:space="0" w:color="auto"/>
        <w:bottom w:val="none" w:sz="0" w:space="0" w:color="auto"/>
        <w:right w:val="none" w:sz="0" w:space="0" w:color="auto"/>
      </w:divBdr>
    </w:div>
    <w:div w:id="866941640">
      <w:bodyDiv w:val="1"/>
      <w:marLeft w:val="0"/>
      <w:marRight w:val="0"/>
      <w:marTop w:val="0"/>
      <w:marBottom w:val="0"/>
      <w:divBdr>
        <w:top w:val="none" w:sz="0" w:space="0" w:color="auto"/>
        <w:left w:val="none" w:sz="0" w:space="0" w:color="auto"/>
        <w:bottom w:val="none" w:sz="0" w:space="0" w:color="auto"/>
        <w:right w:val="none" w:sz="0" w:space="0" w:color="auto"/>
      </w:divBdr>
      <w:divsChild>
        <w:div w:id="1969965960">
          <w:marLeft w:val="0"/>
          <w:marRight w:val="0"/>
          <w:marTop w:val="0"/>
          <w:marBottom w:val="0"/>
          <w:divBdr>
            <w:top w:val="none" w:sz="0" w:space="0" w:color="auto"/>
            <w:left w:val="none" w:sz="0" w:space="0" w:color="auto"/>
            <w:bottom w:val="none" w:sz="0" w:space="0" w:color="auto"/>
            <w:right w:val="none" w:sz="0" w:space="0" w:color="auto"/>
          </w:divBdr>
        </w:div>
      </w:divsChild>
    </w:div>
    <w:div w:id="873883850">
      <w:bodyDiv w:val="1"/>
      <w:marLeft w:val="0"/>
      <w:marRight w:val="0"/>
      <w:marTop w:val="0"/>
      <w:marBottom w:val="0"/>
      <w:divBdr>
        <w:top w:val="none" w:sz="0" w:space="0" w:color="auto"/>
        <w:left w:val="none" w:sz="0" w:space="0" w:color="auto"/>
        <w:bottom w:val="none" w:sz="0" w:space="0" w:color="auto"/>
        <w:right w:val="none" w:sz="0" w:space="0" w:color="auto"/>
      </w:divBdr>
      <w:divsChild>
        <w:div w:id="167597951">
          <w:marLeft w:val="0"/>
          <w:marRight w:val="0"/>
          <w:marTop w:val="0"/>
          <w:marBottom w:val="0"/>
          <w:divBdr>
            <w:top w:val="none" w:sz="0" w:space="0" w:color="auto"/>
            <w:left w:val="none" w:sz="0" w:space="0" w:color="auto"/>
            <w:bottom w:val="none" w:sz="0" w:space="0" w:color="auto"/>
            <w:right w:val="none" w:sz="0" w:space="0" w:color="auto"/>
          </w:divBdr>
        </w:div>
        <w:div w:id="470944895">
          <w:marLeft w:val="0"/>
          <w:marRight w:val="0"/>
          <w:marTop w:val="0"/>
          <w:marBottom w:val="0"/>
          <w:divBdr>
            <w:top w:val="none" w:sz="0" w:space="0" w:color="auto"/>
            <w:left w:val="none" w:sz="0" w:space="0" w:color="auto"/>
            <w:bottom w:val="none" w:sz="0" w:space="0" w:color="auto"/>
            <w:right w:val="none" w:sz="0" w:space="0" w:color="auto"/>
          </w:divBdr>
        </w:div>
        <w:div w:id="674839277">
          <w:marLeft w:val="0"/>
          <w:marRight w:val="0"/>
          <w:marTop w:val="0"/>
          <w:marBottom w:val="0"/>
          <w:divBdr>
            <w:top w:val="none" w:sz="0" w:space="0" w:color="auto"/>
            <w:left w:val="none" w:sz="0" w:space="0" w:color="auto"/>
            <w:bottom w:val="none" w:sz="0" w:space="0" w:color="auto"/>
            <w:right w:val="none" w:sz="0" w:space="0" w:color="auto"/>
          </w:divBdr>
        </w:div>
        <w:div w:id="812991092">
          <w:marLeft w:val="0"/>
          <w:marRight w:val="0"/>
          <w:marTop w:val="0"/>
          <w:marBottom w:val="0"/>
          <w:divBdr>
            <w:top w:val="none" w:sz="0" w:space="0" w:color="auto"/>
            <w:left w:val="none" w:sz="0" w:space="0" w:color="auto"/>
            <w:bottom w:val="none" w:sz="0" w:space="0" w:color="auto"/>
            <w:right w:val="none" w:sz="0" w:space="0" w:color="auto"/>
          </w:divBdr>
        </w:div>
        <w:div w:id="1286161530">
          <w:marLeft w:val="0"/>
          <w:marRight w:val="0"/>
          <w:marTop w:val="0"/>
          <w:marBottom w:val="0"/>
          <w:divBdr>
            <w:top w:val="none" w:sz="0" w:space="0" w:color="auto"/>
            <w:left w:val="none" w:sz="0" w:space="0" w:color="auto"/>
            <w:bottom w:val="none" w:sz="0" w:space="0" w:color="auto"/>
            <w:right w:val="none" w:sz="0" w:space="0" w:color="auto"/>
          </w:divBdr>
        </w:div>
        <w:div w:id="1607149906">
          <w:marLeft w:val="0"/>
          <w:marRight w:val="0"/>
          <w:marTop w:val="0"/>
          <w:marBottom w:val="0"/>
          <w:divBdr>
            <w:top w:val="none" w:sz="0" w:space="0" w:color="auto"/>
            <w:left w:val="none" w:sz="0" w:space="0" w:color="auto"/>
            <w:bottom w:val="none" w:sz="0" w:space="0" w:color="auto"/>
            <w:right w:val="none" w:sz="0" w:space="0" w:color="auto"/>
          </w:divBdr>
        </w:div>
        <w:div w:id="1663505602">
          <w:marLeft w:val="0"/>
          <w:marRight w:val="0"/>
          <w:marTop w:val="0"/>
          <w:marBottom w:val="0"/>
          <w:divBdr>
            <w:top w:val="none" w:sz="0" w:space="0" w:color="auto"/>
            <w:left w:val="none" w:sz="0" w:space="0" w:color="auto"/>
            <w:bottom w:val="none" w:sz="0" w:space="0" w:color="auto"/>
            <w:right w:val="none" w:sz="0" w:space="0" w:color="auto"/>
          </w:divBdr>
        </w:div>
        <w:div w:id="1932351922">
          <w:marLeft w:val="0"/>
          <w:marRight w:val="0"/>
          <w:marTop w:val="0"/>
          <w:marBottom w:val="0"/>
          <w:divBdr>
            <w:top w:val="none" w:sz="0" w:space="0" w:color="auto"/>
            <w:left w:val="none" w:sz="0" w:space="0" w:color="auto"/>
            <w:bottom w:val="none" w:sz="0" w:space="0" w:color="auto"/>
            <w:right w:val="none" w:sz="0" w:space="0" w:color="auto"/>
          </w:divBdr>
        </w:div>
        <w:div w:id="2006081012">
          <w:marLeft w:val="0"/>
          <w:marRight w:val="0"/>
          <w:marTop w:val="0"/>
          <w:marBottom w:val="0"/>
          <w:divBdr>
            <w:top w:val="none" w:sz="0" w:space="0" w:color="auto"/>
            <w:left w:val="none" w:sz="0" w:space="0" w:color="auto"/>
            <w:bottom w:val="none" w:sz="0" w:space="0" w:color="auto"/>
            <w:right w:val="none" w:sz="0" w:space="0" w:color="auto"/>
          </w:divBdr>
        </w:div>
      </w:divsChild>
    </w:div>
    <w:div w:id="875895864">
      <w:bodyDiv w:val="1"/>
      <w:marLeft w:val="0"/>
      <w:marRight w:val="0"/>
      <w:marTop w:val="0"/>
      <w:marBottom w:val="0"/>
      <w:divBdr>
        <w:top w:val="none" w:sz="0" w:space="0" w:color="auto"/>
        <w:left w:val="none" w:sz="0" w:space="0" w:color="auto"/>
        <w:bottom w:val="none" w:sz="0" w:space="0" w:color="auto"/>
        <w:right w:val="none" w:sz="0" w:space="0" w:color="auto"/>
      </w:divBdr>
      <w:divsChild>
        <w:div w:id="1833134749">
          <w:marLeft w:val="0"/>
          <w:marRight w:val="0"/>
          <w:marTop w:val="0"/>
          <w:marBottom w:val="0"/>
          <w:divBdr>
            <w:top w:val="none" w:sz="0" w:space="0" w:color="auto"/>
            <w:left w:val="none" w:sz="0" w:space="0" w:color="auto"/>
            <w:bottom w:val="none" w:sz="0" w:space="0" w:color="auto"/>
            <w:right w:val="none" w:sz="0" w:space="0" w:color="auto"/>
          </w:divBdr>
        </w:div>
      </w:divsChild>
    </w:div>
    <w:div w:id="882644262">
      <w:bodyDiv w:val="1"/>
      <w:marLeft w:val="0"/>
      <w:marRight w:val="0"/>
      <w:marTop w:val="0"/>
      <w:marBottom w:val="0"/>
      <w:divBdr>
        <w:top w:val="none" w:sz="0" w:space="0" w:color="auto"/>
        <w:left w:val="none" w:sz="0" w:space="0" w:color="auto"/>
        <w:bottom w:val="none" w:sz="0" w:space="0" w:color="auto"/>
        <w:right w:val="none" w:sz="0" w:space="0" w:color="auto"/>
      </w:divBdr>
      <w:divsChild>
        <w:div w:id="1651709218">
          <w:marLeft w:val="0"/>
          <w:marRight w:val="0"/>
          <w:marTop w:val="0"/>
          <w:marBottom w:val="0"/>
          <w:divBdr>
            <w:top w:val="none" w:sz="0" w:space="0" w:color="auto"/>
            <w:left w:val="none" w:sz="0" w:space="0" w:color="auto"/>
            <w:bottom w:val="none" w:sz="0" w:space="0" w:color="auto"/>
            <w:right w:val="none" w:sz="0" w:space="0" w:color="auto"/>
          </w:divBdr>
        </w:div>
      </w:divsChild>
    </w:div>
    <w:div w:id="887448879">
      <w:bodyDiv w:val="1"/>
      <w:marLeft w:val="0"/>
      <w:marRight w:val="0"/>
      <w:marTop w:val="0"/>
      <w:marBottom w:val="0"/>
      <w:divBdr>
        <w:top w:val="none" w:sz="0" w:space="0" w:color="auto"/>
        <w:left w:val="none" w:sz="0" w:space="0" w:color="auto"/>
        <w:bottom w:val="none" w:sz="0" w:space="0" w:color="auto"/>
        <w:right w:val="none" w:sz="0" w:space="0" w:color="auto"/>
      </w:divBdr>
      <w:divsChild>
        <w:div w:id="1759253303">
          <w:marLeft w:val="0"/>
          <w:marRight w:val="0"/>
          <w:marTop w:val="0"/>
          <w:marBottom w:val="0"/>
          <w:divBdr>
            <w:top w:val="none" w:sz="0" w:space="0" w:color="auto"/>
            <w:left w:val="none" w:sz="0" w:space="0" w:color="auto"/>
            <w:bottom w:val="none" w:sz="0" w:space="0" w:color="auto"/>
            <w:right w:val="none" w:sz="0" w:space="0" w:color="auto"/>
          </w:divBdr>
        </w:div>
      </w:divsChild>
    </w:div>
    <w:div w:id="900287245">
      <w:bodyDiv w:val="1"/>
      <w:marLeft w:val="0"/>
      <w:marRight w:val="0"/>
      <w:marTop w:val="0"/>
      <w:marBottom w:val="0"/>
      <w:divBdr>
        <w:top w:val="none" w:sz="0" w:space="0" w:color="auto"/>
        <w:left w:val="none" w:sz="0" w:space="0" w:color="auto"/>
        <w:bottom w:val="none" w:sz="0" w:space="0" w:color="auto"/>
        <w:right w:val="none" w:sz="0" w:space="0" w:color="auto"/>
      </w:divBdr>
      <w:divsChild>
        <w:div w:id="1069617975">
          <w:marLeft w:val="0"/>
          <w:marRight w:val="0"/>
          <w:marTop w:val="0"/>
          <w:marBottom w:val="0"/>
          <w:divBdr>
            <w:top w:val="none" w:sz="0" w:space="0" w:color="auto"/>
            <w:left w:val="none" w:sz="0" w:space="0" w:color="auto"/>
            <w:bottom w:val="none" w:sz="0" w:space="0" w:color="auto"/>
            <w:right w:val="none" w:sz="0" w:space="0" w:color="auto"/>
          </w:divBdr>
        </w:div>
      </w:divsChild>
    </w:div>
    <w:div w:id="906262920">
      <w:bodyDiv w:val="1"/>
      <w:marLeft w:val="0"/>
      <w:marRight w:val="0"/>
      <w:marTop w:val="0"/>
      <w:marBottom w:val="0"/>
      <w:divBdr>
        <w:top w:val="none" w:sz="0" w:space="0" w:color="auto"/>
        <w:left w:val="none" w:sz="0" w:space="0" w:color="auto"/>
        <w:bottom w:val="none" w:sz="0" w:space="0" w:color="auto"/>
        <w:right w:val="none" w:sz="0" w:space="0" w:color="auto"/>
      </w:divBdr>
      <w:divsChild>
        <w:div w:id="524682986">
          <w:marLeft w:val="0"/>
          <w:marRight w:val="0"/>
          <w:marTop w:val="0"/>
          <w:marBottom w:val="0"/>
          <w:divBdr>
            <w:top w:val="none" w:sz="0" w:space="0" w:color="auto"/>
            <w:left w:val="none" w:sz="0" w:space="0" w:color="auto"/>
            <w:bottom w:val="none" w:sz="0" w:space="0" w:color="auto"/>
            <w:right w:val="none" w:sz="0" w:space="0" w:color="auto"/>
          </w:divBdr>
        </w:div>
      </w:divsChild>
    </w:div>
    <w:div w:id="925727491">
      <w:bodyDiv w:val="1"/>
      <w:marLeft w:val="0"/>
      <w:marRight w:val="0"/>
      <w:marTop w:val="0"/>
      <w:marBottom w:val="0"/>
      <w:divBdr>
        <w:top w:val="none" w:sz="0" w:space="0" w:color="auto"/>
        <w:left w:val="none" w:sz="0" w:space="0" w:color="auto"/>
        <w:bottom w:val="none" w:sz="0" w:space="0" w:color="auto"/>
        <w:right w:val="none" w:sz="0" w:space="0" w:color="auto"/>
      </w:divBdr>
      <w:divsChild>
        <w:div w:id="2138209130">
          <w:marLeft w:val="0"/>
          <w:marRight w:val="0"/>
          <w:marTop w:val="0"/>
          <w:marBottom w:val="0"/>
          <w:divBdr>
            <w:top w:val="none" w:sz="0" w:space="0" w:color="auto"/>
            <w:left w:val="none" w:sz="0" w:space="0" w:color="auto"/>
            <w:bottom w:val="none" w:sz="0" w:space="0" w:color="auto"/>
            <w:right w:val="none" w:sz="0" w:space="0" w:color="auto"/>
          </w:divBdr>
        </w:div>
      </w:divsChild>
    </w:div>
    <w:div w:id="933127590">
      <w:bodyDiv w:val="1"/>
      <w:marLeft w:val="0"/>
      <w:marRight w:val="0"/>
      <w:marTop w:val="0"/>
      <w:marBottom w:val="0"/>
      <w:divBdr>
        <w:top w:val="none" w:sz="0" w:space="0" w:color="auto"/>
        <w:left w:val="none" w:sz="0" w:space="0" w:color="auto"/>
        <w:bottom w:val="none" w:sz="0" w:space="0" w:color="auto"/>
        <w:right w:val="none" w:sz="0" w:space="0" w:color="auto"/>
      </w:divBdr>
      <w:divsChild>
        <w:div w:id="1868591974">
          <w:marLeft w:val="0"/>
          <w:marRight w:val="0"/>
          <w:marTop w:val="0"/>
          <w:marBottom w:val="0"/>
          <w:divBdr>
            <w:top w:val="none" w:sz="0" w:space="0" w:color="auto"/>
            <w:left w:val="none" w:sz="0" w:space="0" w:color="auto"/>
            <w:bottom w:val="none" w:sz="0" w:space="0" w:color="auto"/>
            <w:right w:val="none" w:sz="0" w:space="0" w:color="auto"/>
          </w:divBdr>
        </w:div>
      </w:divsChild>
    </w:div>
    <w:div w:id="938417231">
      <w:bodyDiv w:val="1"/>
      <w:marLeft w:val="0"/>
      <w:marRight w:val="0"/>
      <w:marTop w:val="0"/>
      <w:marBottom w:val="0"/>
      <w:divBdr>
        <w:top w:val="none" w:sz="0" w:space="0" w:color="auto"/>
        <w:left w:val="none" w:sz="0" w:space="0" w:color="auto"/>
        <w:bottom w:val="none" w:sz="0" w:space="0" w:color="auto"/>
        <w:right w:val="none" w:sz="0" w:space="0" w:color="auto"/>
      </w:divBdr>
      <w:divsChild>
        <w:div w:id="1852529555">
          <w:marLeft w:val="0"/>
          <w:marRight w:val="0"/>
          <w:marTop w:val="0"/>
          <w:marBottom w:val="0"/>
          <w:divBdr>
            <w:top w:val="none" w:sz="0" w:space="0" w:color="auto"/>
            <w:left w:val="none" w:sz="0" w:space="0" w:color="auto"/>
            <w:bottom w:val="none" w:sz="0" w:space="0" w:color="auto"/>
            <w:right w:val="none" w:sz="0" w:space="0" w:color="auto"/>
          </w:divBdr>
        </w:div>
      </w:divsChild>
    </w:div>
    <w:div w:id="941455933">
      <w:bodyDiv w:val="1"/>
      <w:marLeft w:val="0"/>
      <w:marRight w:val="0"/>
      <w:marTop w:val="0"/>
      <w:marBottom w:val="0"/>
      <w:divBdr>
        <w:top w:val="none" w:sz="0" w:space="0" w:color="auto"/>
        <w:left w:val="none" w:sz="0" w:space="0" w:color="auto"/>
        <w:bottom w:val="none" w:sz="0" w:space="0" w:color="auto"/>
        <w:right w:val="none" w:sz="0" w:space="0" w:color="auto"/>
      </w:divBdr>
      <w:divsChild>
        <w:div w:id="1936356492">
          <w:marLeft w:val="0"/>
          <w:marRight w:val="0"/>
          <w:marTop w:val="0"/>
          <w:marBottom w:val="0"/>
          <w:divBdr>
            <w:top w:val="none" w:sz="0" w:space="0" w:color="auto"/>
            <w:left w:val="none" w:sz="0" w:space="0" w:color="auto"/>
            <w:bottom w:val="none" w:sz="0" w:space="0" w:color="auto"/>
            <w:right w:val="none" w:sz="0" w:space="0" w:color="auto"/>
          </w:divBdr>
        </w:div>
      </w:divsChild>
    </w:div>
    <w:div w:id="945696056">
      <w:bodyDiv w:val="1"/>
      <w:marLeft w:val="0"/>
      <w:marRight w:val="0"/>
      <w:marTop w:val="0"/>
      <w:marBottom w:val="0"/>
      <w:divBdr>
        <w:top w:val="none" w:sz="0" w:space="0" w:color="auto"/>
        <w:left w:val="none" w:sz="0" w:space="0" w:color="auto"/>
        <w:bottom w:val="none" w:sz="0" w:space="0" w:color="auto"/>
        <w:right w:val="none" w:sz="0" w:space="0" w:color="auto"/>
      </w:divBdr>
      <w:divsChild>
        <w:div w:id="1276474758">
          <w:marLeft w:val="0"/>
          <w:marRight w:val="0"/>
          <w:marTop w:val="0"/>
          <w:marBottom w:val="0"/>
          <w:divBdr>
            <w:top w:val="none" w:sz="0" w:space="0" w:color="auto"/>
            <w:left w:val="none" w:sz="0" w:space="0" w:color="auto"/>
            <w:bottom w:val="none" w:sz="0" w:space="0" w:color="auto"/>
            <w:right w:val="none" w:sz="0" w:space="0" w:color="auto"/>
          </w:divBdr>
        </w:div>
      </w:divsChild>
    </w:div>
    <w:div w:id="958298984">
      <w:bodyDiv w:val="1"/>
      <w:marLeft w:val="0"/>
      <w:marRight w:val="0"/>
      <w:marTop w:val="0"/>
      <w:marBottom w:val="0"/>
      <w:divBdr>
        <w:top w:val="none" w:sz="0" w:space="0" w:color="auto"/>
        <w:left w:val="none" w:sz="0" w:space="0" w:color="auto"/>
        <w:bottom w:val="none" w:sz="0" w:space="0" w:color="auto"/>
        <w:right w:val="none" w:sz="0" w:space="0" w:color="auto"/>
      </w:divBdr>
      <w:divsChild>
        <w:div w:id="1467506462">
          <w:marLeft w:val="0"/>
          <w:marRight w:val="0"/>
          <w:marTop w:val="0"/>
          <w:marBottom w:val="0"/>
          <w:divBdr>
            <w:top w:val="none" w:sz="0" w:space="0" w:color="auto"/>
            <w:left w:val="none" w:sz="0" w:space="0" w:color="auto"/>
            <w:bottom w:val="none" w:sz="0" w:space="0" w:color="auto"/>
            <w:right w:val="none" w:sz="0" w:space="0" w:color="auto"/>
          </w:divBdr>
        </w:div>
      </w:divsChild>
    </w:div>
    <w:div w:id="967055706">
      <w:bodyDiv w:val="1"/>
      <w:marLeft w:val="0"/>
      <w:marRight w:val="0"/>
      <w:marTop w:val="0"/>
      <w:marBottom w:val="0"/>
      <w:divBdr>
        <w:top w:val="none" w:sz="0" w:space="0" w:color="auto"/>
        <w:left w:val="none" w:sz="0" w:space="0" w:color="auto"/>
        <w:bottom w:val="none" w:sz="0" w:space="0" w:color="auto"/>
        <w:right w:val="none" w:sz="0" w:space="0" w:color="auto"/>
      </w:divBdr>
      <w:divsChild>
        <w:div w:id="926155584">
          <w:marLeft w:val="0"/>
          <w:marRight w:val="0"/>
          <w:marTop w:val="0"/>
          <w:marBottom w:val="0"/>
          <w:divBdr>
            <w:top w:val="none" w:sz="0" w:space="0" w:color="auto"/>
            <w:left w:val="none" w:sz="0" w:space="0" w:color="auto"/>
            <w:bottom w:val="none" w:sz="0" w:space="0" w:color="auto"/>
            <w:right w:val="none" w:sz="0" w:space="0" w:color="auto"/>
          </w:divBdr>
        </w:div>
      </w:divsChild>
    </w:div>
    <w:div w:id="975911281">
      <w:bodyDiv w:val="1"/>
      <w:marLeft w:val="0"/>
      <w:marRight w:val="0"/>
      <w:marTop w:val="0"/>
      <w:marBottom w:val="0"/>
      <w:divBdr>
        <w:top w:val="none" w:sz="0" w:space="0" w:color="auto"/>
        <w:left w:val="none" w:sz="0" w:space="0" w:color="auto"/>
        <w:bottom w:val="none" w:sz="0" w:space="0" w:color="auto"/>
        <w:right w:val="none" w:sz="0" w:space="0" w:color="auto"/>
      </w:divBdr>
      <w:divsChild>
        <w:div w:id="1914008369">
          <w:marLeft w:val="0"/>
          <w:marRight w:val="0"/>
          <w:marTop w:val="0"/>
          <w:marBottom w:val="0"/>
          <w:divBdr>
            <w:top w:val="none" w:sz="0" w:space="0" w:color="auto"/>
            <w:left w:val="none" w:sz="0" w:space="0" w:color="auto"/>
            <w:bottom w:val="none" w:sz="0" w:space="0" w:color="auto"/>
            <w:right w:val="none" w:sz="0" w:space="0" w:color="auto"/>
          </w:divBdr>
        </w:div>
      </w:divsChild>
    </w:div>
    <w:div w:id="982733032">
      <w:bodyDiv w:val="1"/>
      <w:marLeft w:val="0"/>
      <w:marRight w:val="0"/>
      <w:marTop w:val="0"/>
      <w:marBottom w:val="0"/>
      <w:divBdr>
        <w:top w:val="none" w:sz="0" w:space="0" w:color="auto"/>
        <w:left w:val="none" w:sz="0" w:space="0" w:color="auto"/>
        <w:bottom w:val="none" w:sz="0" w:space="0" w:color="auto"/>
        <w:right w:val="none" w:sz="0" w:space="0" w:color="auto"/>
      </w:divBdr>
      <w:divsChild>
        <w:div w:id="568616755">
          <w:marLeft w:val="0"/>
          <w:marRight w:val="0"/>
          <w:marTop w:val="0"/>
          <w:marBottom w:val="0"/>
          <w:divBdr>
            <w:top w:val="none" w:sz="0" w:space="0" w:color="auto"/>
            <w:left w:val="none" w:sz="0" w:space="0" w:color="auto"/>
            <w:bottom w:val="none" w:sz="0" w:space="0" w:color="auto"/>
            <w:right w:val="none" w:sz="0" w:space="0" w:color="auto"/>
          </w:divBdr>
        </w:div>
        <w:div w:id="710109147">
          <w:marLeft w:val="0"/>
          <w:marRight w:val="0"/>
          <w:marTop w:val="0"/>
          <w:marBottom w:val="0"/>
          <w:divBdr>
            <w:top w:val="none" w:sz="0" w:space="0" w:color="auto"/>
            <w:left w:val="none" w:sz="0" w:space="0" w:color="auto"/>
            <w:bottom w:val="none" w:sz="0" w:space="0" w:color="auto"/>
            <w:right w:val="none" w:sz="0" w:space="0" w:color="auto"/>
          </w:divBdr>
        </w:div>
        <w:div w:id="1258095861">
          <w:marLeft w:val="0"/>
          <w:marRight w:val="0"/>
          <w:marTop w:val="0"/>
          <w:marBottom w:val="0"/>
          <w:divBdr>
            <w:top w:val="none" w:sz="0" w:space="0" w:color="auto"/>
            <w:left w:val="none" w:sz="0" w:space="0" w:color="auto"/>
            <w:bottom w:val="none" w:sz="0" w:space="0" w:color="auto"/>
            <w:right w:val="none" w:sz="0" w:space="0" w:color="auto"/>
          </w:divBdr>
        </w:div>
        <w:div w:id="1345788841">
          <w:marLeft w:val="0"/>
          <w:marRight w:val="0"/>
          <w:marTop w:val="0"/>
          <w:marBottom w:val="0"/>
          <w:divBdr>
            <w:top w:val="none" w:sz="0" w:space="0" w:color="auto"/>
            <w:left w:val="none" w:sz="0" w:space="0" w:color="auto"/>
            <w:bottom w:val="none" w:sz="0" w:space="0" w:color="auto"/>
            <w:right w:val="none" w:sz="0" w:space="0" w:color="auto"/>
          </w:divBdr>
        </w:div>
        <w:div w:id="1536383845">
          <w:marLeft w:val="0"/>
          <w:marRight w:val="0"/>
          <w:marTop w:val="0"/>
          <w:marBottom w:val="0"/>
          <w:divBdr>
            <w:top w:val="none" w:sz="0" w:space="0" w:color="auto"/>
            <w:left w:val="none" w:sz="0" w:space="0" w:color="auto"/>
            <w:bottom w:val="none" w:sz="0" w:space="0" w:color="auto"/>
            <w:right w:val="none" w:sz="0" w:space="0" w:color="auto"/>
          </w:divBdr>
        </w:div>
      </w:divsChild>
    </w:div>
    <w:div w:id="992291958">
      <w:bodyDiv w:val="1"/>
      <w:marLeft w:val="0"/>
      <w:marRight w:val="0"/>
      <w:marTop w:val="0"/>
      <w:marBottom w:val="0"/>
      <w:divBdr>
        <w:top w:val="none" w:sz="0" w:space="0" w:color="auto"/>
        <w:left w:val="none" w:sz="0" w:space="0" w:color="auto"/>
        <w:bottom w:val="none" w:sz="0" w:space="0" w:color="auto"/>
        <w:right w:val="none" w:sz="0" w:space="0" w:color="auto"/>
      </w:divBdr>
      <w:divsChild>
        <w:div w:id="112288289">
          <w:marLeft w:val="0"/>
          <w:marRight w:val="0"/>
          <w:marTop w:val="0"/>
          <w:marBottom w:val="0"/>
          <w:divBdr>
            <w:top w:val="none" w:sz="0" w:space="0" w:color="auto"/>
            <w:left w:val="none" w:sz="0" w:space="0" w:color="auto"/>
            <w:bottom w:val="none" w:sz="0" w:space="0" w:color="auto"/>
            <w:right w:val="none" w:sz="0" w:space="0" w:color="auto"/>
          </w:divBdr>
        </w:div>
      </w:divsChild>
    </w:div>
    <w:div w:id="992878924">
      <w:bodyDiv w:val="1"/>
      <w:marLeft w:val="0"/>
      <w:marRight w:val="0"/>
      <w:marTop w:val="0"/>
      <w:marBottom w:val="0"/>
      <w:divBdr>
        <w:top w:val="none" w:sz="0" w:space="0" w:color="auto"/>
        <w:left w:val="none" w:sz="0" w:space="0" w:color="auto"/>
        <w:bottom w:val="none" w:sz="0" w:space="0" w:color="auto"/>
        <w:right w:val="none" w:sz="0" w:space="0" w:color="auto"/>
      </w:divBdr>
      <w:divsChild>
        <w:div w:id="10645882">
          <w:marLeft w:val="0"/>
          <w:marRight w:val="0"/>
          <w:marTop w:val="0"/>
          <w:marBottom w:val="0"/>
          <w:divBdr>
            <w:top w:val="none" w:sz="0" w:space="0" w:color="auto"/>
            <w:left w:val="none" w:sz="0" w:space="0" w:color="auto"/>
            <w:bottom w:val="none" w:sz="0" w:space="0" w:color="auto"/>
            <w:right w:val="none" w:sz="0" w:space="0" w:color="auto"/>
          </w:divBdr>
        </w:div>
        <w:div w:id="78916390">
          <w:marLeft w:val="0"/>
          <w:marRight w:val="0"/>
          <w:marTop w:val="0"/>
          <w:marBottom w:val="0"/>
          <w:divBdr>
            <w:top w:val="none" w:sz="0" w:space="0" w:color="auto"/>
            <w:left w:val="none" w:sz="0" w:space="0" w:color="auto"/>
            <w:bottom w:val="none" w:sz="0" w:space="0" w:color="auto"/>
            <w:right w:val="none" w:sz="0" w:space="0" w:color="auto"/>
          </w:divBdr>
        </w:div>
        <w:div w:id="148596781">
          <w:marLeft w:val="0"/>
          <w:marRight w:val="0"/>
          <w:marTop w:val="0"/>
          <w:marBottom w:val="0"/>
          <w:divBdr>
            <w:top w:val="none" w:sz="0" w:space="0" w:color="auto"/>
            <w:left w:val="none" w:sz="0" w:space="0" w:color="auto"/>
            <w:bottom w:val="none" w:sz="0" w:space="0" w:color="auto"/>
            <w:right w:val="none" w:sz="0" w:space="0" w:color="auto"/>
          </w:divBdr>
        </w:div>
        <w:div w:id="233978938">
          <w:marLeft w:val="0"/>
          <w:marRight w:val="0"/>
          <w:marTop w:val="0"/>
          <w:marBottom w:val="0"/>
          <w:divBdr>
            <w:top w:val="none" w:sz="0" w:space="0" w:color="auto"/>
            <w:left w:val="none" w:sz="0" w:space="0" w:color="auto"/>
            <w:bottom w:val="none" w:sz="0" w:space="0" w:color="auto"/>
            <w:right w:val="none" w:sz="0" w:space="0" w:color="auto"/>
          </w:divBdr>
        </w:div>
        <w:div w:id="696463354">
          <w:marLeft w:val="0"/>
          <w:marRight w:val="0"/>
          <w:marTop w:val="0"/>
          <w:marBottom w:val="0"/>
          <w:divBdr>
            <w:top w:val="none" w:sz="0" w:space="0" w:color="auto"/>
            <w:left w:val="none" w:sz="0" w:space="0" w:color="auto"/>
            <w:bottom w:val="none" w:sz="0" w:space="0" w:color="auto"/>
            <w:right w:val="none" w:sz="0" w:space="0" w:color="auto"/>
          </w:divBdr>
        </w:div>
        <w:div w:id="756367513">
          <w:marLeft w:val="0"/>
          <w:marRight w:val="0"/>
          <w:marTop w:val="0"/>
          <w:marBottom w:val="0"/>
          <w:divBdr>
            <w:top w:val="none" w:sz="0" w:space="0" w:color="auto"/>
            <w:left w:val="none" w:sz="0" w:space="0" w:color="auto"/>
            <w:bottom w:val="none" w:sz="0" w:space="0" w:color="auto"/>
            <w:right w:val="none" w:sz="0" w:space="0" w:color="auto"/>
          </w:divBdr>
        </w:div>
        <w:div w:id="761876840">
          <w:marLeft w:val="0"/>
          <w:marRight w:val="0"/>
          <w:marTop w:val="0"/>
          <w:marBottom w:val="0"/>
          <w:divBdr>
            <w:top w:val="none" w:sz="0" w:space="0" w:color="auto"/>
            <w:left w:val="none" w:sz="0" w:space="0" w:color="auto"/>
            <w:bottom w:val="none" w:sz="0" w:space="0" w:color="auto"/>
            <w:right w:val="none" w:sz="0" w:space="0" w:color="auto"/>
          </w:divBdr>
        </w:div>
        <w:div w:id="770246426">
          <w:marLeft w:val="0"/>
          <w:marRight w:val="0"/>
          <w:marTop w:val="0"/>
          <w:marBottom w:val="0"/>
          <w:divBdr>
            <w:top w:val="none" w:sz="0" w:space="0" w:color="auto"/>
            <w:left w:val="none" w:sz="0" w:space="0" w:color="auto"/>
            <w:bottom w:val="none" w:sz="0" w:space="0" w:color="auto"/>
            <w:right w:val="none" w:sz="0" w:space="0" w:color="auto"/>
          </w:divBdr>
        </w:div>
        <w:div w:id="846099599">
          <w:marLeft w:val="0"/>
          <w:marRight w:val="0"/>
          <w:marTop w:val="0"/>
          <w:marBottom w:val="0"/>
          <w:divBdr>
            <w:top w:val="none" w:sz="0" w:space="0" w:color="auto"/>
            <w:left w:val="none" w:sz="0" w:space="0" w:color="auto"/>
            <w:bottom w:val="none" w:sz="0" w:space="0" w:color="auto"/>
            <w:right w:val="none" w:sz="0" w:space="0" w:color="auto"/>
          </w:divBdr>
        </w:div>
        <w:div w:id="895045374">
          <w:marLeft w:val="0"/>
          <w:marRight w:val="0"/>
          <w:marTop w:val="0"/>
          <w:marBottom w:val="0"/>
          <w:divBdr>
            <w:top w:val="none" w:sz="0" w:space="0" w:color="auto"/>
            <w:left w:val="none" w:sz="0" w:space="0" w:color="auto"/>
            <w:bottom w:val="none" w:sz="0" w:space="0" w:color="auto"/>
            <w:right w:val="none" w:sz="0" w:space="0" w:color="auto"/>
          </w:divBdr>
        </w:div>
        <w:div w:id="1026254605">
          <w:marLeft w:val="0"/>
          <w:marRight w:val="0"/>
          <w:marTop w:val="0"/>
          <w:marBottom w:val="0"/>
          <w:divBdr>
            <w:top w:val="none" w:sz="0" w:space="0" w:color="auto"/>
            <w:left w:val="none" w:sz="0" w:space="0" w:color="auto"/>
            <w:bottom w:val="none" w:sz="0" w:space="0" w:color="auto"/>
            <w:right w:val="none" w:sz="0" w:space="0" w:color="auto"/>
          </w:divBdr>
        </w:div>
        <w:div w:id="1050959787">
          <w:marLeft w:val="0"/>
          <w:marRight w:val="0"/>
          <w:marTop w:val="0"/>
          <w:marBottom w:val="0"/>
          <w:divBdr>
            <w:top w:val="none" w:sz="0" w:space="0" w:color="auto"/>
            <w:left w:val="none" w:sz="0" w:space="0" w:color="auto"/>
            <w:bottom w:val="none" w:sz="0" w:space="0" w:color="auto"/>
            <w:right w:val="none" w:sz="0" w:space="0" w:color="auto"/>
          </w:divBdr>
        </w:div>
        <w:div w:id="1255551424">
          <w:marLeft w:val="0"/>
          <w:marRight w:val="0"/>
          <w:marTop w:val="0"/>
          <w:marBottom w:val="0"/>
          <w:divBdr>
            <w:top w:val="none" w:sz="0" w:space="0" w:color="auto"/>
            <w:left w:val="none" w:sz="0" w:space="0" w:color="auto"/>
            <w:bottom w:val="none" w:sz="0" w:space="0" w:color="auto"/>
            <w:right w:val="none" w:sz="0" w:space="0" w:color="auto"/>
          </w:divBdr>
        </w:div>
        <w:div w:id="1343701078">
          <w:marLeft w:val="0"/>
          <w:marRight w:val="0"/>
          <w:marTop w:val="0"/>
          <w:marBottom w:val="0"/>
          <w:divBdr>
            <w:top w:val="none" w:sz="0" w:space="0" w:color="auto"/>
            <w:left w:val="none" w:sz="0" w:space="0" w:color="auto"/>
            <w:bottom w:val="none" w:sz="0" w:space="0" w:color="auto"/>
            <w:right w:val="none" w:sz="0" w:space="0" w:color="auto"/>
          </w:divBdr>
        </w:div>
        <w:div w:id="1405294506">
          <w:marLeft w:val="0"/>
          <w:marRight w:val="0"/>
          <w:marTop w:val="0"/>
          <w:marBottom w:val="0"/>
          <w:divBdr>
            <w:top w:val="none" w:sz="0" w:space="0" w:color="auto"/>
            <w:left w:val="none" w:sz="0" w:space="0" w:color="auto"/>
            <w:bottom w:val="none" w:sz="0" w:space="0" w:color="auto"/>
            <w:right w:val="none" w:sz="0" w:space="0" w:color="auto"/>
          </w:divBdr>
        </w:div>
        <w:div w:id="1594432660">
          <w:marLeft w:val="0"/>
          <w:marRight w:val="0"/>
          <w:marTop w:val="0"/>
          <w:marBottom w:val="0"/>
          <w:divBdr>
            <w:top w:val="none" w:sz="0" w:space="0" w:color="auto"/>
            <w:left w:val="none" w:sz="0" w:space="0" w:color="auto"/>
            <w:bottom w:val="none" w:sz="0" w:space="0" w:color="auto"/>
            <w:right w:val="none" w:sz="0" w:space="0" w:color="auto"/>
          </w:divBdr>
        </w:div>
        <w:div w:id="1656252875">
          <w:marLeft w:val="0"/>
          <w:marRight w:val="0"/>
          <w:marTop w:val="0"/>
          <w:marBottom w:val="0"/>
          <w:divBdr>
            <w:top w:val="none" w:sz="0" w:space="0" w:color="auto"/>
            <w:left w:val="none" w:sz="0" w:space="0" w:color="auto"/>
            <w:bottom w:val="none" w:sz="0" w:space="0" w:color="auto"/>
            <w:right w:val="none" w:sz="0" w:space="0" w:color="auto"/>
          </w:divBdr>
        </w:div>
        <w:div w:id="1718623003">
          <w:marLeft w:val="0"/>
          <w:marRight w:val="0"/>
          <w:marTop w:val="0"/>
          <w:marBottom w:val="0"/>
          <w:divBdr>
            <w:top w:val="none" w:sz="0" w:space="0" w:color="auto"/>
            <w:left w:val="none" w:sz="0" w:space="0" w:color="auto"/>
            <w:bottom w:val="none" w:sz="0" w:space="0" w:color="auto"/>
            <w:right w:val="none" w:sz="0" w:space="0" w:color="auto"/>
          </w:divBdr>
        </w:div>
        <w:div w:id="1870727355">
          <w:marLeft w:val="0"/>
          <w:marRight w:val="0"/>
          <w:marTop w:val="0"/>
          <w:marBottom w:val="0"/>
          <w:divBdr>
            <w:top w:val="none" w:sz="0" w:space="0" w:color="auto"/>
            <w:left w:val="none" w:sz="0" w:space="0" w:color="auto"/>
            <w:bottom w:val="none" w:sz="0" w:space="0" w:color="auto"/>
            <w:right w:val="none" w:sz="0" w:space="0" w:color="auto"/>
          </w:divBdr>
        </w:div>
        <w:div w:id="1939367008">
          <w:marLeft w:val="0"/>
          <w:marRight w:val="0"/>
          <w:marTop w:val="0"/>
          <w:marBottom w:val="0"/>
          <w:divBdr>
            <w:top w:val="none" w:sz="0" w:space="0" w:color="auto"/>
            <w:left w:val="none" w:sz="0" w:space="0" w:color="auto"/>
            <w:bottom w:val="none" w:sz="0" w:space="0" w:color="auto"/>
            <w:right w:val="none" w:sz="0" w:space="0" w:color="auto"/>
          </w:divBdr>
        </w:div>
        <w:div w:id="1947885325">
          <w:marLeft w:val="0"/>
          <w:marRight w:val="0"/>
          <w:marTop w:val="0"/>
          <w:marBottom w:val="0"/>
          <w:divBdr>
            <w:top w:val="none" w:sz="0" w:space="0" w:color="auto"/>
            <w:left w:val="none" w:sz="0" w:space="0" w:color="auto"/>
            <w:bottom w:val="none" w:sz="0" w:space="0" w:color="auto"/>
            <w:right w:val="none" w:sz="0" w:space="0" w:color="auto"/>
          </w:divBdr>
        </w:div>
        <w:div w:id="2066442659">
          <w:marLeft w:val="0"/>
          <w:marRight w:val="0"/>
          <w:marTop w:val="0"/>
          <w:marBottom w:val="0"/>
          <w:divBdr>
            <w:top w:val="none" w:sz="0" w:space="0" w:color="auto"/>
            <w:left w:val="none" w:sz="0" w:space="0" w:color="auto"/>
            <w:bottom w:val="none" w:sz="0" w:space="0" w:color="auto"/>
            <w:right w:val="none" w:sz="0" w:space="0" w:color="auto"/>
          </w:divBdr>
        </w:div>
      </w:divsChild>
    </w:div>
    <w:div w:id="1019697053">
      <w:bodyDiv w:val="1"/>
      <w:marLeft w:val="0"/>
      <w:marRight w:val="0"/>
      <w:marTop w:val="0"/>
      <w:marBottom w:val="0"/>
      <w:divBdr>
        <w:top w:val="none" w:sz="0" w:space="0" w:color="auto"/>
        <w:left w:val="none" w:sz="0" w:space="0" w:color="auto"/>
        <w:bottom w:val="none" w:sz="0" w:space="0" w:color="auto"/>
        <w:right w:val="none" w:sz="0" w:space="0" w:color="auto"/>
      </w:divBdr>
      <w:divsChild>
        <w:div w:id="1708525890">
          <w:marLeft w:val="0"/>
          <w:marRight w:val="0"/>
          <w:marTop w:val="0"/>
          <w:marBottom w:val="0"/>
          <w:divBdr>
            <w:top w:val="none" w:sz="0" w:space="0" w:color="auto"/>
            <w:left w:val="none" w:sz="0" w:space="0" w:color="auto"/>
            <w:bottom w:val="none" w:sz="0" w:space="0" w:color="auto"/>
            <w:right w:val="none" w:sz="0" w:space="0" w:color="auto"/>
          </w:divBdr>
        </w:div>
      </w:divsChild>
    </w:div>
    <w:div w:id="1031760656">
      <w:bodyDiv w:val="1"/>
      <w:marLeft w:val="0"/>
      <w:marRight w:val="0"/>
      <w:marTop w:val="0"/>
      <w:marBottom w:val="0"/>
      <w:divBdr>
        <w:top w:val="none" w:sz="0" w:space="0" w:color="auto"/>
        <w:left w:val="none" w:sz="0" w:space="0" w:color="auto"/>
        <w:bottom w:val="none" w:sz="0" w:space="0" w:color="auto"/>
        <w:right w:val="none" w:sz="0" w:space="0" w:color="auto"/>
      </w:divBdr>
      <w:divsChild>
        <w:div w:id="707032147">
          <w:marLeft w:val="0"/>
          <w:marRight w:val="0"/>
          <w:marTop w:val="0"/>
          <w:marBottom w:val="0"/>
          <w:divBdr>
            <w:top w:val="none" w:sz="0" w:space="0" w:color="auto"/>
            <w:left w:val="none" w:sz="0" w:space="0" w:color="auto"/>
            <w:bottom w:val="none" w:sz="0" w:space="0" w:color="auto"/>
            <w:right w:val="none" w:sz="0" w:space="0" w:color="auto"/>
          </w:divBdr>
        </w:div>
      </w:divsChild>
    </w:div>
    <w:div w:id="1036810633">
      <w:bodyDiv w:val="1"/>
      <w:marLeft w:val="0"/>
      <w:marRight w:val="0"/>
      <w:marTop w:val="0"/>
      <w:marBottom w:val="0"/>
      <w:divBdr>
        <w:top w:val="none" w:sz="0" w:space="0" w:color="auto"/>
        <w:left w:val="none" w:sz="0" w:space="0" w:color="auto"/>
        <w:bottom w:val="none" w:sz="0" w:space="0" w:color="auto"/>
        <w:right w:val="none" w:sz="0" w:space="0" w:color="auto"/>
      </w:divBdr>
      <w:divsChild>
        <w:div w:id="437066966">
          <w:marLeft w:val="0"/>
          <w:marRight w:val="0"/>
          <w:marTop w:val="0"/>
          <w:marBottom w:val="0"/>
          <w:divBdr>
            <w:top w:val="none" w:sz="0" w:space="0" w:color="auto"/>
            <w:left w:val="none" w:sz="0" w:space="0" w:color="auto"/>
            <w:bottom w:val="none" w:sz="0" w:space="0" w:color="auto"/>
            <w:right w:val="none" w:sz="0" w:space="0" w:color="auto"/>
          </w:divBdr>
        </w:div>
      </w:divsChild>
    </w:div>
    <w:div w:id="1041393788">
      <w:bodyDiv w:val="1"/>
      <w:marLeft w:val="0"/>
      <w:marRight w:val="0"/>
      <w:marTop w:val="0"/>
      <w:marBottom w:val="0"/>
      <w:divBdr>
        <w:top w:val="none" w:sz="0" w:space="0" w:color="auto"/>
        <w:left w:val="none" w:sz="0" w:space="0" w:color="auto"/>
        <w:bottom w:val="none" w:sz="0" w:space="0" w:color="auto"/>
        <w:right w:val="none" w:sz="0" w:space="0" w:color="auto"/>
      </w:divBdr>
      <w:divsChild>
        <w:div w:id="516963834">
          <w:marLeft w:val="0"/>
          <w:marRight w:val="0"/>
          <w:marTop w:val="0"/>
          <w:marBottom w:val="0"/>
          <w:divBdr>
            <w:top w:val="none" w:sz="0" w:space="0" w:color="auto"/>
            <w:left w:val="none" w:sz="0" w:space="0" w:color="auto"/>
            <w:bottom w:val="none" w:sz="0" w:space="0" w:color="auto"/>
            <w:right w:val="none" w:sz="0" w:space="0" w:color="auto"/>
          </w:divBdr>
        </w:div>
      </w:divsChild>
    </w:div>
    <w:div w:id="1046635510">
      <w:bodyDiv w:val="1"/>
      <w:marLeft w:val="0"/>
      <w:marRight w:val="0"/>
      <w:marTop w:val="0"/>
      <w:marBottom w:val="0"/>
      <w:divBdr>
        <w:top w:val="none" w:sz="0" w:space="0" w:color="auto"/>
        <w:left w:val="none" w:sz="0" w:space="0" w:color="auto"/>
        <w:bottom w:val="none" w:sz="0" w:space="0" w:color="auto"/>
        <w:right w:val="none" w:sz="0" w:space="0" w:color="auto"/>
      </w:divBdr>
      <w:divsChild>
        <w:div w:id="602762192">
          <w:marLeft w:val="0"/>
          <w:marRight w:val="0"/>
          <w:marTop w:val="0"/>
          <w:marBottom w:val="0"/>
          <w:divBdr>
            <w:top w:val="none" w:sz="0" w:space="0" w:color="auto"/>
            <w:left w:val="none" w:sz="0" w:space="0" w:color="auto"/>
            <w:bottom w:val="none" w:sz="0" w:space="0" w:color="auto"/>
            <w:right w:val="none" w:sz="0" w:space="0" w:color="auto"/>
          </w:divBdr>
          <w:divsChild>
            <w:div w:id="1209688325">
              <w:marLeft w:val="0"/>
              <w:marRight w:val="0"/>
              <w:marTop w:val="0"/>
              <w:marBottom w:val="0"/>
              <w:divBdr>
                <w:top w:val="none" w:sz="0" w:space="0" w:color="auto"/>
                <w:left w:val="none" w:sz="0" w:space="0" w:color="auto"/>
                <w:bottom w:val="none" w:sz="0" w:space="0" w:color="auto"/>
                <w:right w:val="none" w:sz="0" w:space="0" w:color="auto"/>
              </w:divBdr>
            </w:div>
            <w:div w:id="1367366994">
              <w:marLeft w:val="0"/>
              <w:marRight w:val="0"/>
              <w:marTop w:val="0"/>
              <w:marBottom w:val="0"/>
              <w:divBdr>
                <w:top w:val="none" w:sz="0" w:space="0" w:color="auto"/>
                <w:left w:val="none" w:sz="0" w:space="0" w:color="auto"/>
                <w:bottom w:val="none" w:sz="0" w:space="0" w:color="auto"/>
                <w:right w:val="none" w:sz="0" w:space="0" w:color="auto"/>
              </w:divBdr>
            </w:div>
            <w:div w:id="1426999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190866">
      <w:bodyDiv w:val="1"/>
      <w:marLeft w:val="0"/>
      <w:marRight w:val="0"/>
      <w:marTop w:val="0"/>
      <w:marBottom w:val="0"/>
      <w:divBdr>
        <w:top w:val="none" w:sz="0" w:space="0" w:color="auto"/>
        <w:left w:val="none" w:sz="0" w:space="0" w:color="auto"/>
        <w:bottom w:val="none" w:sz="0" w:space="0" w:color="auto"/>
        <w:right w:val="none" w:sz="0" w:space="0" w:color="auto"/>
      </w:divBdr>
      <w:divsChild>
        <w:div w:id="86928690">
          <w:marLeft w:val="0"/>
          <w:marRight w:val="0"/>
          <w:marTop w:val="0"/>
          <w:marBottom w:val="0"/>
          <w:divBdr>
            <w:top w:val="none" w:sz="0" w:space="0" w:color="auto"/>
            <w:left w:val="none" w:sz="0" w:space="0" w:color="auto"/>
            <w:bottom w:val="none" w:sz="0" w:space="0" w:color="auto"/>
            <w:right w:val="none" w:sz="0" w:space="0" w:color="auto"/>
          </w:divBdr>
        </w:div>
      </w:divsChild>
    </w:div>
    <w:div w:id="1069496703">
      <w:bodyDiv w:val="1"/>
      <w:marLeft w:val="0"/>
      <w:marRight w:val="0"/>
      <w:marTop w:val="0"/>
      <w:marBottom w:val="0"/>
      <w:divBdr>
        <w:top w:val="none" w:sz="0" w:space="0" w:color="auto"/>
        <w:left w:val="none" w:sz="0" w:space="0" w:color="auto"/>
        <w:bottom w:val="none" w:sz="0" w:space="0" w:color="auto"/>
        <w:right w:val="none" w:sz="0" w:space="0" w:color="auto"/>
      </w:divBdr>
      <w:divsChild>
        <w:div w:id="1505314229">
          <w:marLeft w:val="0"/>
          <w:marRight w:val="0"/>
          <w:marTop w:val="0"/>
          <w:marBottom w:val="0"/>
          <w:divBdr>
            <w:top w:val="none" w:sz="0" w:space="0" w:color="auto"/>
            <w:left w:val="none" w:sz="0" w:space="0" w:color="auto"/>
            <w:bottom w:val="none" w:sz="0" w:space="0" w:color="auto"/>
            <w:right w:val="none" w:sz="0" w:space="0" w:color="auto"/>
          </w:divBdr>
        </w:div>
      </w:divsChild>
    </w:div>
    <w:div w:id="1070807809">
      <w:bodyDiv w:val="1"/>
      <w:marLeft w:val="0"/>
      <w:marRight w:val="0"/>
      <w:marTop w:val="0"/>
      <w:marBottom w:val="0"/>
      <w:divBdr>
        <w:top w:val="none" w:sz="0" w:space="0" w:color="auto"/>
        <w:left w:val="none" w:sz="0" w:space="0" w:color="auto"/>
        <w:bottom w:val="none" w:sz="0" w:space="0" w:color="auto"/>
        <w:right w:val="none" w:sz="0" w:space="0" w:color="auto"/>
      </w:divBdr>
      <w:divsChild>
        <w:div w:id="277758558">
          <w:marLeft w:val="0"/>
          <w:marRight w:val="0"/>
          <w:marTop w:val="0"/>
          <w:marBottom w:val="0"/>
          <w:divBdr>
            <w:top w:val="none" w:sz="0" w:space="0" w:color="auto"/>
            <w:left w:val="none" w:sz="0" w:space="0" w:color="auto"/>
            <w:bottom w:val="none" w:sz="0" w:space="0" w:color="auto"/>
            <w:right w:val="none" w:sz="0" w:space="0" w:color="auto"/>
          </w:divBdr>
        </w:div>
        <w:div w:id="696124331">
          <w:marLeft w:val="0"/>
          <w:marRight w:val="0"/>
          <w:marTop w:val="0"/>
          <w:marBottom w:val="0"/>
          <w:divBdr>
            <w:top w:val="none" w:sz="0" w:space="0" w:color="auto"/>
            <w:left w:val="none" w:sz="0" w:space="0" w:color="auto"/>
            <w:bottom w:val="none" w:sz="0" w:space="0" w:color="auto"/>
            <w:right w:val="none" w:sz="0" w:space="0" w:color="auto"/>
          </w:divBdr>
        </w:div>
        <w:div w:id="863783809">
          <w:marLeft w:val="0"/>
          <w:marRight w:val="0"/>
          <w:marTop w:val="0"/>
          <w:marBottom w:val="0"/>
          <w:divBdr>
            <w:top w:val="none" w:sz="0" w:space="0" w:color="auto"/>
            <w:left w:val="none" w:sz="0" w:space="0" w:color="auto"/>
            <w:bottom w:val="none" w:sz="0" w:space="0" w:color="auto"/>
            <w:right w:val="none" w:sz="0" w:space="0" w:color="auto"/>
          </w:divBdr>
        </w:div>
        <w:div w:id="1689721648">
          <w:marLeft w:val="0"/>
          <w:marRight w:val="0"/>
          <w:marTop w:val="0"/>
          <w:marBottom w:val="0"/>
          <w:divBdr>
            <w:top w:val="none" w:sz="0" w:space="0" w:color="auto"/>
            <w:left w:val="none" w:sz="0" w:space="0" w:color="auto"/>
            <w:bottom w:val="none" w:sz="0" w:space="0" w:color="auto"/>
            <w:right w:val="none" w:sz="0" w:space="0" w:color="auto"/>
          </w:divBdr>
        </w:div>
      </w:divsChild>
    </w:div>
    <w:div w:id="1075083866">
      <w:bodyDiv w:val="1"/>
      <w:marLeft w:val="0"/>
      <w:marRight w:val="0"/>
      <w:marTop w:val="0"/>
      <w:marBottom w:val="0"/>
      <w:divBdr>
        <w:top w:val="none" w:sz="0" w:space="0" w:color="auto"/>
        <w:left w:val="none" w:sz="0" w:space="0" w:color="auto"/>
        <w:bottom w:val="none" w:sz="0" w:space="0" w:color="auto"/>
        <w:right w:val="none" w:sz="0" w:space="0" w:color="auto"/>
      </w:divBdr>
      <w:divsChild>
        <w:div w:id="1884554118">
          <w:marLeft w:val="0"/>
          <w:marRight w:val="0"/>
          <w:marTop w:val="0"/>
          <w:marBottom w:val="0"/>
          <w:divBdr>
            <w:top w:val="none" w:sz="0" w:space="0" w:color="auto"/>
            <w:left w:val="none" w:sz="0" w:space="0" w:color="auto"/>
            <w:bottom w:val="none" w:sz="0" w:space="0" w:color="auto"/>
            <w:right w:val="none" w:sz="0" w:space="0" w:color="auto"/>
          </w:divBdr>
        </w:div>
      </w:divsChild>
    </w:div>
    <w:div w:id="1083333834">
      <w:bodyDiv w:val="1"/>
      <w:marLeft w:val="0"/>
      <w:marRight w:val="0"/>
      <w:marTop w:val="0"/>
      <w:marBottom w:val="0"/>
      <w:divBdr>
        <w:top w:val="none" w:sz="0" w:space="0" w:color="auto"/>
        <w:left w:val="none" w:sz="0" w:space="0" w:color="auto"/>
        <w:bottom w:val="none" w:sz="0" w:space="0" w:color="auto"/>
        <w:right w:val="none" w:sz="0" w:space="0" w:color="auto"/>
      </w:divBdr>
      <w:divsChild>
        <w:div w:id="1807504355">
          <w:marLeft w:val="0"/>
          <w:marRight w:val="0"/>
          <w:marTop w:val="0"/>
          <w:marBottom w:val="0"/>
          <w:divBdr>
            <w:top w:val="none" w:sz="0" w:space="0" w:color="auto"/>
            <w:left w:val="none" w:sz="0" w:space="0" w:color="auto"/>
            <w:bottom w:val="none" w:sz="0" w:space="0" w:color="auto"/>
            <w:right w:val="none" w:sz="0" w:space="0" w:color="auto"/>
          </w:divBdr>
        </w:div>
      </w:divsChild>
    </w:div>
    <w:div w:id="1086538421">
      <w:bodyDiv w:val="1"/>
      <w:marLeft w:val="0"/>
      <w:marRight w:val="0"/>
      <w:marTop w:val="0"/>
      <w:marBottom w:val="0"/>
      <w:divBdr>
        <w:top w:val="none" w:sz="0" w:space="0" w:color="auto"/>
        <w:left w:val="none" w:sz="0" w:space="0" w:color="auto"/>
        <w:bottom w:val="none" w:sz="0" w:space="0" w:color="auto"/>
        <w:right w:val="none" w:sz="0" w:space="0" w:color="auto"/>
      </w:divBdr>
      <w:divsChild>
        <w:div w:id="793016667">
          <w:marLeft w:val="0"/>
          <w:marRight w:val="0"/>
          <w:marTop w:val="0"/>
          <w:marBottom w:val="0"/>
          <w:divBdr>
            <w:top w:val="none" w:sz="0" w:space="0" w:color="auto"/>
            <w:left w:val="none" w:sz="0" w:space="0" w:color="auto"/>
            <w:bottom w:val="none" w:sz="0" w:space="0" w:color="auto"/>
            <w:right w:val="none" w:sz="0" w:space="0" w:color="auto"/>
          </w:divBdr>
        </w:div>
      </w:divsChild>
    </w:div>
    <w:div w:id="1098020664">
      <w:bodyDiv w:val="1"/>
      <w:marLeft w:val="0"/>
      <w:marRight w:val="0"/>
      <w:marTop w:val="0"/>
      <w:marBottom w:val="0"/>
      <w:divBdr>
        <w:top w:val="none" w:sz="0" w:space="0" w:color="auto"/>
        <w:left w:val="none" w:sz="0" w:space="0" w:color="auto"/>
        <w:bottom w:val="none" w:sz="0" w:space="0" w:color="auto"/>
        <w:right w:val="none" w:sz="0" w:space="0" w:color="auto"/>
      </w:divBdr>
      <w:divsChild>
        <w:div w:id="141972828">
          <w:marLeft w:val="0"/>
          <w:marRight w:val="0"/>
          <w:marTop w:val="0"/>
          <w:marBottom w:val="0"/>
          <w:divBdr>
            <w:top w:val="none" w:sz="0" w:space="0" w:color="auto"/>
            <w:left w:val="none" w:sz="0" w:space="0" w:color="auto"/>
            <w:bottom w:val="none" w:sz="0" w:space="0" w:color="auto"/>
            <w:right w:val="none" w:sz="0" w:space="0" w:color="auto"/>
          </w:divBdr>
        </w:div>
      </w:divsChild>
    </w:div>
    <w:div w:id="1108307671">
      <w:bodyDiv w:val="1"/>
      <w:marLeft w:val="0"/>
      <w:marRight w:val="0"/>
      <w:marTop w:val="0"/>
      <w:marBottom w:val="0"/>
      <w:divBdr>
        <w:top w:val="none" w:sz="0" w:space="0" w:color="auto"/>
        <w:left w:val="none" w:sz="0" w:space="0" w:color="auto"/>
        <w:bottom w:val="none" w:sz="0" w:space="0" w:color="auto"/>
        <w:right w:val="none" w:sz="0" w:space="0" w:color="auto"/>
      </w:divBdr>
      <w:divsChild>
        <w:div w:id="695816626">
          <w:marLeft w:val="0"/>
          <w:marRight w:val="0"/>
          <w:marTop w:val="0"/>
          <w:marBottom w:val="0"/>
          <w:divBdr>
            <w:top w:val="none" w:sz="0" w:space="0" w:color="auto"/>
            <w:left w:val="none" w:sz="0" w:space="0" w:color="auto"/>
            <w:bottom w:val="none" w:sz="0" w:space="0" w:color="auto"/>
            <w:right w:val="none" w:sz="0" w:space="0" w:color="auto"/>
          </w:divBdr>
        </w:div>
      </w:divsChild>
    </w:div>
    <w:div w:id="1108701006">
      <w:bodyDiv w:val="1"/>
      <w:marLeft w:val="0"/>
      <w:marRight w:val="0"/>
      <w:marTop w:val="0"/>
      <w:marBottom w:val="0"/>
      <w:divBdr>
        <w:top w:val="none" w:sz="0" w:space="0" w:color="auto"/>
        <w:left w:val="none" w:sz="0" w:space="0" w:color="auto"/>
        <w:bottom w:val="none" w:sz="0" w:space="0" w:color="auto"/>
        <w:right w:val="none" w:sz="0" w:space="0" w:color="auto"/>
      </w:divBdr>
      <w:divsChild>
        <w:div w:id="629559650">
          <w:marLeft w:val="0"/>
          <w:marRight w:val="0"/>
          <w:marTop w:val="0"/>
          <w:marBottom w:val="0"/>
          <w:divBdr>
            <w:top w:val="none" w:sz="0" w:space="0" w:color="auto"/>
            <w:left w:val="none" w:sz="0" w:space="0" w:color="auto"/>
            <w:bottom w:val="none" w:sz="0" w:space="0" w:color="auto"/>
            <w:right w:val="none" w:sz="0" w:space="0" w:color="auto"/>
          </w:divBdr>
        </w:div>
      </w:divsChild>
    </w:div>
    <w:div w:id="1113017145">
      <w:bodyDiv w:val="1"/>
      <w:marLeft w:val="0"/>
      <w:marRight w:val="0"/>
      <w:marTop w:val="0"/>
      <w:marBottom w:val="0"/>
      <w:divBdr>
        <w:top w:val="none" w:sz="0" w:space="0" w:color="auto"/>
        <w:left w:val="none" w:sz="0" w:space="0" w:color="auto"/>
        <w:bottom w:val="none" w:sz="0" w:space="0" w:color="auto"/>
        <w:right w:val="none" w:sz="0" w:space="0" w:color="auto"/>
      </w:divBdr>
      <w:divsChild>
        <w:div w:id="917056433">
          <w:marLeft w:val="0"/>
          <w:marRight w:val="0"/>
          <w:marTop w:val="0"/>
          <w:marBottom w:val="0"/>
          <w:divBdr>
            <w:top w:val="none" w:sz="0" w:space="0" w:color="auto"/>
            <w:left w:val="none" w:sz="0" w:space="0" w:color="auto"/>
            <w:bottom w:val="none" w:sz="0" w:space="0" w:color="auto"/>
            <w:right w:val="none" w:sz="0" w:space="0" w:color="auto"/>
          </w:divBdr>
        </w:div>
      </w:divsChild>
    </w:div>
    <w:div w:id="1114910945">
      <w:bodyDiv w:val="1"/>
      <w:marLeft w:val="0"/>
      <w:marRight w:val="0"/>
      <w:marTop w:val="0"/>
      <w:marBottom w:val="0"/>
      <w:divBdr>
        <w:top w:val="none" w:sz="0" w:space="0" w:color="auto"/>
        <w:left w:val="none" w:sz="0" w:space="0" w:color="auto"/>
        <w:bottom w:val="none" w:sz="0" w:space="0" w:color="auto"/>
        <w:right w:val="none" w:sz="0" w:space="0" w:color="auto"/>
      </w:divBdr>
      <w:divsChild>
        <w:div w:id="1733427926">
          <w:marLeft w:val="0"/>
          <w:marRight w:val="0"/>
          <w:marTop w:val="0"/>
          <w:marBottom w:val="0"/>
          <w:divBdr>
            <w:top w:val="none" w:sz="0" w:space="0" w:color="auto"/>
            <w:left w:val="none" w:sz="0" w:space="0" w:color="auto"/>
            <w:bottom w:val="none" w:sz="0" w:space="0" w:color="auto"/>
            <w:right w:val="none" w:sz="0" w:space="0" w:color="auto"/>
          </w:divBdr>
        </w:div>
      </w:divsChild>
    </w:div>
    <w:div w:id="1125586061">
      <w:bodyDiv w:val="1"/>
      <w:marLeft w:val="0"/>
      <w:marRight w:val="0"/>
      <w:marTop w:val="0"/>
      <w:marBottom w:val="0"/>
      <w:divBdr>
        <w:top w:val="none" w:sz="0" w:space="0" w:color="auto"/>
        <w:left w:val="none" w:sz="0" w:space="0" w:color="auto"/>
        <w:bottom w:val="none" w:sz="0" w:space="0" w:color="auto"/>
        <w:right w:val="none" w:sz="0" w:space="0" w:color="auto"/>
      </w:divBdr>
      <w:divsChild>
        <w:div w:id="303200560">
          <w:marLeft w:val="0"/>
          <w:marRight w:val="0"/>
          <w:marTop w:val="0"/>
          <w:marBottom w:val="0"/>
          <w:divBdr>
            <w:top w:val="none" w:sz="0" w:space="0" w:color="auto"/>
            <w:left w:val="none" w:sz="0" w:space="0" w:color="auto"/>
            <w:bottom w:val="none" w:sz="0" w:space="0" w:color="auto"/>
            <w:right w:val="none" w:sz="0" w:space="0" w:color="auto"/>
          </w:divBdr>
        </w:div>
      </w:divsChild>
    </w:div>
    <w:div w:id="1125737351">
      <w:bodyDiv w:val="1"/>
      <w:marLeft w:val="0"/>
      <w:marRight w:val="0"/>
      <w:marTop w:val="0"/>
      <w:marBottom w:val="0"/>
      <w:divBdr>
        <w:top w:val="none" w:sz="0" w:space="0" w:color="auto"/>
        <w:left w:val="none" w:sz="0" w:space="0" w:color="auto"/>
        <w:bottom w:val="none" w:sz="0" w:space="0" w:color="auto"/>
        <w:right w:val="none" w:sz="0" w:space="0" w:color="auto"/>
      </w:divBdr>
      <w:divsChild>
        <w:div w:id="592586643">
          <w:marLeft w:val="0"/>
          <w:marRight w:val="0"/>
          <w:marTop w:val="0"/>
          <w:marBottom w:val="0"/>
          <w:divBdr>
            <w:top w:val="none" w:sz="0" w:space="0" w:color="auto"/>
            <w:left w:val="none" w:sz="0" w:space="0" w:color="auto"/>
            <w:bottom w:val="none" w:sz="0" w:space="0" w:color="auto"/>
            <w:right w:val="none" w:sz="0" w:space="0" w:color="auto"/>
          </w:divBdr>
        </w:div>
      </w:divsChild>
    </w:div>
    <w:div w:id="1127551363">
      <w:bodyDiv w:val="1"/>
      <w:marLeft w:val="0"/>
      <w:marRight w:val="0"/>
      <w:marTop w:val="0"/>
      <w:marBottom w:val="0"/>
      <w:divBdr>
        <w:top w:val="none" w:sz="0" w:space="0" w:color="auto"/>
        <w:left w:val="none" w:sz="0" w:space="0" w:color="auto"/>
        <w:bottom w:val="none" w:sz="0" w:space="0" w:color="auto"/>
        <w:right w:val="none" w:sz="0" w:space="0" w:color="auto"/>
      </w:divBdr>
      <w:divsChild>
        <w:div w:id="892470828">
          <w:marLeft w:val="0"/>
          <w:marRight w:val="0"/>
          <w:marTop w:val="0"/>
          <w:marBottom w:val="0"/>
          <w:divBdr>
            <w:top w:val="none" w:sz="0" w:space="0" w:color="auto"/>
            <w:left w:val="none" w:sz="0" w:space="0" w:color="auto"/>
            <w:bottom w:val="none" w:sz="0" w:space="0" w:color="auto"/>
            <w:right w:val="none" w:sz="0" w:space="0" w:color="auto"/>
          </w:divBdr>
          <w:divsChild>
            <w:div w:id="2136361320">
              <w:marLeft w:val="0"/>
              <w:marRight w:val="0"/>
              <w:marTop w:val="0"/>
              <w:marBottom w:val="0"/>
              <w:divBdr>
                <w:top w:val="none" w:sz="0" w:space="0" w:color="auto"/>
                <w:left w:val="none" w:sz="0" w:space="0" w:color="auto"/>
                <w:bottom w:val="none" w:sz="0" w:space="0" w:color="auto"/>
                <w:right w:val="none" w:sz="0" w:space="0" w:color="auto"/>
              </w:divBdr>
              <w:divsChild>
                <w:div w:id="879778882">
                  <w:marLeft w:val="0"/>
                  <w:marRight w:val="0"/>
                  <w:marTop w:val="0"/>
                  <w:marBottom w:val="0"/>
                  <w:divBdr>
                    <w:top w:val="none" w:sz="0" w:space="0" w:color="auto"/>
                    <w:left w:val="none" w:sz="0" w:space="0" w:color="auto"/>
                    <w:bottom w:val="none" w:sz="0" w:space="0" w:color="auto"/>
                    <w:right w:val="none" w:sz="0" w:space="0" w:color="auto"/>
                  </w:divBdr>
                  <w:divsChild>
                    <w:div w:id="696928022">
                      <w:marLeft w:val="0"/>
                      <w:marRight w:val="0"/>
                      <w:marTop w:val="0"/>
                      <w:marBottom w:val="0"/>
                      <w:divBdr>
                        <w:top w:val="none" w:sz="0" w:space="0" w:color="auto"/>
                        <w:left w:val="none" w:sz="0" w:space="0" w:color="auto"/>
                        <w:bottom w:val="none" w:sz="0" w:space="0" w:color="auto"/>
                        <w:right w:val="none" w:sz="0" w:space="0" w:color="auto"/>
                      </w:divBdr>
                      <w:divsChild>
                        <w:div w:id="840395901">
                          <w:marLeft w:val="0"/>
                          <w:marRight w:val="0"/>
                          <w:marTop w:val="0"/>
                          <w:marBottom w:val="0"/>
                          <w:divBdr>
                            <w:top w:val="none" w:sz="0" w:space="0" w:color="auto"/>
                            <w:left w:val="none" w:sz="0" w:space="0" w:color="auto"/>
                            <w:bottom w:val="none" w:sz="0" w:space="0" w:color="auto"/>
                            <w:right w:val="none" w:sz="0" w:space="0" w:color="auto"/>
                          </w:divBdr>
                          <w:divsChild>
                            <w:div w:id="1912153272">
                              <w:marLeft w:val="0"/>
                              <w:marRight w:val="0"/>
                              <w:marTop w:val="0"/>
                              <w:marBottom w:val="0"/>
                              <w:divBdr>
                                <w:top w:val="none" w:sz="0" w:space="0" w:color="auto"/>
                                <w:left w:val="none" w:sz="0" w:space="0" w:color="auto"/>
                                <w:bottom w:val="none" w:sz="0" w:space="0" w:color="auto"/>
                                <w:right w:val="none" w:sz="0" w:space="0" w:color="auto"/>
                              </w:divBdr>
                              <w:divsChild>
                                <w:div w:id="264194883">
                                  <w:marLeft w:val="0"/>
                                  <w:marRight w:val="0"/>
                                  <w:marTop w:val="0"/>
                                  <w:marBottom w:val="0"/>
                                  <w:divBdr>
                                    <w:top w:val="none" w:sz="0" w:space="0" w:color="auto"/>
                                    <w:left w:val="none" w:sz="0" w:space="0" w:color="auto"/>
                                    <w:bottom w:val="none" w:sz="0" w:space="0" w:color="auto"/>
                                    <w:right w:val="none" w:sz="0" w:space="0" w:color="auto"/>
                                  </w:divBdr>
                                  <w:divsChild>
                                    <w:div w:id="1861702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32602595">
      <w:bodyDiv w:val="1"/>
      <w:marLeft w:val="0"/>
      <w:marRight w:val="0"/>
      <w:marTop w:val="0"/>
      <w:marBottom w:val="0"/>
      <w:divBdr>
        <w:top w:val="none" w:sz="0" w:space="0" w:color="auto"/>
        <w:left w:val="none" w:sz="0" w:space="0" w:color="auto"/>
        <w:bottom w:val="none" w:sz="0" w:space="0" w:color="auto"/>
        <w:right w:val="none" w:sz="0" w:space="0" w:color="auto"/>
      </w:divBdr>
      <w:divsChild>
        <w:div w:id="552740958">
          <w:marLeft w:val="0"/>
          <w:marRight w:val="0"/>
          <w:marTop w:val="0"/>
          <w:marBottom w:val="0"/>
          <w:divBdr>
            <w:top w:val="none" w:sz="0" w:space="0" w:color="auto"/>
            <w:left w:val="none" w:sz="0" w:space="0" w:color="auto"/>
            <w:bottom w:val="none" w:sz="0" w:space="0" w:color="auto"/>
            <w:right w:val="none" w:sz="0" w:space="0" w:color="auto"/>
          </w:divBdr>
        </w:div>
      </w:divsChild>
    </w:div>
    <w:div w:id="1140152690">
      <w:bodyDiv w:val="1"/>
      <w:marLeft w:val="0"/>
      <w:marRight w:val="0"/>
      <w:marTop w:val="0"/>
      <w:marBottom w:val="0"/>
      <w:divBdr>
        <w:top w:val="none" w:sz="0" w:space="0" w:color="auto"/>
        <w:left w:val="none" w:sz="0" w:space="0" w:color="auto"/>
        <w:bottom w:val="none" w:sz="0" w:space="0" w:color="auto"/>
        <w:right w:val="none" w:sz="0" w:space="0" w:color="auto"/>
      </w:divBdr>
      <w:divsChild>
        <w:div w:id="2019964987">
          <w:marLeft w:val="0"/>
          <w:marRight w:val="0"/>
          <w:marTop w:val="0"/>
          <w:marBottom w:val="0"/>
          <w:divBdr>
            <w:top w:val="none" w:sz="0" w:space="0" w:color="auto"/>
            <w:left w:val="none" w:sz="0" w:space="0" w:color="auto"/>
            <w:bottom w:val="none" w:sz="0" w:space="0" w:color="auto"/>
            <w:right w:val="none" w:sz="0" w:space="0" w:color="auto"/>
          </w:divBdr>
        </w:div>
      </w:divsChild>
    </w:div>
    <w:div w:id="1156258603">
      <w:bodyDiv w:val="1"/>
      <w:marLeft w:val="0"/>
      <w:marRight w:val="0"/>
      <w:marTop w:val="0"/>
      <w:marBottom w:val="0"/>
      <w:divBdr>
        <w:top w:val="none" w:sz="0" w:space="0" w:color="auto"/>
        <w:left w:val="none" w:sz="0" w:space="0" w:color="auto"/>
        <w:bottom w:val="none" w:sz="0" w:space="0" w:color="auto"/>
        <w:right w:val="none" w:sz="0" w:space="0" w:color="auto"/>
      </w:divBdr>
      <w:divsChild>
        <w:div w:id="527183152">
          <w:marLeft w:val="0"/>
          <w:marRight w:val="0"/>
          <w:marTop w:val="0"/>
          <w:marBottom w:val="0"/>
          <w:divBdr>
            <w:top w:val="none" w:sz="0" w:space="0" w:color="auto"/>
            <w:left w:val="none" w:sz="0" w:space="0" w:color="auto"/>
            <w:bottom w:val="none" w:sz="0" w:space="0" w:color="auto"/>
            <w:right w:val="none" w:sz="0" w:space="0" w:color="auto"/>
          </w:divBdr>
        </w:div>
        <w:div w:id="700009396">
          <w:marLeft w:val="0"/>
          <w:marRight w:val="0"/>
          <w:marTop w:val="0"/>
          <w:marBottom w:val="0"/>
          <w:divBdr>
            <w:top w:val="none" w:sz="0" w:space="0" w:color="auto"/>
            <w:left w:val="none" w:sz="0" w:space="0" w:color="auto"/>
            <w:bottom w:val="none" w:sz="0" w:space="0" w:color="auto"/>
            <w:right w:val="none" w:sz="0" w:space="0" w:color="auto"/>
          </w:divBdr>
        </w:div>
        <w:div w:id="780300995">
          <w:marLeft w:val="0"/>
          <w:marRight w:val="0"/>
          <w:marTop w:val="0"/>
          <w:marBottom w:val="0"/>
          <w:divBdr>
            <w:top w:val="none" w:sz="0" w:space="0" w:color="auto"/>
            <w:left w:val="none" w:sz="0" w:space="0" w:color="auto"/>
            <w:bottom w:val="none" w:sz="0" w:space="0" w:color="auto"/>
            <w:right w:val="none" w:sz="0" w:space="0" w:color="auto"/>
          </w:divBdr>
        </w:div>
        <w:div w:id="861211461">
          <w:marLeft w:val="0"/>
          <w:marRight w:val="0"/>
          <w:marTop w:val="0"/>
          <w:marBottom w:val="0"/>
          <w:divBdr>
            <w:top w:val="none" w:sz="0" w:space="0" w:color="auto"/>
            <w:left w:val="none" w:sz="0" w:space="0" w:color="auto"/>
            <w:bottom w:val="none" w:sz="0" w:space="0" w:color="auto"/>
            <w:right w:val="none" w:sz="0" w:space="0" w:color="auto"/>
          </w:divBdr>
        </w:div>
        <w:div w:id="1542670317">
          <w:marLeft w:val="0"/>
          <w:marRight w:val="0"/>
          <w:marTop w:val="0"/>
          <w:marBottom w:val="0"/>
          <w:divBdr>
            <w:top w:val="none" w:sz="0" w:space="0" w:color="auto"/>
            <w:left w:val="none" w:sz="0" w:space="0" w:color="auto"/>
            <w:bottom w:val="none" w:sz="0" w:space="0" w:color="auto"/>
            <w:right w:val="none" w:sz="0" w:space="0" w:color="auto"/>
          </w:divBdr>
        </w:div>
        <w:div w:id="1615165668">
          <w:marLeft w:val="0"/>
          <w:marRight w:val="0"/>
          <w:marTop w:val="0"/>
          <w:marBottom w:val="0"/>
          <w:divBdr>
            <w:top w:val="none" w:sz="0" w:space="0" w:color="auto"/>
            <w:left w:val="none" w:sz="0" w:space="0" w:color="auto"/>
            <w:bottom w:val="none" w:sz="0" w:space="0" w:color="auto"/>
            <w:right w:val="none" w:sz="0" w:space="0" w:color="auto"/>
          </w:divBdr>
        </w:div>
        <w:div w:id="1728794437">
          <w:marLeft w:val="0"/>
          <w:marRight w:val="0"/>
          <w:marTop w:val="0"/>
          <w:marBottom w:val="0"/>
          <w:divBdr>
            <w:top w:val="none" w:sz="0" w:space="0" w:color="auto"/>
            <w:left w:val="none" w:sz="0" w:space="0" w:color="auto"/>
            <w:bottom w:val="none" w:sz="0" w:space="0" w:color="auto"/>
            <w:right w:val="none" w:sz="0" w:space="0" w:color="auto"/>
          </w:divBdr>
        </w:div>
        <w:div w:id="1737974421">
          <w:marLeft w:val="0"/>
          <w:marRight w:val="0"/>
          <w:marTop w:val="0"/>
          <w:marBottom w:val="0"/>
          <w:divBdr>
            <w:top w:val="none" w:sz="0" w:space="0" w:color="auto"/>
            <w:left w:val="none" w:sz="0" w:space="0" w:color="auto"/>
            <w:bottom w:val="none" w:sz="0" w:space="0" w:color="auto"/>
            <w:right w:val="none" w:sz="0" w:space="0" w:color="auto"/>
          </w:divBdr>
        </w:div>
      </w:divsChild>
    </w:div>
    <w:div w:id="1168791006">
      <w:bodyDiv w:val="1"/>
      <w:marLeft w:val="0"/>
      <w:marRight w:val="0"/>
      <w:marTop w:val="0"/>
      <w:marBottom w:val="0"/>
      <w:divBdr>
        <w:top w:val="none" w:sz="0" w:space="0" w:color="auto"/>
        <w:left w:val="none" w:sz="0" w:space="0" w:color="auto"/>
        <w:bottom w:val="none" w:sz="0" w:space="0" w:color="auto"/>
        <w:right w:val="none" w:sz="0" w:space="0" w:color="auto"/>
      </w:divBdr>
      <w:divsChild>
        <w:div w:id="376590854">
          <w:marLeft w:val="0"/>
          <w:marRight w:val="0"/>
          <w:marTop w:val="0"/>
          <w:marBottom w:val="0"/>
          <w:divBdr>
            <w:top w:val="none" w:sz="0" w:space="0" w:color="auto"/>
            <w:left w:val="none" w:sz="0" w:space="0" w:color="auto"/>
            <w:bottom w:val="none" w:sz="0" w:space="0" w:color="auto"/>
            <w:right w:val="none" w:sz="0" w:space="0" w:color="auto"/>
          </w:divBdr>
        </w:div>
      </w:divsChild>
    </w:div>
    <w:div w:id="1174420913">
      <w:bodyDiv w:val="1"/>
      <w:marLeft w:val="0"/>
      <w:marRight w:val="0"/>
      <w:marTop w:val="0"/>
      <w:marBottom w:val="0"/>
      <w:divBdr>
        <w:top w:val="none" w:sz="0" w:space="0" w:color="auto"/>
        <w:left w:val="none" w:sz="0" w:space="0" w:color="auto"/>
        <w:bottom w:val="none" w:sz="0" w:space="0" w:color="auto"/>
        <w:right w:val="none" w:sz="0" w:space="0" w:color="auto"/>
      </w:divBdr>
      <w:divsChild>
        <w:div w:id="2100716763">
          <w:marLeft w:val="0"/>
          <w:marRight w:val="0"/>
          <w:marTop w:val="0"/>
          <w:marBottom w:val="0"/>
          <w:divBdr>
            <w:top w:val="none" w:sz="0" w:space="0" w:color="auto"/>
            <w:left w:val="none" w:sz="0" w:space="0" w:color="auto"/>
            <w:bottom w:val="none" w:sz="0" w:space="0" w:color="auto"/>
            <w:right w:val="none" w:sz="0" w:space="0" w:color="auto"/>
          </w:divBdr>
        </w:div>
      </w:divsChild>
    </w:div>
    <w:div w:id="1185903251">
      <w:bodyDiv w:val="1"/>
      <w:marLeft w:val="0"/>
      <w:marRight w:val="0"/>
      <w:marTop w:val="0"/>
      <w:marBottom w:val="0"/>
      <w:divBdr>
        <w:top w:val="none" w:sz="0" w:space="0" w:color="auto"/>
        <w:left w:val="none" w:sz="0" w:space="0" w:color="auto"/>
        <w:bottom w:val="none" w:sz="0" w:space="0" w:color="auto"/>
        <w:right w:val="none" w:sz="0" w:space="0" w:color="auto"/>
      </w:divBdr>
    </w:div>
    <w:div w:id="1187258613">
      <w:bodyDiv w:val="1"/>
      <w:marLeft w:val="0"/>
      <w:marRight w:val="0"/>
      <w:marTop w:val="0"/>
      <w:marBottom w:val="0"/>
      <w:divBdr>
        <w:top w:val="none" w:sz="0" w:space="0" w:color="auto"/>
        <w:left w:val="none" w:sz="0" w:space="0" w:color="auto"/>
        <w:bottom w:val="none" w:sz="0" w:space="0" w:color="auto"/>
        <w:right w:val="none" w:sz="0" w:space="0" w:color="auto"/>
      </w:divBdr>
      <w:divsChild>
        <w:div w:id="1520662478">
          <w:marLeft w:val="0"/>
          <w:marRight w:val="0"/>
          <w:marTop w:val="0"/>
          <w:marBottom w:val="0"/>
          <w:divBdr>
            <w:top w:val="none" w:sz="0" w:space="0" w:color="auto"/>
            <w:left w:val="none" w:sz="0" w:space="0" w:color="auto"/>
            <w:bottom w:val="none" w:sz="0" w:space="0" w:color="auto"/>
            <w:right w:val="none" w:sz="0" w:space="0" w:color="auto"/>
          </w:divBdr>
        </w:div>
      </w:divsChild>
    </w:div>
    <w:div w:id="1201473715">
      <w:bodyDiv w:val="1"/>
      <w:marLeft w:val="0"/>
      <w:marRight w:val="0"/>
      <w:marTop w:val="0"/>
      <w:marBottom w:val="0"/>
      <w:divBdr>
        <w:top w:val="none" w:sz="0" w:space="0" w:color="auto"/>
        <w:left w:val="none" w:sz="0" w:space="0" w:color="auto"/>
        <w:bottom w:val="none" w:sz="0" w:space="0" w:color="auto"/>
        <w:right w:val="none" w:sz="0" w:space="0" w:color="auto"/>
      </w:divBdr>
      <w:divsChild>
        <w:div w:id="1542011513">
          <w:marLeft w:val="0"/>
          <w:marRight w:val="0"/>
          <w:marTop w:val="0"/>
          <w:marBottom w:val="0"/>
          <w:divBdr>
            <w:top w:val="none" w:sz="0" w:space="0" w:color="auto"/>
            <w:left w:val="none" w:sz="0" w:space="0" w:color="auto"/>
            <w:bottom w:val="none" w:sz="0" w:space="0" w:color="auto"/>
            <w:right w:val="none" w:sz="0" w:space="0" w:color="auto"/>
          </w:divBdr>
        </w:div>
      </w:divsChild>
    </w:div>
    <w:div w:id="1206983863">
      <w:bodyDiv w:val="1"/>
      <w:marLeft w:val="0"/>
      <w:marRight w:val="0"/>
      <w:marTop w:val="0"/>
      <w:marBottom w:val="0"/>
      <w:divBdr>
        <w:top w:val="none" w:sz="0" w:space="0" w:color="auto"/>
        <w:left w:val="none" w:sz="0" w:space="0" w:color="auto"/>
        <w:bottom w:val="none" w:sz="0" w:space="0" w:color="auto"/>
        <w:right w:val="none" w:sz="0" w:space="0" w:color="auto"/>
      </w:divBdr>
      <w:divsChild>
        <w:div w:id="2092316201">
          <w:marLeft w:val="0"/>
          <w:marRight w:val="0"/>
          <w:marTop w:val="0"/>
          <w:marBottom w:val="0"/>
          <w:divBdr>
            <w:top w:val="none" w:sz="0" w:space="0" w:color="auto"/>
            <w:left w:val="none" w:sz="0" w:space="0" w:color="auto"/>
            <w:bottom w:val="none" w:sz="0" w:space="0" w:color="auto"/>
            <w:right w:val="none" w:sz="0" w:space="0" w:color="auto"/>
          </w:divBdr>
        </w:div>
      </w:divsChild>
    </w:div>
    <w:div w:id="1207060008">
      <w:bodyDiv w:val="1"/>
      <w:marLeft w:val="0"/>
      <w:marRight w:val="0"/>
      <w:marTop w:val="0"/>
      <w:marBottom w:val="0"/>
      <w:divBdr>
        <w:top w:val="none" w:sz="0" w:space="0" w:color="auto"/>
        <w:left w:val="none" w:sz="0" w:space="0" w:color="auto"/>
        <w:bottom w:val="none" w:sz="0" w:space="0" w:color="auto"/>
        <w:right w:val="none" w:sz="0" w:space="0" w:color="auto"/>
      </w:divBdr>
      <w:divsChild>
        <w:div w:id="1259947008">
          <w:marLeft w:val="0"/>
          <w:marRight w:val="0"/>
          <w:marTop w:val="0"/>
          <w:marBottom w:val="0"/>
          <w:divBdr>
            <w:top w:val="none" w:sz="0" w:space="0" w:color="auto"/>
            <w:left w:val="none" w:sz="0" w:space="0" w:color="auto"/>
            <w:bottom w:val="none" w:sz="0" w:space="0" w:color="auto"/>
            <w:right w:val="none" w:sz="0" w:space="0" w:color="auto"/>
          </w:divBdr>
        </w:div>
      </w:divsChild>
    </w:div>
    <w:div w:id="1208682219">
      <w:bodyDiv w:val="1"/>
      <w:marLeft w:val="0"/>
      <w:marRight w:val="0"/>
      <w:marTop w:val="0"/>
      <w:marBottom w:val="0"/>
      <w:divBdr>
        <w:top w:val="none" w:sz="0" w:space="0" w:color="auto"/>
        <w:left w:val="none" w:sz="0" w:space="0" w:color="auto"/>
        <w:bottom w:val="none" w:sz="0" w:space="0" w:color="auto"/>
        <w:right w:val="none" w:sz="0" w:space="0" w:color="auto"/>
      </w:divBdr>
    </w:div>
    <w:div w:id="1221091230">
      <w:bodyDiv w:val="1"/>
      <w:marLeft w:val="0"/>
      <w:marRight w:val="0"/>
      <w:marTop w:val="0"/>
      <w:marBottom w:val="0"/>
      <w:divBdr>
        <w:top w:val="none" w:sz="0" w:space="0" w:color="auto"/>
        <w:left w:val="none" w:sz="0" w:space="0" w:color="auto"/>
        <w:bottom w:val="none" w:sz="0" w:space="0" w:color="auto"/>
        <w:right w:val="none" w:sz="0" w:space="0" w:color="auto"/>
      </w:divBdr>
      <w:divsChild>
        <w:div w:id="1272320744">
          <w:marLeft w:val="0"/>
          <w:marRight w:val="0"/>
          <w:marTop w:val="0"/>
          <w:marBottom w:val="0"/>
          <w:divBdr>
            <w:top w:val="none" w:sz="0" w:space="0" w:color="auto"/>
            <w:left w:val="none" w:sz="0" w:space="0" w:color="auto"/>
            <w:bottom w:val="none" w:sz="0" w:space="0" w:color="auto"/>
            <w:right w:val="none" w:sz="0" w:space="0" w:color="auto"/>
          </w:divBdr>
        </w:div>
      </w:divsChild>
    </w:div>
    <w:div w:id="1232495897">
      <w:bodyDiv w:val="1"/>
      <w:marLeft w:val="0"/>
      <w:marRight w:val="0"/>
      <w:marTop w:val="0"/>
      <w:marBottom w:val="0"/>
      <w:divBdr>
        <w:top w:val="none" w:sz="0" w:space="0" w:color="auto"/>
        <w:left w:val="none" w:sz="0" w:space="0" w:color="auto"/>
        <w:bottom w:val="none" w:sz="0" w:space="0" w:color="auto"/>
        <w:right w:val="none" w:sz="0" w:space="0" w:color="auto"/>
      </w:divBdr>
      <w:divsChild>
        <w:div w:id="471139033">
          <w:marLeft w:val="0"/>
          <w:marRight w:val="0"/>
          <w:marTop w:val="0"/>
          <w:marBottom w:val="0"/>
          <w:divBdr>
            <w:top w:val="none" w:sz="0" w:space="0" w:color="auto"/>
            <w:left w:val="none" w:sz="0" w:space="0" w:color="auto"/>
            <w:bottom w:val="none" w:sz="0" w:space="0" w:color="auto"/>
            <w:right w:val="none" w:sz="0" w:space="0" w:color="auto"/>
          </w:divBdr>
        </w:div>
      </w:divsChild>
    </w:div>
    <w:div w:id="1242065345">
      <w:bodyDiv w:val="1"/>
      <w:marLeft w:val="0"/>
      <w:marRight w:val="0"/>
      <w:marTop w:val="0"/>
      <w:marBottom w:val="0"/>
      <w:divBdr>
        <w:top w:val="none" w:sz="0" w:space="0" w:color="auto"/>
        <w:left w:val="none" w:sz="0" w:space="0" w:color="auto"/>
        <w:bottom w:val="none" w:sz="0" w:space="0" w:color="auto"/>
        <w:right w:val="none" w:sz="0" w:space="0" w:color="auto"/>
      </w:divBdr>
      <w:divsChild>
        <w:div w:id="675690158">
          <w:marLeft w:val="0"/>
          <w:marRight w:val="0"/>
          <w:marTop w:val="0"/>
          <w:marBottom w:val="0"/>
          <w:divBdr>
            <w:top w:val="none" w:sz="0" w:space="0" w:color="auto"/>
            <w:left w:val="none" w:sz="0" w:space="0" w:color="auto"/>
            <w:bottom w:val="none" w:sz="0" w:space="0" w:color="auto"/>
            <w:right w:val="none" w:sz="0" w:space="0" w:color="auto"/>
          </w:divBdr>
        </w:div>
      </w:divsChild>
    </w:div>
    <w:div w:id="1242183105">
      <w:bodyDiv w:val="1"/>
      <w:marLeft w:val="0"/>
      <w:marRight w:val="0"/>
      <w:marTop w:val="0"/>
      <w:marBottom w:val="0"/>
      <w:divBdr>
        <w:top w:val="none" w:sz="0" w:space="0" w:color="auto"/>
        <w:left w:val="none" w:sz="0" w:space="0" w:color="auto"/>
        <w:bottom w:val="none" w:sz="0" w:space="0" w:color="auto"/>
        <w:right w:val="none" w:sz="0" w:space="0" w:color="auto"/>
      </w:divBdr>
      <w:divsChild>
        <w:div w:id="1759669821">
          <w:marLeft w:val="0"/>
          <w:marRight w:val="0"/>
          <w:marTop w:val="0"/>
          <w:marBottom w:val="0"/>
          <w:divBdr>
            <w:top w:val="none" w:sz="0" w:space="0" w:color="auto"/>
            <w:left w:val="none" w:sz="0" w:space="0" w:color="auto"/>
            <w:bottom w:val="none" w:sz="0" w:space="0" w:color="auto"/>
            <w:right w:val="none" w:sz="0" w:space="0" w:color="auto"/>
          </w:divBdr>
        </w:div>
      </w:divsChild>
    </w:div>
    <w:div w:id="1264610896">
      <w:bodyDiv w:val="1"/>
      <w:marLeft w:val="0"/>
      <w:marRight w:val="0"/>
      <w:marTop w:val="0"/>
      <w:marBottom w:val="0"/>
      <w:divBdr>
        <w:top w:val="none" w:sz="0" w:space="0" w:color="auto"/>
        <w:left w:val="none" w:sz="0" w:space="0" w:color="auto"/>
        <w:bottom w:val="none" w:sz="0" w:space="0" w:color="auto"/>
        <w:right w:val="none" w:sz="0" w:space="0" w:color="auto"/>
      </w:divBdr>
    </w:div>
    <w:div w:id="1268731271">
      <w:bodyDiv w:val="1"/>
      <w:marLeft w:val="0"/>
      <w:marRight w:val="0"/>
      <w:marTop w:val="0"/>
      <w:marBottom w:val="0"/>
      <w:divBdr>
        <w:top w:val="none" w:sz="0" w:space="0" w:color="auto"/>
        <w:left w:val="none" w:sz="0" w:space="0" w:color="auto"/>
        <w:bottom w:val="none" w:sz="0" w:space="0" w:color="auto"/>
        <w:right w:val="none" w:sz="0" w:space="0" w:color="auto"/>
      </w:divBdr>
      <w:divsChild>
        <w:div w:id="1561404193">
          <w:marLeft w:val="0"/>
          <w:marRight w:val="0"/>
          <w:marTop w:val="0"/>
          <w:marBottom w:val="0"/>
          <w:divBdr>
            <w:top w:val="none" w:sz="0" w:space="0" w:color="auto"/>
            <w:left w:val="none" w:sz="0" w:space="0" w:color="auto"/>
            <w:bottom w:val="none" w:sz="0" w:space="0" w:color="auto"/>
            <w:right w:val="none" w:sz="0" w:space="0" w:color="auto"/>
          </w:divBdr>
        </w:div>
      </w:divsChild>
    </w:div>
    <w:div w:id="1272515884">
      <w:bodyDiv w:val="1"/>
      <w:marLeft w:val="0"/>
      <w:marRight w:val="0"/>
      <w:marTop w:val="0"/>
      <w:marBottom w:val="0"/>
      <w:divBdr>
        <w:top w:val="none" w:sz="0" w:space="0" w:color="auto"/>
        <w:left w:val="none" w:sz="0" w:space="0" w:color="auto"/>
        <w:bottom w:val="none" w:sz="0" w:space="0" w:color="auto"/>
        <w:right w:val="none" w:sz="0" w:space="0" w:color="auto"/>
      </w:divBdr>
      <w:divsChild>
        <w:div w:id="1384595753">
          <w:marLeft w:val="0"/>
          <w:marRight w:val="0"/>
          <w:marTop w:val="0"/>
          <w:marBottom w:val="0"/>
          <w:divBdr>
            <w:top w:val="none" w:sz="0" w:space="0" w:color="auto"/>
            <w:left w:val="none" w:sz="0" w:space="0" w:color="auto"/>
            <w:bottom w:val="none" w:sz="0" w:space="0" w:color="auto"/>
            <w:right w:val="none" w:sz="0" w:space="0" w:color="auto"/>
          </w:divBdr>
        </w:div>
      </w:divsChild>
    </w:div>
    <w:div w:id="1299143350">
      <w:bodyDiv w:val="1"/>
      <w:marLeft w:val="0"/>
      <w:marRight w:val="0"/>
      <w:marTop w:val="0"/>
      <w:marBottom w:val="0"/>
      <w:divBdr>
        <w:top w:val="none" w:sz="0" w:space="0" w:color="auto"/>
        <w:left w:val="none" w:sz="0" w:space="0" w:color="auto"/>
        <w:bottom w:val="none" w:sz="0" w:space="0" w:color="auto"/>
        <w:right w:val="none" w:sz="0" w:space="0" w:color="auto"/>
      </w:divBdr>
      <w:divsChild>
        <w:div w:id="1383822826">
          <w:marLeft w:val="0"/>
          <w:marRight w:val="0"/>
          <w:marTop w:val="0"/>
          <w:marBottom w:val="0"/>
          <w:divBdr>
            <w:top w:val="none" w:sz="0" w:space="0" w:color="auto"/>
            <w:left w:val="none" w:sz="0" w:space="0" w:color="auto"/>
            <w:bottom w:val="none" w:sz="0" w:space="0" w:color="auto"/>
            <w:right w:val="none" w:sz="0" w:space="0" w:color="auto"/>
          </w:divBdr>
        </w:div>
      </w:divsChild>
    </w:div>
    <w:div w:id="1305044813">
      <w:bodyDiv w:val="1"/>
      <w:marLeft w:val="0"/>
      <w:marRight w:val="0"/>
      <w:marTop w:val="0"/>
      <w:marBottom w:val="0"/>
      <w:divBdr>
        <w:top w:val="none" w:sz="0" w:space="0" w:color="auto"/>
        <w:left w:val="none" w:sz="0" w:space="0" w:color="auto"/>
        <w:bottom w:val="none" w:sz="0" w:space="0" w:color="auto"/>
        <w:right w:val="none" w:sz="0" w:space="0" w:color="auto"/>
      </w:divBdr>
      <w:divsChild>
        <w:div w:id="1979144934">
          <w:marLeft w:val="0"/>
          <w:marRight w:val="0"/>
          <w:marTop w:val="0"/>
          <w:marBottom w:val="0"/>
          <w:divBdr>
            <w:top w:val="none" w:sz="0" w:space="0" w:color="auto"/>
            <w:left w:val="none" w:sz="0" w:space="0" w:color="auto"/>
            <w:bottom w:val="none" w:sz="0" w:space="0" w:color="auto"/>
            <w:right w:val="none" w:sz="0" w:space="0" w:color="auto"/>
          </w:divBdr>
        </w:div>
      </w:divsChild>
    </w:div>
    <w:div w:id="1305546404">
      <w:bodyDiv w:val="1"/>
      <w:marLeft w:val="0"/>
      <w:marRight w:val="0"/>
      <w:marTop w:val="0"/>
      <w:marBottom w:val="0"/>
      <w:divBdr>
        <w:top w:val="none" w:sz="0" w:space="0" w:color="auto"/>
        <w:left w:val="none" w:sz="0" w:space="0" w:color="auto"/>
        <w:bottom w:val="none" w:sz="0" w:space="0" w:color="auto"/>
        <w:right w:val="none" w:sz="0" w:space="0" w:color="auto"/>
      </w:divBdr>
    </w:div>
    <w:div w:id="1316496991">
      <w:bodyDiv w:val="1"/>
      <w:marLeft w:val="0"/>
      <w:marRight w:val="0"/>
      <w:marTop w:val="0"/>
      <w:marBottom w:val="0"/>
      <w:divBdr>
        <w:top w:val="none" w:sz="0" w:space="0" w:color="auto"/>
        <w:left w:val="none" w:sz="0" w:space="0" w:color="auto"/>
        <w:bottom w:val="none" w:sz="0" w:space="0" w:color="auto"/>
        <w:right w:val="none" w:sz="0" w:space="0" w:color="auto"/>
      </w:divBdr>
      <w:divsChild>
        <w:div w:id="1574195161">
          <w:marLeft w:val="0"/>
          <w:marRight w:val="0"/>
          <w:marTop w:val="0"/>
          <w:marBottom w:val="0"/>
          <w:divBdr>
            <w:top w:val="none" w:sz="0" w:space="0" w:color="auto"/>
            <w:left w:val="none" w:sz="0" w:space="0" w:color="auto"/>
            <w:bottom w:val="none" w:sz="0" w:space="0" w:color="auto"/>
            <w:right w:val="none" w:sz="0" w:space="0" w:color="auto"/>
          </w:divBdr>
        </w:div>
      </w:divsChild>
    </w:div>
    <w:div w:id="1318919511">
      <w:bodyDiv w:val="1"/>
      <w:marLeft w:val="0"/>
      <w:marRight w:val="0"/>
      <w:marTop w:val="0"/>
      <w:marBottom w:val="0"/>
      <w:divBdr>
        <w:top w:val="none" w:sz="0" w:space="0" w:color="auto"/>
        <w:left w:val="none" w:sz="0" w:space="0" w:color="auto"/>
        <w:bottom w:val="none" w:sz="0" w:space="0" w:color="auto"/>
        <w:right w:val="none" w:sz="0" w:space="0" w:color="auto"/>
      </w:divBdr>
      <w:divsChild>
        <w:div w:id="965888344">
          <w:marLeft w:val="0"/>
          <w:marRight w:val="0"/>
          <w:marTop w:val="0"/>
          <w:marBottom w:val="0"/>
          <w:divBdr>
            <w:top w:val="none" w:sz="0" w:space="0" w:color="auto"/>
            <w:left w:val="none" w:sz="0" w:space="0" w:color="auto"/>
            <w:bottom w:val="none" w:sz="0" w:space="0" w:color="auto"/>
            <w:right w:val="none" w:sz="0" w:space="0" w:color="auto"/>
          </w:divBdr>
        </w:div>
      </w:divsChild>
    </w:div>
    <w:div w:id="1319726961">
      <w:bodyDiv w:val="1"/>
      <w:marLeft w:val="0"/>
      <w:marRight w:val="0"/>
      <w:marTop w:val="0"/>
      <w:marBottom w:val="0"/>
      <w:divBdr>
        <w:top w:val="none" w:sz="0" w:space="0" w:color="auto"/>
        <w:left w:val="none" w:sz="0" w:space="0" w:color="auto"/>
        <w:bottom w:val="none" w:sz="0" w:space="0" w:color="auto"/>
        <w:right w:val="none" w:sz="0" w:space="0" w:color="auto"/>
      </w:divBdr>
      <w:divsChild>
        <w:div w:id="1625690312">
          <w:marLeft w:val="0"/>
          <w:marRight w:val="0"/>
          <w:marTop w:val="0"/>
          <w:marBottom w:val="0"/>
          <w:divBdr>
            <w:top w:val="none" w:sz="0" w:space="0" w:color="auto"/>
            <w:left w:val="none" w:sz="0" w:space="0" w:color="auto"/>
            <w:bottom w:val="none" w:sz="0" w:space="0" w:color="auto"/>
            <w:right w:val="none" w:sz="0" w:space="0" w:color="auto"/>
          </w:divBdr>
        </w:div>
      </w:divsChild>
    </w:div>
    <w:div w:id="1323006749">
      <w:bodyDiv w:val="1"/>
      <w:marLeft w:val="0"/>
      <w:marRight w:val="0"/>
      <w:marTop w:val="0"/>
      <w:marBottom w:val="0"/>
      <w:divBdr>
        <w:top w:val="none" w:sz="0" w:space="0" w:color="auto"/>
        <w:left w:val="none" w:sz="0" w:space="0" w:color="auto"/>
        <w:bottom w:val="none" w:sz="0" w:space="0" w:color="auto"/>
        <w:right w:val="none" w:sz="0" w:space="0" w:color="auto"/>
      </w:divBdr>
      <w:divsChild>
        <w:div w:id="51471578">
          <w:marLeft w:val="0"/>
          <w:marRight w:val="0"/>
          <w:marTop w:val="0"/>
          <w:marBottom w:val="0"/>
          <w:divBdr>
            <w:top w:val="none" w:sz="0" w:space="0" w:color="auto"/>
            <w:left w:val="none" w:sz="0" w:space="0" w:color="auto"/>
            <w:bottom w:val="none" w:sz="0" w:space="0" w:color="auto"/>
            <w:right w:val="none" w:sz="0" w:space="0" w:color="auto"/>
          </w:divBdr>
        </w:div>
        <w:div w:id="79640501">
          <w:marLeft w:val="0"/>
          <w:marRight w:val="0"/>
          <w:marTop w:val="0"/>
          <w:marBottom w:val="0"/>
          <w:divBdr>
            <w:top w:val="none" w:sz="0" w:space="0" w:color="auto"/>
            <w:left w:val="none" w:sz="0" w:space="0" w:color="auto"/>
            <w:bottom w:val="none" w:sz="0" w:space="0" w:color="auto"/>
            <w:right w:val="none" w:sz="0" w:space="0" w:color="auto"/>
          </w:divBdr>
        </w:div>
        <w:div w:id="102963567">
          <w:marLeft w:val="0"/>
          <w:marRight w:val="0"/>
          <w:marTop w:val="0"/>
          <w:marBottom w:val="0"/>
          <w:divBdr>
            <w:top w:val="none" w:sz="0" w:space="0" w:color="auto"/>
            <w:left w:val="none" w:sz="0" w:space="0" w:color="auto"/>
            <w:bottom w:val="none" w:sz="0" w:space="0" w:color="auto"/>
            <w:right w:val="none" w:sz="0" w:space="0" w:color="auto"/>
          </w:divBdr>
        </w:div>
        <w:div w:id="104428804">
          <w:marLeft w:val="0"/>
          <w:marRight w:val="0"/>
          <w:marTop w:val="0"/>
          <w:marBottom w:val="0"/>
          <w:divBdr>
            <w:top w:val="none" w:sz="0" w:space="0" w:color="auto"/>
            <w:left w:val="none" w:sz="0" w:space="0" w:color="auto"/>
            <w:bottom w:val="none" w:sz="0" w:space="0" w:color="auto"/>
            <w:right w:val="none" w:sz="0" w:space="0" w:color="auto"/>
          </w:divBdr>
        </w:div>
        <w:div w:id="133715943">
          <w:marLeft w:val="0"/>
          <w:marRight w:val="0"/>
          <w:marTop w:val="0"/>
          <w:marBottom w:val="0"/>
          <w:divBdr>
            <w:top w:val="none" w:sz="0" w:space="0" w:color="auto"/>
            <w:left w:val="none" w:sz="0" w:space="0" w:color="auto"/>
            <w:bottom w:val="none" w:sz="0" w:space="0" w:color="auto"/>
            <w:right w:val="none" w:sz="0" w:space="0" w:color="auto"/>
          </w:divBdr>
        </w:div>
        <w:div w:id="139158685">
          <w:marLeft w:val="0"/>
          <w:marRight w:val="0"/>
          <w:marTop w:val="0"/>
          <w:marBottom w:val="0"/>
          <w:divBdr>
            <w:top w:val="none" w:sz="0" w:space="0" w:color="auto"/>
            <w:left w:val="none" w:sz="0" w:space="0" w:color="auto"/>
            <w:bottom w:val="none" w:sz="0" w:space="0" w:color="auto"/>
            <w:right w:val="none" w:sz="0" w:space="0" w:color="auto"/>
          </w:divBdr>
        </w:div>
        <w:div w:id="193079497">
          <w:marLeft w:val="0"/>
          <w:marRight w:val="0"/>
          <w:marTop w:val="0"/>
          <w:marBottom w:val="0"/>
          <w:divBdr>
            <w:top w:val="none" w:sz="0" w:space="0" w:color="auto"/>
            <w:left w:val="none" w:sz="0" w:space="0" w:color="auto"/>
            <w:bottom w:val="none" w:sz="0" w:space="0" w:color="auto"/>
            <w:right w:val="none" w:sz="0" w:space="0" w:color="auto"/>
          </w:divBdr>
        </w:div>
        <w:div w:id="194856581">
          <w:marLeft w:val="0"/>
          <w:marRight w:val="0"/>
          <w:marTop w:val="0"/>
          <w:marBottom w:val="0"/>
          <w:divBdr>
            <w:top w:val="none" w:sz="0" w:space="0" w:color="auto"/>
            <w:left w:val="none" w:sz="0" w:space="0" w:color="auto"/>
            <w:bottom w:val="none" w:sz="0" w:space="0" w:color="auto"/>
            <w:right w:val="none" w:sz="0" w:space="0" w:color="auto"/>
          </w:divBdr>
        </w:div>
        <w:div w:id="233976198">
          <w:marLeft w:val="0"/>
          <w:marRight w:val="0"/>
          <w:marTop w:val="0"/>
          <w:marBottom w:val="0"/>
          <w:divBdr>
            <w:top w:val="none" w:sz="0" w:space="0" w:color="auto"/>
            <w:left w:val="none" w:sz="0" w:space="0" w:color="auto"/>
            <w:bottom w:val="none" w:sz="0" w:space="0" w:color="auto"/>
            <w:right w:val="none" w:sz="0" w:space="0" w:color="auto"/>
          </w:divBdr>
        </w:div>
        <w:div w:id="356472863">
          <w:marLeft w:val="0"/>
          <w:marRight w:val="0"/>
          <w:marTop w:val="0"/>
          <w:marBottom w:val="0"/>
          <w:divBdr>
            <w:top w:val="none" w:sz="0" w:space="0" w:color="auto"/>
            <w:left w:val="none" w:sz="0" w:space="0" w:color="auto"/>
            <w:bottom w:val="none" w:sz="0" w:space="0" w:color="auto"/>
            <w:right w:val="none" w:sz="0" w:space="0" w:color="auto"/>
          </w:divBdr>
        </w:div>
        <w:div w:id="418866382">
          <w:marLeft w:val="0"/>
          <w:marRight w:val="0"/>
          <w:marTop w:val="0"/>
          <w:marBottom w:val="0"/>
          <w:divBdr>
            <w:top w:val="none" w:sz="0" w:space="0" w:color="auto"/>
            <w:left w:val="none" w:sz="0" w:space="0" w:color="auto"/>
            <w:bottom w:val="none" w:sz="0" w:space="0" w:color="auto"/>
            <w:right w:val="none" w:sz="0" w:space="0" w:color="auto"/>
          </w:divBdr>
        </w:div>
        <w:div w:id="460535683">
          <w:marLeft w:val="0"/>
          <w:marRight w:val="0"/>
          <w:marTop w:val="0"/>
          <w:marBottom w:val="0"/>
          <w:divBdr>
            <w:top w:val="none" w:sz="0" w:space="0" w:color="auto"/>
            <w:left w:val="none" w:sz="0" w:space="0" w:color="auto"/>
            <w:bottom w:val="none" w:sz="0" w:space="0" w:color="auto"/>
            <w:right w:val="none" w:sz="0" w:space="0" w:color="auto"/>
          </w:divBdr>
        </w:div>
        <w:div w:id="462702162">
          <w:marLeft w:val="0"/>
          <w:marRight w:val="0"/>
          <w:marTop w:val="0"/>
          <w:marBottom w:val="0"/>
          <w:divBdr>
            <w:top w:val="none" w:sz="0" w:space="0" w:color="auto"/>
            <w:left w:val="none" w:sz="0" w:space="0" w:color="auto"/>
            <w:bottom w:val="none" w:sz="0" w:space="0" w:color="auto"/>
            <w:right w:val="none" w:sz="0" w:space="0" w:color="auto"/>
          </w:divBdr>
        </w:div>
        <w:div w:id="467741560">
          <w:marLeft w:val="0"/>
          <w:marRight w:val="0"/>
          <w:marTop w:val="0"/>
          <w:marBottom w:val="0"/>
          <w:divBdr>
            <w:top w:val="none" w:sz="0" w:space="0" w:color="auto"/>
            <w:left w:val="none" w:sz="0" w:space="0" w:color="auto"/>
            <w:bottom w:val="none" w:sz="0" w:space="0" w:color="auto"/>
            <w:right w:val="none" w:sz="0" w:space="0" w:color="auto"/>
          </w:divBdr>
        </w:div>
        <w:div w:id="479082633">
          <w:marLeft w:val="0"/>
          <w:marRight w:val="0"/>
          <w:marTop w:val="0"/>
          <w:marBottom w:val="0"/>
          <w:divBdr>
            <w:top w:val="none" w:sz="0" w:space="0" w:color="auto"/>
            <w:left w:val="none" w:sz="0" w:space="0" w:color="auto"/>
            <w:bottom w:val="none" w:sz="0" w:space="0" w:color="auto"/>
            <w:right w:val="none" w:sz="0" w:space="0" w:color="auto"/>
          </w:divBdr>
        </w:div>
        <w:div w:id="512887308">
          <w:marLeft w:val="0"/>
          <w:marRight w:val="0"/>
          <w:marTop w:val="0"/>
          <w:marBottom w:val="0"/>
          <w:divBdr>
            <w:top w:val="none" w:sz="0" w:space="0" w:color="auto"/>
            <w:left w:val="none" w:sz="0" w:space="0" w:color="auto"/>
            <w:bottom w:val="none" w:sz="0" w:space="0" w:color="auto"/>
            <w:right w:val="none" w:sz="0" w:space="0" w:color="auto"/>
          </w:divBdr>
        </w:div>
        <w:div w:id="531649215">
          <w:marLeft w:val="0"/>
          <w:marRight w:val="0"/>
          <w:marTop w:val="0"/>
          <w:marBottom w:val="0"/>
          <w:divBdr>
            <w:top w:val="none" w:sz="0" w:space="0" w:color="auto"/>
            <w:left w:val="none" w:sz="0" w:space="0" w:color="auto"/>
            <w:bottom w:val="none" w:sz="0" w:space="0" w:color="auto"/>
            <w:right w:val="none" w:sz="0" w:space="0" w:color="auto"/>
          </w:divBdr>
        </w:div>
        <w:div w:id="531890611">
          <w:marLeft w:val="0"/>
          <w:marRight w:val="0"/>
          <w:marTop w:val="0"/>
          <w:marBottom w:val="0"/>
          <w:divBdr>
            <w:top w:val="none" w:sz="0" w:space="0" w:color="auto"/>
            <w:left w:val="none" w:sz="0" w:space="0" w:color="auto"/>
            <w:bottom w:val="none" w:sz="0" w:space="0" w:color="auto"/>
            <w:right w:val="none" w:sz="0" w:space="0" w:color="auto"/>
          </w:divBdr>
        </w:div>
        <w:div w:id="566459497">
          <w:marLeft w:val="0"/>
          <w:marRight w:val="0"/>
          <w:marTop w:val="0"/>
          <w:marBottom w:val="0"/>
          <w:divBdr>
            <w:top w:val="none" w:sz="0" w:space="0" w:color="auto"/>
            <w:left w:val="none" w:sz="0" w:space="0" w:color="auto"/>
            <w:bottom w:val="none" w:sz="0" w:space="0" w:color="auto"/>
            <w:right w:val="none" w:sz="0" w:space="0" w:color="auto"/>
          </w:divBdr>
        </w:div>
        <w:div w:id="573197777">
          <w:marLeft w:val="0"/>
          <w:marRight w:val="0"/>
          <w:marTop w:val="0"/>
          <w:marBottom w:val="0"/>
          <w:divBdr>
            <w:top w:val="none" w:sz="0" w:space="0" w:color="auto"/>
            <w:left w:val="none" w:sz="0" w:space="0" w:color="auto"/>
            <w:bottom w:val="none" w:sz="0" w:space="0" w:color="auto"/>
            <w:right w:val="none" w:sz="0" w:space="0" w:color="auto"/>
          </w:divBdr>
        </w:div>
        <w:div w:id="587036857">
          <w:marLeft w:val="0"/>
          <w:marRight w:val="0"/>
          <w:marTop w:val="0"/>
          <w:marBottom w:val="0"/>
          <w:divBdr>
            <w:top w:val="none" w:sz="0" w:space="0" w:color="auto"/>
            <w:left w:val="none" w:sz="0" w:space="0" w:color="auto"/>
            <w:bottom w:val="none" w:sz="0" w:space="0" w:color="auto"/>
            <w:right w:val="none" w:sz="0" w:space="0" w:color="auto"/>
          </w:divBdr>
        </w:div>
        <w:div w:id="592520648">
          <w:marLeft w:val="0"/>
          <w:marRight w:val="0"/>
          <w:marTop w:val="0"/>
          <w:marBottom w:val="0"/>
          <w:divBdr>
            <w:top w:val="none" w:sz="0" w:space="0" w:color="auto"/>
            <w:left w:val="none" w:sz="0" w:space="0" w:color="auto"/>
            <w:bottom w:val="none" w:sz="0" w:space="0" w:color="auto"/>
            <w:right w:val="none" w:sz="0" w:space="0" w:color="auto"/>
          </w:divBdr>
        </w:div>
        <w:div w:id="663358319">
          <w:marLeft w:val="0"/>
          <w:marRight w:val="0"/>
          <w:marTop w:val="0"/>
          <w:marBottom w:val="0"/>
          <w:divBdr>
            <w:top w:val="none" w:sz="0" w:space="0" w:color="auto"/>
            <w:left w:val="none" w:sz="0" w:space="0" w:color="auto"/>
            <w:bottom w:val="none" w:sz="0" w:space="0" w:color="auto"/>
            <w:right w:val="none" w:sz="0" w:space="0" w:color="auto"/>
          </w:divBdr>
        </w:div>
        <w:div w:id="690496637">
          <w:marLeft w:val="0"/>
          <w:marRight w:val="0"/>
          <w:marTop w:val="0"/>
          <w:marBottom w:val="0"/>
          <w:divBdr>
            <w:top w:val="none" w:sz="0" w:space="0" w:color="auto"/>
            <w:left w:val="none" w:sz="0" w:space="0" w:color="auto"/>
            <w:bottom w:val="none" w:sz="0" w:space="0" w:color="auto"/>
            <w:right w:val="none" w:sz="0" w:space="0" w:color="auto"/>
          </w:divBdr>
        </w:div>
        <w:div w:id="716054409">
          <w:marLeft w:val="0"/>
          <w:marRight w:val="0"/>
          <w:marTop w:val="0"/>
          <w:marBottom w:val="0"/>
          <w:divBdr>
            <w:top w:val="none" w:sz="0" w:space="0" w:color="auto"/>
            <w:left w:val="none" w:sz="0" w:space="0" w:color="auto"/>
            <w:bottom w:val="none" w:sz="0" w:space="0" w:color="auto"/>
            <w:right w:val="none" w:sz="0" w:space="0" w:color="auto"/>
          </w:divBdr>
        </w:div>
        <w:div w:id="723140514">
          <w:marLeft w:val="0"/>
          <w:marRight w:val="0"/>
          <w:marTop w:val="0"/>
          <w:marBottom w:val="0"/>
          <w:divBdr>
            <w:top w:val="none" w:sz="0" w:space="0" w:color="auto"/>
            <w:left w:val="none" w:sz="0" w:space="0" w:color="auto"/>
            <w:bottom w:val="none" w:sz="0" w:space="0" w:color="auto"/>
            <w:right w:val="none" w:sz="0" w:space="0" w:color="auto"/>
          </w:divBdr>
        </w:div>
        <w:div w:id="743646693">
          <w:marLeft w:val="0"/>
          <w:marRight w:val="0"/>
          <w:marTop w:val="0"/>
          <w:marBottom w:val="0"/>
          <w:divBdr>
            <w:top w:val="none" w:sz="0" w:space="0" w:color="auto"/>
            <w:left w:val="none" w:sz="0" w:space="0" w:color="auto"/>
            <w:bottom w:val="none" w:sz="0" w:space="0" w:color="auto"/>
            <w:right w:val="none" w:sz="0" w:space="0" w:color="auto"/>
          </w:divBdr>
        </w:div>
        <w:div w:id="763839766">
          <w:marLeft w:val="0"/>
          <w:marRight w:val="0"/>
          <w:marTop w:val="0"/>
          <w:marBottom w:val="0"/>
          <w:divBdr>
            <w:top w:val="none" w:sz="0" w:space="0" w:color="auto"/>
            <w:left w:val="none" w:sz="0" w:space="0" w:color="auto"/>
            <w:bottom w:val="none" w:sz="0" w:space="0" w:color="auto"/>
            <w:right w:val="none" w:sz="0" w:space="0" w:color="auto"/>
          </w:divBdr>
        </w:div>
        <w:div w:id="778573435">
          <w:marLeft w:val="0"/>
          <w:marRight w:val="0"/>
          <w:marTop w:val="0"/>
          <w:marBottom w:val="0"/>
          <w:divBdr>
            <w:top w:val="none" w:sz="0" w:space="0" w:color="auto"/>
            <w:left w:val="none" w:sz="0" w:space="0" w:color="auto"/>
            <w:bottom w:val="none" w:sz="0" w:space="0" w:color="auto"/>
            <w:right w:val="none" w:sz="0" w:space="0" w:color="auto"/>
          </w:divBdr>
        </w:div>
        <w:div w:id="817503265">
          <w:marLeft w:val="0"/>
          <w:marRight w:val="0"/>
          <w:marTop w:val="0"/>
          <w:marBottom w:val="0"/>
          <w:divBdr>
            <w:top w:val="none" w:sz="0" w:space="0" w:color="auto"/>
            <w:left w:val="none" w:sz="0" w:space="0" w:color="auto"/>
            <w:bottom w:val="none" w:sz="0" w:space="0" w:color="auto"/>
            <w:right w:val="none" w:sz="0" w:space="0" w:color="auto"/>
          </w:divBdr>
        </w:div>
        <w:div w:id="853691775">
          <w:marLeft w:val="0"/>
          <w:marRight w:val="0"/>
          <w:marTop w:val="0"/>
          <w:marBottom w:val="0"/>
          <w:divBdr>
            <w:top w:val="none" w:sz="0" w:space="0" w:color="auto"/>
            <w:left w:val="none" w:sz="0" w:space="0" w:color="auto"/>
            <w:bottom w:val="none" w:sz="0" w:space="0" w:color="auto"/>
            <w:right w:val="none" w:sz="0" w:space="0" w:color="auto"/>
          </w:divBdr>
        </w:div>
        <w:div w:id="865481033">
          <w:marLeft w:val="0"/>
          <w:marRight w:val="0"/>
          <w:marTop w:val="0"/>
          <w:marBottom w:val="0"/>
          <w:divBdr>
            <w:top w:val="none" w:sz="0" w:space="0" w:color="auto"/>
            <w:left w:val="none" w:sz="0" w:space="0" w:color="auto"/>
            <w:bottom w:val="none" w:sz="0" w:space="0" w:color="auto"/>
            <w:right w:val="none" w:sz="0" w:space="0" w:color="auto"/>
          </w:divBdr>
        </w:div>
        <w:div w:id="921261642">
          <w:marLeft w:val="0"/>
          <w:marRight w:val="0"/>
          <w:marTop w:val="0"/>
          <w:marBottom w:val="0"/>
          <w:divBdr>
            <w:top w:val="none" w:sz="0" w:space="0" w:color="auto"/>
            <w:left w:val="none" w:sz="0" w:space="0" w:color="auto"/>
            <w:bottom w:val="none" w:sz="0" w:space="0" w:color="auto"/>
            <w:right w:val="none" w:sz="0" w:space="0" w:color="auto"/>
          </w:divBdr>
        </w:div>
        <w:div w:id="953949827">
          <w:marLeft w:val="0"/>
          <w:marRight w:val="0"/>
          <w:marTop w:val="0"/>
          <w:marBottom w:val="0"/>
          <w:divBdr>
            <w:top w:val="none" w:sz="0" w:space="0" w:color="auto"/>
            <w:left w:val="none" w:sz="0" w:space="0" w:color="auto"/>
            <w:bottom w:val="none" w:sz="0" w:space="0" w:color="auto"/>
            <w:right w:val="none" w:sz="0" w:space="0" w:color="auto"/>
          </w:divBdr>
        </w:div>
        <w:div w:id="984235737">
          <w:marLeft w:val="0"/>
          <w:marRight w:val="0"/>
          <w:marTop w:val="0"/>
          <w:marBottom w:val="0"/>
          <w:divBdr>
            <w:top w:val="none" w:sz="0" w:space="0" w:color="auto"/>
            <w:left w:val="none" w:sz="0" w:space="0" w:color="auto"/>
            <w:bottom w:val="none" w:sz="0" w:space="0" w:color="auto"/>
            <w:right w:val="none" w:sz="0" w:space="0" w:color="auto"/>
          </w:divBdr>
        </w:div>
        <w:div w:id="1060058975">
          <w:marLeft w:val="0"/>
          <w:marRight w:val="0"/>
          <w:marTop w:val="0"/>
          <w:marBottom w:val="0"/>
          <w:divBdr>
            <w:top w:val="none" w:sz="0" w:space="0" w:color="auto"/>
            <w:left w:val="none" w:sz="0" w:space="0" w:color="auto"/>
            <w:bottom w:val="none" w:sz="0" w:space="0" w:color="auto"/>
            <w:right w:val="none" w:sz="0" w:space="0" w:color="auto"/>
          </w:divBdr>
        </w:div>
        <w:div w:id="1122572450">
          <w:marLeft w:val="0"/>
          <w:marRight w:val="0"/>
          <w:marTop w:val="0"/>
          <w:marBottom w:val="0"/>
          <w:divBdr>
            <w:top w:val="none" w:sz="0" w:space="0" w:color="auto"/>
            <w:left w:val="none" w:sz="0" w:space="0" w:color="auto"/>
            <w:bottom w:val="none" w:sz="0" w:space="0" w:color="auto"/>
            <w:right w:val="none" w:sz="0" w:space="0" w:color="auto"/>
          </w:divBdr>
        </w:div>
        <w:div w:id="1138911103">
          <w:marLeft w:val="0"/>
          <w:marRight w:val="0"/>
          <w:marTop w:val="0"/>
          <w:marBottom w:val="0"/>
          <w:divBdr>
            <w:top w:val="none" w:sz="0" w:space="0" w:color="auto"/>
            <w:left w:val="none" w:sz="0" w:space="0" w:color="auto"/>
            <w:bottom w:val="none" w:sz="0" w:space="0" w:color="auto"/>
            <w:right w:val="none" w:sz="0" w:space="0" w:color="auto"/>
          </w:divBdr>
        </w:div>
        <w:div w:id="1149320018">
          <w:marLeft w:val="0"/>
          <w:marRight w:val="0"/>
          <w:marTop w:val="0"/>
          <w:marBottom w:val="0"/>
          <w:divBdr>
            <w:top w:val="none" w:sz="0" w:space="0" w:color="auto"/>
            <w:left w:val="none" w:sz="0" w:space="0" w:color="auto"/>
            <w:bottom w:val="none" w:sz="0" w:space="0" w:color="auto"/>
            <w:right w:val="none" w:sz="0" w:space="0" w:color="auto"/>
          </w:divBdr>
        </w:div>
        <w:div w:id="1168710281">
          <w:marLeft w:val="0"/>
          <w:marRight w:val="0"/>
          <w:marTop w:val="0"/>
          <w:marBottom w:val="0"/>
          <w:divBdr>
            <w:top w:val="none" w:sz="0" w:space="0" w:color="auto"/>
            <w:left w:val="none" w:sz="0" w:space="0" w:color="auto"/>
            <w:bottom w:val="none" w:sz="0" w:space="0" w:color="auto"/>
            <w:right w:val="none" w:sz="0" w:space="0" w:color="auto"/>
          </w:divBdr>
        </w:div>
        <w:div w:id="1193542141">
          <w:marLeft w:val="0"/>
          <w:marRight w:val="0"/>
          <w:marTop w:val="0"/>
          <w:marBottom w:val="0"/>
          <w:divBdr>
            <w:top w:val="none" w:sz="0" w:space="0" w:color="auto"/>
            <w:left w:val="none" w:sz="0" w:space="0" w:color="auto"/>
            <w:bottom w:val="none" w:sz="0" w:space="0" w:color="auto"/>
            <w:right w:val="none" w:sz="0" w:space="0" w:color="auto"/>
          </w:divBdr>
        </w:div>
        <w:div w:id="1196894948">
          <w:marLeft w:val="0"/>
          <w:marRight w:val="0"/>
          <w:marTop w:val="0"/>
          <w:marBottom w:val="0"/>
          <w:divBdr>
            <w:top w:val="none" w:sz="0" w:space="0" w:color="auto"/>
            <w:left w:val="none" w:sz="0" w:space="0" w:color="auto"/>
            <w:bottom w:val="none" w:sz="0" w:space="0" w:color="auto"/>
            <w:right w:val="none" w:sz="0" w:space="0" w:color="auto"/>
          </w:divBdr>
        </w:div>
        <w:div w:id="1235236100">
          <w:marLeft w:val="0"/>
          <w:marRight w:val="0"/>
          <w:marTop w:val="0"/>
          <w:marBottom w:val="0"/>
          <w:divBdr>
            <w:top w:val="none" w:sz="0" w:space="0" w:color="auto"/>
            <w:left w:val="none" w:sz="0" w:space="0" w:color="auto"/>
            <w:bottom w:val="none" w:sz="0" w:space="0" w:color="auto"/>
            <w:right w:val="none" w:sz="0" w:space="0" w:color="auto"/>
          </w:divBdr>
        </w:div>
        <w:div w:id="1247182412">
          <w:marLeft w:val="0"/>
          <w:marRight w:val="0"/>
          <w:marTop w:val="0"/>
          <w:marBottom w:val="0"/>
          <w:divBdr>
            <w:top w:val="none" w:sz="0" w:space="0" w:color="auto"/>
            <w:left w:val="none" w:sz="0" w:space="0" w:color="auto"/>
            <w:bottom w:val="none" w:sz="0" w:space="0" w:color="auto"/>
            <w:right w:val="none" w:sz="0" w:space="0" w:color="auto"/>
          </w:divBdr>
        </w:div>
        <w:div w:id="1288006162">
          <w:marLeft w:val="0"/>
          <w:marRight w:val="0"/>
          <w:marTop w:val="0"/>
          <w:marBottom w:val="0"/>
          <w:divBdr>
            <w:top w:val="none" w:sz="0" w:space="0" w:color="auto"/>
            <w:left w:val="none" w:sz="0" w:space="0" w:color="auto"/>
            <w:bottom w:val="none" w:sz="0" w:space="0" w:color="auto"/>
            <w:right w:val="none" w:sz="0" w:space="0" w:color="auto"/>
          </w:divBdr>
        </w:div>
        <w:div w:id="1339194161">
          <w:marLeft w:val="0"/>
          <w:marRight w:val="0"/>
          <w:marTop w:val="0"/>
          <w:marBottom w:val="0"/>
          <w:divBdr>
            <w:top w:val="none" w:sz="0" w:space="0" w:color="auto"/>
            <w:left w:val="none" w:sz="0" w:space="0" w:color="auto"/>
            <w:bottom w:val="none" w:sz="0" w:space="0" w:color="auto"/>
            <w:right w:val="none" w:sz="0" w:space="0" w:color="auto"/>
          </w:divBdr>
        </w:div>
        <w:div w:id="1348479038">
          <w:marLeft w:val="0"/>
          <w:marRight w:val="0"/>
          <w:marTop w:val="0"/>
          <w:marBottom w:val="0"/>
          <w:divBdr>
            <w:top w:val="none" w:sz="0" w:space="0" w:color="auto"/>
            <w:left w:val="none" w:sz="0" w:space="0" w:color="auto"/>
            <w:bottom w:val="none" w:sz="0" w:space="0" w:color="auto"/>
            <w:right w:val="none" w:sz="0" w:space="0" w:color="auto"/>
          </w:divBdr>
        </w:div>
        <w:div w:id="1372880306">
          <w:marLeft w:val="0"/>
          <w:marRight w:val="0"/>
          <w:marTop w:val="0"/>
          <w:marBottom w:val="0"/>
          <w:divBdr>
            <w:top w:val="none" w:sz="0" w:space="0" w:color="auto"/>
            <w:left w:val="none" w:sz="0" w:space="0" w:color="auto"/>
            <w:bottom w:val="none" w:sz="0" w:space="0" w:color="auto"/>
            <w:right w:val="none" w:sz="0" w:space="0" w:color="auto"/>
          </w:divBdr>
        </w:div>
        <w:div w:id="1399523739">
          <w:marLeft w:val="0"/>
          <w:marRight w:val="0"/>
          <w:marTop w:val="0"/>
          <w:marBottom w:val="0"/>
          <w:divBdr>
            <w:top w:val="none" w:sz="0" w:space="0" w:color="auto"/>
            <w:left w:val="none" w:sz="0" w:space="0" w:color="auto"/>
            <w:bottom w:val="none" w:sz="0" w:space="0" w:color="auto"/>
            <w:right w:val="none" w:sz="0" w:space="0" w:color="auto"/>
          </w:divBdr>
        </w:div>
        <w:div w:id="1446659555">
          <w:marLeft w:val="0"/>
          <w:marRight w:val="0"/>
          <w:marTop w:val="0"/>
          <w:marBottom w:val="0"/>
          <w:divBdr>
            <w:top w:val="none" w:sz="0" w:space="0" w:color="auto"/>
            <w:left w:val="none" w:sz="0" w:space="0" w:color="auto"/>
            <w:bottom w:val="none" w:sz="0" w:space="0" w:color="auto"/>
            <w:right w:val="none" w:sz="0" w:space="0" w:color="auto"/>
          </w:divBdr>
        </w:div>
        <w:div w:id="1477912842">
          <w:marLeft w:val="0"/>
          <w:marRight w:val="0"/>
          <w:marTop w:val="0"/>
          <w:marBottom w:val="0"/>
          <w:divBdr>
            <w:top w:val="none" w:sz="0" w:space="0" w:color="auto"/>
            <w:left w:val="none" w:sz="0" w:space="0" w:color="auto"/>
            <w:bottom w:val="none" w:sz="0" w:space="0" w:color="auto"/>
            <w:right w:val="none" w:sz="0" w:space="0" w:color="auto"/>
          </w:divBdr>
        </w:div>
        <w:div w:id="1506089437">
          <w:marLeft w:val="0"/>
          <w:marRight w:val="0"/>
          <w:marTop w:val="0"/>
          <w:marBottom w:val="0"/>
          <w:divBdr>
            <w:top w:val="none" w:sz="0" w:space="0" w:color="auto"/>
            <w:left w:val="none" w:sz="0" w:space="0" w:color="auto"/>
            <w:bottom w:val="none" w:sz="0" w:space="0" w:color="auto"/>
            <w:right w:val="none" w:sz="0" w:space="0" w:color="auto"/>
          </w:divBdr>
        </w:div>
        <w:div w:id="1508011436">
          <w:marLeft w:val="0"/>
          <w:marRight w:val="0"/>
          <w:marTop w:val="0"/>
          <w:marBottom w:val="0"/>
          <w:divBdr>
            <w:top w:val="none" w:sz="0" w:space="0" w:color="auto"/>
            <w:left w:val="none" w:sz="0" w:space="0" w:color="auto"/>
            <w:bottom w:val="none" w:sz="0" w:space="0" w:color="auto"/>
            <w:right w:val="none" w:sz="0" w:space="0" w:color="auto"/>
          </w:divBdr>
        </w:div>
        <w:div w:id="1518807574">
          <w:marLeft w:val="0"/>
          <w:marRight w:val="0"/>
          <w:marTop w:val="0"/>
          <w:marBottom w:val="0"/>
          <w:divBdr>
            <w:top w:val="none" w:sz="0" w:space="0" w:color="auto"/>
            <w:left w:val="none" w:sz="0" w:space="0" w:color="auto"/>
            <w:bottom w:val="none" w:sz="0" w:space="0" w:color="auto"/>
            <w:right w:val="none" w:sz="0" w:space="0" w:color="auto"/>
          </w:divBdr>
        </w:div>
        <w:div w:id="1567495631">
          <w:marLeft w:val="0"/>
          <w:marRight w:val="0"/>
          <w:marTop w:val="0"/>
          <w:marBottom w:val="0"/>
          <w:divBdr>
            <w:top w:val="none" w:sz="0" w:space="0" w:color="auto"/>
            <w:left w:val="none" w:sz="0" w:space="0" w:color="auto"/>
            <w:bottom w:val="none" w:sz="0" w:space="0" w:color="auto"/>
            <w:right w:val="none" w:sz="0" w:space="0" w:color="auto"/>
          </w:divBdr>
        </w:div>
        <w:div w:id="1611157155">
          <w:marLeft w:val="0"/>
          <w:marRight w:val="0"/>
          <w:marTop w:val="0"/>
          <w:marBottom w:val="0"/>
          <w:divBdr>
            <w:top w:val="none" w:sz="0" w:space="0" w:color="auto"/>
            <w:left w:val="none" w:sz="0" w:space="0" w:color="auto"/>
            <w:bottom w:val="none" w:sz="0" w:space="0" w:color="auto"/>
            <w:right w:val="none" w:sz="0" w:space="0" w:color="auto"/>
          </w:divBdr>
        </w:div>
        <w:div w:id="1617522182">
          <w:marLeft w:val="0"/>
          <w:marRight w:val="0"/>
          <w:marTop w:val="0"/>
          <w:marBottom w:val="0"/>
          <w:divBdr>
            <w:top w:val="none" w:sz="0" w:space="0" w:color="auto"/>
            <w:left w:val="none" w:sz="0" w:space="0" w:color="auto"/>
            <w:bottom w:val="none" w:sz="0" w:space="0" w:color="auto"/>
            <w:right w:val="none" w:sz="0" w:space="0" w:color="auto"/>
          </w:divBdr>
        </w:div>
        <w:div w:id="1658683230">
          <w:marLeft w:val="0"/>
          <w:marRight w:val="0"/>
          <w:marTop w:val="0"/>
          <w:marBottom w:val="0"/>
          <w:divBdr>
            <w:top w:val="none" w:sz="0" w:space="0" w:color="auto"/>
            <w:left w:val="none" w:sz="0" w:space="0" w:color="auto"/>
            <w:bottom w:val="none" w:sz="0" w:space="0" w:color="auto"/>
            <w:right w:val="none" w:sz="0" w:space="0" w:color="auto"/>
          </w:divBdr>
        </w:div>
        <w:div w:id="1671326117">
          <w:marLeft w:val="0"/>
          <w:marRight w:val="0"/>
          <w:marTop w:val="0"/>
          <w:marBottom w:val="0"/>
          <w:divBdr>
            <w:top w:val="none" w:sz="0" w:space="0" w:color="auto"/>
            <w:left w:val="none" w:sz="0" w:space="0" w:color="auto"/>
            <w:bottom w:val="none" w:sz="0" w:space="0" w:color="auto"/>
            <w:right w:val="none" w:sz="0" w:space="0" w:color="auto"/>
          </w:divBdr>
        </w:div>
        <w:div w:id="1692487199">
          <w:marLeft w:val="0"/>
          <w:marRight w:val="0"/>
          <w:marTop w:val="0"/>
          <w:marBottom w:val="0"/>
          <w:divBdr>
            <w:top w:val="none" w:sz="0" w:space="0" w:color="auto"/>
            <w:left w:val="none" w:sz="0" w:space="0" w:color="auto"/>
            <w:bottom w:val="none" w:sz="0" w:space="0" w:color="auto"/>
            <w:right w:val="none" w:sz="0" w:space="0" w:color="auto"/>
          </w:divBdr>
        </w:div>
        <w:div w:id="1714960397">
          <w:marLeft w:val="0"/>
          <w:marRight w:val="0"/>
          <w:marTop w:val="0"/>
          <w:marBottom w:val="0"/>
          <w:divBdr>
            <w:top w:val="none" w:sz="0" w:space="0" w:color="auto"/>
            <w:left w:val="none" w:sz="0" w:space="0" w:color="auto"/>
            <w:bottom w:val="none" w:sz="0" w:space="0" w:color="auto"/>
            <w:right w:val="none" w:sz="0" w:space="0" w:color="auto"/>
          </w:divBdr>
        </w:div>
        <w:div w:id="1718503103">
          <w:marLeft w:val="0"/>
          <w:marRight w:val="0"/>
          <w:marTop w:val="0"/>
          <w:marBottom w:val="0"/>
          <w:divBdr>
            <w:top w:val="none" w:sz="0" w:space="0" w:color="auto"/>
            <w:left w:val="none" w:sz="0" w:space="0" w:color="auto"/>
            <w:bottom w:val="none" w:sz="0" w:space="0" w:color="auto"/>
            <w:right w:val="none" w:sz="0" w:space="0" w:color="auto"/>
          </w:divBdr>
        </w:div>
        <w:div w:id="1739208154">
          <w:marLeft w:val="0"/>
          <w:marRight w:val="0"/>
          <w:marTop w:val="0"/>
          <w:marBottom w:val="0"/>
          <w:divBdr>
            <w:top w:val="none" w:sz="0" w:space="0" w:color="auto"/>
            <w:left w:val="none" w:sz="0" w:space="0" w:color="auto"/>
            <w:bottom w:val="none" w:sz="0" w:space="0" w:color="auto"/>
            <w:right w:val="none" w:sz="0" w:space="0" w:color="auto"/>
          </w:divBdr>
        </w:div>
        <w:div w:id="1774669046">
          <w:marLeft w:val="0"/>
          <w:marRight w:val="0"/>
          <w:marTop w:val="0"/>
          <w:marBottom w:val="0"/>
          <w:divBdr>
            <w:top w:val="none" w:sz="0" w:space="0" w:color="auto"/>
            <w:left w:val="none" w:sz="0" w:space="0" w:color="auto"/>
            <w:bottom w:val="none" w:sz="0" w:space="0" w:color="auto"/>
            <w:right w:val="none" w:sz="0" w:space="0" w:color="auto"/>
          </w:divBdr>
        </w:div>
        <w:div w:id="1777559051">
          <w:marLeft w:val="0"/>
          <w:marRight w:val="0"/>
          <w:marTop w:val="0"/>
          <w:marBottom w:val="0"/>
          <w:divBdr>
            <w:top w:val="none" w:sz="0" w:space="0" w:color="auto"/>
            <w:left w:val="none" w:sz="0" w:space="0" w:color="auto"/>
            <w:bottom w:val="none" w:sz="0" w:space="0" w:color="auto"/>
            <w:right w:val="none" w:sz="0" w:space="0" w:color="auto"/>
          </w:divBdr>
        </w:div>
        <w:div w:id="1780370869">
          <w:marLeft w:val="0"/>
          <w:marRight w:val="0"/>
          <w:marTop w:val="0"/>
          <w:marBottom w:val="0"/>
          <w:divBdr>
            <w:top w:val="none" w:sz="0" w:space="0" w:color="auto"/>
            <w:left w:val="none" w:sz="0" w:space="0" w:color="auto"/>
            <w:bottom w:val="none" w:sz="0" w:space="0" w:color="auto"/>
            <w:right w:val="none" w:sz="0" w:space="0" w:color="auto"/>
          </w:divBdr>
        </w:div>
        <w:div w:id="1806121051">
          <w:marLeft w:val="0"/>
          <w:marRight w:val="0"/>
          <w:marTop w:val="0"/>
          <w:marBottom w:val="0"/>
          <w:divBdr>
            <w:top w:val="none" w:sz="0" w:space="0" w:color="auto"/>
            <w:left w:val="none" w:sz="0" w:space="0" w:color="auto"/>
            <w:bottom w:val="none" w:sz="0" w:space="0" w:color="auto"/>
            <w:right w:val="none" w:sz="0" w:space="0" w:color="auto"/>
          </w:divBdr>
        </w:div>
        <w:div w:id="1823354563">
          <w:marLeft w:val="0"/>
          <w:marRight w:val="0"/>
          <w:marTop w:val="0"/>
          <w:marBottom w:val="0"/>
          <w:divBdr>
            <w:top w:val="none" w:sz="0" w:space="0" w:color="auto"/>
            <w:left w:val="none" w:sz="0" w:space="0" w:color="auto"/>
            <w:bottom w:val="none" w:sz="0" w:space="0" w:color="auto"/>
            <w:right w:val="none" w:sz="0" w:space="0" w:color="auto"/>
          </w:divBdr>
        </w:div>
        <w:div w:id="1852719699">
          <w:marLeft w:val="0"/>
          <w:marRight w:val="0"/>
          <w:marTop w:val="0"/>
          <w:marBottom w:val="0"/>
          <w:divBdr>
            <w:top w:val="none" w:sz="0" w:space="0" w:color="auto"/>
            <w:left w:val="none" w:sz="0" w:space="0" w:color="auto"/>
            <w:bottom w:val="none" w:sz="0" w:space="0" w:color="auto"/>
            <w:right w:val="none" w:sz="0" w:space="0" w:color="auto"/>
          </w:divBdr>
        </w:div>
        <w:div w:id="1880507074">
          <w:marLeft w:val="0"/>
          <w:marRight w:val="0"/>
          <w:marTop w:val="0"/>
          <w:marBottom w:val="0"/>
          <w:divBdr>
            <w:top w:val="none" w:sz="0" w:space="0" w:color="auto"/>
            <w:left w:val="none" w:sz="0" w:space="0" w:color="auto"/>
            <w:bottom w:val="none" w:sz="0" w:space="0" w:color="auto"/>
            <w:right w:val="none" w:sz="0" w:space="0" w:color="auto"/>
          </w:divBdr>
        </w:div>
        <w:div w:id="1891067507">
          <w:marLeft w:val="0"/>
          <w:marRight w:val="0"/>
          <w:marTop w:val="0"/>
          <w:marBottom w:val="0"/>
          <w:divBdr>
            <w:top w:val="none" w:sz="0" w:space="0" w:color="auto"/>
            <w:left w:val="none" w:sz="0" w:space="0" w:color="auto"/>
            <w:bottom w:val="none" w:sz="0" w:space="0" w:color="auto"/>
            <w:right w:val="none" w:sz="0" w:space="0" w:color="auto"/>
          </w:divBdr>
        </w:div>
        <w:div w:id="1937401293">
          <w:marLeft w:val="0"/>
          <w:marRight w:val="0"/>
          <w:marTop w:val="0"/>
          <w:marBottom w:val="0"/>
          <w:divBdr>
            <w:top w:val="none" w:sz="0" w:space="0" w:color="auto"/>
            <w:left w:val="none" w:sz="0" w:space="0" w:color="auto"/>
            <w:bottom w:val="none" w:sz="0" w:space="0" w:color="auto"/>
            <w:right w:val="none" w:sz="0" w:space="0" w:color="auto"/>
          </w:divBdr>
        </w:div>
        <w:div w:id="1949658727">
          <w:marLeft w:val="0"/>
          <w:marRight w:val="0"/>
          <w:marTop w:val="0"/>
          <w:marBottom w:val="0"/>
          <w:divBdr>
            <w:top w:val="none" w:sz="0" w:space="0" w:color="auto"/>
            <w:left w:val="none" w:sz="0" w:space="0" w:color="auto"/>
            <w:bottom w:val="none" w:sz="0" w:space="0" w:color="auto"/>
            <w:right w:val="none" w:sz="0" w:space="0" w:color="auto"/>
          </w:divBdr>
        </w:div>
        <w:div w:id="1983538177">
          <w:marLeft w:val="0"/>
          <w:marRight w:val="0"/>
          <w:marTop w:val="0"/>
          <w:marBottom w:val="0"/>
          <w:divBdr>
            <w:top w:val="none" w:sz="0" w:space="0" w:color="auto"/>
            <w:left w:val="none" w:sz="0" w:space="0" w:color="auto"/>
            <w:bottom w:val="none" w:sz="0" w:space="0" w:color="auto"/>
            <w:right w:val="none" w:sz="0" w:space="0" w:color="auto"/>
          </w:divBdr>
        </w:div>
        <w:div w:id="1983849995">
          <w:marLeft w:val="0"/>
          <w:marRight w:val="0"/>
          <w:marTop w:val="0"/>
          <w:marBottom w:val="0"/>
          <w:divBdr>
            <w:top w:val="none" w:sz="0" w:space="0" w:color="auto"/>
            <w:left w:val="none" w:sz="0" w:space="0" w:color="auto"/>
            <w:bottom w:val="none" w:sz="0" w:space="0" w:color="auto"/>
            <w:right w:val="none" w:sz="0" w:space="0" w:color="auto"/>
          </w:divBdr>
        </w:div>
        <w:div w:id="1993607065">
          <w:marLeft w:val="0"/>
          <w:marRight w:val="0"/>
          <w:marTop w:val="0"/>
          <w:marBottom w:val="0"/>
          <w:divBdr>
            <w:top w:val="none" w:sz="0" w:space="0" w:color="auto"/>
            <w:left w:val="none" w:sz="0" w:space="0" w:color="auto"/>
            <w:bottom w:val="none" w:sz="0" w:space="0" w:color="auto"/>
            <w:right w:val="none" w:sz="0" w:space="0" w:color="auto"/>
          </w:divBdr>
        </w:div>
        <w:div w:id="1995062916">
          <w:marLeft w:val="0"/>
          <w:marRight w:val="0"/>
          <w:marTop w:val="0"/>
          <w:marBottom w:val="0"/>
          <w:divBdr>
            <w:top w:val="none" w:sz="0" w:space="0" w:color="auto"/>
            <w:left w:val="none" w:sz="0" w:space="0" w:color="auto"/>
            <w:bottom w:val="none" w:sz="0" w:space="0" w:color="auto"/>
            <w:right w:val="none" w:sz="0" w:space="0" w:color="auto"/>
          </w:divBdr>
        </w:div>
        <w:div w:id="2018849367">
          <w:marLeft w:val="0"/>
          <w:marRight w:val="0"/>
          <w:marTop w:val="0"/>
          <w:marBottom w:val="0"/>
          <w:divBdr>
            <w:top w:val="none" w:sz="0" w:space="0" w:color="auto"/>
            <w:left w:val="none" w:sz="0" w:space="0" w:color="auto"/>
            <w:bottom w:val="none" w:sz="0" w:space="0" w:color="auto"/>
            <w:right w:val="none" w:sz="0" w:space="0" w:color="auto"/>
          </w:divBdr>
        </w:div>
        <w:div w:id="2023818527">
          <w:marLeft w:val="0"/>
          <w:marRight w:val="0"/>
          <w:marTop w:val="0"/>
          <w:marBottom w:val="0"/>
          <w:divBdr>
            <w:top w:val="none" w:sz="0" w:space="0" w:color="auto"/>
            <w:left w:val="none" w:sz="0" w:space="0" w:color="auto"/>
            <w:bottom w:val="none" w:sz="0" w:space="0" w:color="auto"/>
            <w:right w:val="none" w:sz="0" w:space="0" w:color="auto"/>
          </w:divBdr>
        </w:div>
        <w:div w:id="2026400735">
          <w:marLeft w:val="0"/>
          <w:marRight w:val="0"/>
          <w:marTop w:val="0"/>
          <w:marBottom w:val="0"/>
          <w:divBdr>
            <w:top w:val="none" w:sz="0" w:space="0" w:color="auto"/>
            <w:left w:val="none" w:sz="0" w:space="0" w:color="auto"/>
            <w:bottom w:val="none" w:sz="0" w:space="0" w:color="auto"/>
            <w:right w:val="none" w:sz="0" w:space="0" w:color="auto"/>
          </w:divBdr>
        </w:div>
        <w:div w:id="2051877418">
          <w:marLeft w:val="0"/>
          <w:marRight w:val="0"/>
          <w:marTop w:val="0"/>
          <w:marBottom w:val="0"/>
          <w:divBdr>
            <w:top w:val="none" w:sz="0" w:space="0" w:color="auto"/>
            <w:left w:val="none" w:sz="0" w:space="0" w:color="auto"/>
            <w:bottom w:val="none" w:sz="0" w:space="0" w:color="auto"/>
            <w:right w:val="none" w:sz="0" w:space="0" w:color="auto"/>
          </w:divBdr>
        </w:div>
        <w:div w:id="2065133823">
          <w:marLeft w:val="0"/>
          <w:marRight w:val="0"/>
          <w:marTop w:val="0"/>
          <w:marBottom w:val="0"/>
          <w:divBdr>
            <w:top w:val="none" w:sz="0" w:space="0" w:color="auto"/>
            <w:left w:val="none" w:sz="0" w:space="0" w:color="auto"/>
            <w:bottom w:val="none" w:sz="0" w:space="0" w:color="auto"/>
            <w:right w:val="none" w:sz="0" w:space="0" w:color="auto"/>
          </w:divBdr>
        </w:div>
        <w:div w:id="2075085041">
          <w:marLeft w:val="0"/>
          <w:marRight w:val="0"/>
          <w:marTop w:val="0"/>
          <w:marBottom w:val="0"/>
          <w:divBdr>
            <w:top w:val="none" w:sz="0" w:space="0" w:color="auto"/>
            <w:left w:val="none" w:sz="0" w:space="0" w:color="auto"/>
            <w:bottom w:val="none" w:sz="0" w:space="0" w:color="auto"/>
            <w:right w:val="none" w:sz="0" w:space="0" w:color="auto"/>
          </w:divBdr>
        </w:div>
        <w:div w:id="2095777339">
          <w:marLeft w:val="0"/>
          <w:marRight w:val="0"/>
          <w:marTop w:val="0"/>
          <w:marBottom w:val="0"/>
          <w:divBdr>
            <w:top w:val="none" w:sz="0" w:space="0" w:color="auto"/>
            <w:left w:val="none" w:sz="0" w:space="0" w:color="auto"/>
            <w:bottom w:val="none" w:sz="0" w:space="0" w:color="auto"/>
            <w:right w:val="none" w:sz="0" w:space="0" w:color="auto"/>
          </w:divBdr>
        </w:div>
        <w:div w:id="2095930426">
          <w:marLeft w:val="0"/>
          <w:marRight w:val="0"/>
          <w:marTop w:val="0"/>
          <w:marBottom w:val="0"/>
          <w:divBdr>
            <w:top w:val="none" w:sz="0" w:space="0" w:color="auto"/>
            <w:left w:val="none" w:sz="0" w:space="0" w:color="auto"/>
            <w:bottom w:val="none" w:sz="0" w:space="0" w:color="auto"/>
            <w:right w:val="none" w:sz="0" w:space="0" w:color="auto"/>
          </w:divBdr>
        </w:div>
        <w:div w:id="2115517522">
          <w:marLeft w:val="0"/>
          <w:marRight w:val="0"/>
          <w:marTop w:val="0"/>
          <w:marBottom w:val="0"/>
          <w:divBdr>
            <w:top w:val="none" w:sz="0" w:space="0" w:color="auto"/>
            <w:left w:val="none" w:sz="0" w:space="0" w:color="auto"/>
            <w:bottom w:val="none" w:sz="0" w:space="0" w:color="auto"/>
            <w:right w:val="none" w:sz="0" w:space="0" w:color="auto"/>
          </w:divBdr>
        </w:div>
        <w:div w:id="2121298670">
          <w:marLeft w:val="0"/>
          <w:marRight w:val="0"/>
          <w:marTop w:val="0"/>
          <w:marBottom w:val="0"/>
          <w:divBdr>
            <w:top w:val="none" w:sz="0" w:space="0" w:color="auto"/>
            <w:left w:val="none" w:sz="0" w:space="0" w:color="auto"/>
            <w:bottom w:val="none" w:sz="0" w:space="0" w:color="auto"/>
            <w:right w:val="none" w:sz="0" w:space="0" w:color="auto"/>
          </w:divBdr>
        </w:div>
      </w:divsChild>
    </w:div>
    <w:div w:id="1324235093">
      <w:bodyDiv w:val="1"/>
      <w:marLeft w:val="0"/>
      <w:marRight w:val="0"/>
      <w:marTop w:val="0"/>
      <w:marBottom w:val="0"/>
      <w:divBdr>
        <w:top w:val="none" w:sz="0" w:space="0" w:color="auto"/>
        <w:left w:val="none" w:sz="0" w:space="0" w:color="auto"/>
        <w:bottom w:val="none" w:sz="0" w:space="0" w:color="auto"/>
        <w:right w:val="none" w:sz="0" w:space="0" w:color="auto"/>
      </w:divBdr>
      <w:divsChild>
        <w:div w:id="698553567">
          <w:marLeft w:val="0"/>
          <w:marRight w:val="0"/>
          <w:marTop w:val="0"/>
          <w:marBottom w:val="0"/>
          <w:divBdr>
            <w:top w:val="none" w:sz="0" w:space="0" w:color="auto"/>
            <w:left w:val="none" w:sz="0" w:space="0" w:color="auto"/>
            <w:bottom w:val="none" w:sz="0" w:space="0" w:color="auto"/>
            <w:right w:val="none" w:sz="0" w:space="0" w:color="auto"/>
          </w:divBdr>
        </w:div>
      </w:divsChild>
    </w:div>
    <w:div w:id="1326200677">
      <w:bodyDiv w:val="1"/>
      <w:marLeft w:val="0"/>
      <w:marRight w:val="0"/>
      <w:marTop w:val="0"/>
      <w:marBottom w:val="0"/>
      <w:divBdr>
        <w:top w:val="none" w:sz="0" w:space="0" w:color="auto"/>
        <w:left w:val="none" w:sz="0" w:space="0" w:color="auto"/>
        <w:bottom w:val="none" w:sz="0" w:space="0" w:color="auto"/>
        <w:right w:val="none" w:sz="0" w:space="0" w:color="auto"/>
      </w:divBdr>
      <w:divsChild>
        <w:div w:id="56129460">
          <w:marLeft w:val="0"/>
          <w:marRight w:val="0"/>
          <w:marTop w:val="0"/>
          <w:marBottom w:val="0"/>
          <w:divBdr>
            <w:top w:val="none" w:sz="0" w:space="0" w:color="auto"/>
            <w:left w:val="none" w:sz="0" w:space="0" w:color="auto"/>
            <w:bottom w:val="none" w:sz="0" w:space="0" w:color="auto"/>
            <w:right w:val="none" w:sz="0" w:space="0" w:color="auto"/>
          </w:divBdr>
        </w:div>
      </w:divsChild>
    </w:div>
    <w:div w:id="1330061880">
      <w:bodyDiv w:val="1"/>
      <w:marLeft w:val="0"/>
      <w:marRight w:val="0"/>
      <w:marTop w:val="0"/>
      <w:marBottom w:val="0"/>
      <w:divBdr>
        <w:top w:val="none" w:sz="0" w:space="0" w:color="auto"/>
        <w:left w:val="none" w:sz="0" w:space="0" w:color="auto"/>
        <w:bottom w:val="none" w:sz="0" w:space="0" w:color="auto"/>
        <w:right w:val="none" w:sz="0" w:space="0" w:color="auto"/>
      </w:divBdr>
    </w:div>
    <w:div w:id="1340624793">
      <w:bodyDiv w:val="1"/>
      <w:marLeft w:val="0"/>
      <w:marRight w:val="0"/>
      <w:marTop w:val="0"/>
      <w:marBottom w:val="0"/>
      <w:divBdr>
        <w:top w:val="none" w:sz="0" w:space="0" w:color="auto"/>
        <w:left w:val="none" w:sz="0" w:space="0" w:color="auto"/>
        <w:bottom w:val="none" w:sz="0" w:space="0" w:color="auto"/>
        <w:right w:val="none" w:sz="0" w:space="0" w:color="auto"/>
      </w:divBdr>
      <w:divsChild>
        <w:div w:id="1271743118">
          <w:marLeft w:val="0"/>
          <w:marRight w:val="0"/>
          <w:marTop w:val="0"/>
          <w:marBottom w:val="0"/>
          <w:divBdr>
            <w:top w:val="none" w:sz="0" w:space="0" w:color="auto"/>
            <w:left w:val="none" w:sz="0" w:space="0" w:color="auto"/>
            <w:bottom w:val="none" w:sz="0" w:space="0" w:color="auto"/>
            <w:right w:val="none" w:sz="0" w:space="0" w:color="auto"/>
          </w:divBdr>
        </w:div>
      </w:divsChild>
    </w:div>
    <w:div w:id="1341280215">
      <w:bodyDiv w:val="1"/>
      <w:marLeft w:val="0"/>
      <w:marRight w:val="0"/>
      <w:marTop w:val="0"/>
      <w:marBottom w:val="0"/>
      <w:divBdr>
        <w:top w:val="none" w:sz="0" w:space="0" w:color="auto"/>
        <w:left w:val="none" w:sz="0" w:space="0" w:color="auto"/>
        <w:bottom w:val="none" w:sz="0" w:space="0" w:color="auto"/>
        <w:right w:val="none" w:sz="0" w:space="0" w:color="auto"/>
      </w:divBdr>
      <w:divsChild>
        <w:div w:id="121119318">
          <w:marLeft w:val="0"/>
          <w:marRight w:val="0"/>
          <w:marTop w:val="0"/>
          <w:marBottom w:val="0"/>
          <w:divBdr>
            <w:top w:val="none" w:sz="0" w:space="0" w:color="auto"/>
            <w:left w:val="none" w:sz="0" w:space="0" w:color="auto"/>
            <w:bottom w:val="none" w:sz="0" w:space="0" w:color="auto"/>
            <w:right w:val="none" w:sz="0" w:space="0" w:color="auto"/>
          </w:divBdr>
        </w:div>
      </w:divsChild>
    </w:div>
    <w:div w:id="1355418963">
      <w:bodyDiv w:val="1"/>
      <w:marLeft w:val="0"/>
      <w:marRight w:val="0"/>
      <w:marTop w:val="0"/>
      <w:marBottom w:val="0"/>
      <w:divBdr>
        <w:top w:val="none" w:sz="0" w:space="0" w:color="auto"/>
        <w:left w:val="none" w:sz="0" w:space="0" w:color="auto"/>
        <w:bottom w:val="none" w:sz="0" w:space="0" w:color="auto"/>
        <w:right w:val="none" w:sz="0" w:space="0" w:color="auto"/>
      </w:divBdr>
      <w:divsChild>
        <w:div w:id="999963928">
          <w:marLeft w:val="0"/>
          <w:marRight w:val="0"/>
          <w:marTop w:val="0"/>
          <w:marBottom w:val="0"/>
          <w:divBdr>
            <w:top w:val="none" w:sz="0" w:space="0" w:color="auto"/>
            <w:left w:val="none" w:sz="0" w:space="0" w:color="auto"/>
            <w:bottom w:val="none" w:sz="0" w:space="0" w:color="auto"/>
            <w:right w:val="none" w:sz="0" w:space="0" w:color="auto"/>
          </w:divBdr>
          <w:divsChild>
            <w:div w:id="351343587">
              <w:marLeft w:val="0"/>
              <w:marRight w:val="0"/>
              <w:marTop w:val="0"/>
              <w:marBottom w:val="0"/>
              <w:divBdr>
                <w:top w:val="none" w:sz="0" w:space="0" w:color="auto"/>
                <w:left w:val="none" w:sz="0" w:space="0" w:color="auto"/>
                <w:bottom w:val="none" w:sz="0" w:space="0" w:color="auto"/>
                <w:right w:val="none" w:sz="0" w:space="0" w:color="auto"/>
              </w:divBdr>
            </w:div>
            <w:div w:id="362362238">
              <w:marLeft w:val="0"/>
              <w:marRight w:val="0"/>
              <w:marTop w:val="0"/>
              <w:marBottom w:val="0"/>
              <w:divBdr>
                <w:top w:val="none" w:sz="0" w:space="0" w:color="auto"/>
                <w:left w:val="none" w:sz="0" w:space="0" w:color="auto"/>
                <w:bottom w:val="none" w:sz="0" w:space="0" w:color="auto"/>
                <w:right w:val="none" w:sz="0" w:space="0" w:color="auto"/>
              </w:divBdr>
            </w:div>
            <w:div w:id="438261705">
              <w:marLeft w:val="0"/>
              <w:marRight w:val="0"/>
              <w:marTop w:val="0"/>
              <w:marBottom w:val="0"/>
              <w:divBdr>
                <w:top w:val="none" w:sz="0" w:space="0" w:color="auto"/>
                <w:left w:val="none" w:sz="0" w:space="0" w:color="auto"/>
                <w:bottom w:val="none" w:sz="0" w:space="0" w:color="auto"/>
                <w:right w:val="none" w:sz="0" w:space="0" w:color="auto"/>
              </w:divBdr>
            </w:div>
            <w:div w:id="697774890">
              <w:marLeft w:val="0"/>
              <w:marRight w:val="0"/>
              <w:marTop w:val="0"/>
              <w:marBottom w:val="0"/>
              <w:divBdr>
                <w:top w:val="none" w:sz="0" w:space="0" w:color="auto"/>
                <w:left w:val="none" w:sz="0" w:space="0" w:color="auto"/>
                <w:bottom w:val="none" w:sz="0" w:space="0" w:color="auto"/>
                <w:right w:val="none" w:sz="0" w:space="0" w:color="auto"/>
              </w:divBdr>
            </w:div>
            <w:div w:id="914776980">
              <w:marLeft w:val="0"/>
              <w:marRight w:val="0"/>
              <w:marTop w:val="0"/>
              <w:marBottom w:val="0"/>
              <w:divBdr>
                <w:top w:val="none" w:sz="0" w:space="0" w:color="auto"/>
                <w:left w:val="none" w:sz="0" w:space="0" w:color="auto"/>
                <w:bottom w:val="none" w:sz="0" w:space="0" w:color="auto"/>
                <w:right w:val="none" w:sz="0" w:space="0" w:color="auto"/>
              </w:divBdr>
            </w:div>
            <w:div w:id="1018124492">
              <w:marLeft w:val="0"/>
              <w:marRight w:val="0"/>
              <w:marTop w:val="0"/>
              <w:marBottom w:val="0"/>
              <w:divBdr>
                <w:top w:val="none" w:sz="0" w:space="0" w:color="auto"/>
                <w:left w:val="none" w:sz="0" w:space="0" w:color="auto"/>
                <w:bottom w:val="none" w:sz="0" w:space="0" w:color="auto"/>
                <w:right w:val="none" w:sz="0" w:space="0" w:color="auto"/>
              </w:divBdr>
            </w:div>
            <w:div w:id="1178040669">
              <w:marLeft w:val="0"/>
              <w:marRight w:val="0"/>
              <w:marTop w:val="0"/>
              <w:marBottom w:val="0"/>
              <w:divBdr>
                <w:top w:val="none" w:sz="0" w:space="0" w:color="auto"/>
                <w:left w:val="none" w:sz="0" w:space="0" w:color="auto"/>
                <w:bottom w:val="none" w:sz="0" w:space="0" w:color="auto"/>
                <w:right w:val="none" w:sz="0" w:space="0" w:color="auto"/>
              </w:divBdr>
            </w:div>
            <w:div w:id="1520310334">
              <w:marLeft w:val="0"/>
              <w:marRight w:val="0"/>
              <w:marTop w:val="0"/>
              <w:marBottom w:val="0"/>
              <w:divBdr>
                <w:top w:val="none" w:sz="0" w:space="0" w:color="auto"/>
                <w:left w:val="none" w:sz="0" w:space="0" w:color="auto"/>
                <w:bottom w:val="none" w:sz="0" w:space="0" w:color="auto"/>
                <w:right w:val="none" w:sz="0" w:space="0" w:color="auto"/>
              </w:divBdr>
            </w:div>
            <w:div w:id="1560282850">
              <w:marLeft w:val="0"/>
              <w:marRight w:val="0"/>
              <w:marTop w:val="0"/>
              <w:marBottom w:val="0"/>
              <w:divBdr>
                <w:top w:val="none" w:sz="0" w:space="0" w:color="auto"/>
                <w:left w:val="none" w:sz="0" w:space="0" w:color="auto"/>
                <w:bottom w:val="none" w:sz="0" w:space="0" w:color="auto"/>
                <w:right w:val="none" w:sz="0" w:space="0" w:color="auto"/>
              </w:divBdr>
            </w:div>
            <w:div w:id="1683773586">
              <w:marLeft w:val="0"/>
              <w:marRight w:val="0"/>
              <w:marTop w:val="0"/>
              <w:marBottom w:val="0"/>
              <w:divBdr>
                <w:top w:val="none" w:sz="0" w:space="0" w:color="auto"/>
                <w:left w:val="none" w:sz="0" w:space="0" w:color="auto"/>
                <w:bottom w:val="none" w:sz="0" w:space="0" w:color="auto"/>
                <w:right w:val="none" w:sz="0" w:space="0" w:color="auto"/>
              </w:divBdr>
            </w:div>
            <w:div w:id="1713262526">
              <w:marLeft w:val="0"/>
              <w:marRight w:val="0"/>
              <w:marTop w:val="0"/>
              <w:marBottom w:val="0"/>
              <w:divBdr>
                <w:top w:val="none" w:sz="0" w:space="0" w:color="auto"/>
                <w:left w:val="none" w:sz="0" w:space="0" w:color="auto"/>
                <w:bottom w:val="none" w:sz="0" w:space="0" w:color="auto"/>
                <w:right w:val="none" w:sz="0" w:space="0" w:color="auto"/>
              </w:divBdr>
            </w:div>
            <w:div w:id="1724910784">
              <w:marLeft w:val="0"/>
              <w:marRight w:val="0"/>
              <w:marTop w:val="0"/>
              <w:marBottom w:val="0"/>
              <w:divBdr>
                <w:top w:val="none" w:sz="0" w:space="0" w:color="auto"/>
                <w:left w:val="none" w:sz="0" w:space="0" w:color="auto"/>
                <w:bottom w:val="none" w:sz="0" w:space="0" w:color="auto"/>
                <w:right w:val="none" w:sz="0" w:space="0" w:color="auto"/>
              </w:divBdr>
            </w:div>
            <w:div w:id="1828472786">
              <w:marLeft w:val="0"/>
              <w:marRight w:val="0"/>
              <w:marTop w:val="0"/>
              <w:marBottom w:val="0"/>
              <w:divBdr>
                <w:top w:val="none" w:sz="0" w:space="0" w:color="auto"/>
                <w:left w:val="none" w:sz="0" w:space="0" w:color="auto"/>
                <w:bottom w:val="none" w:sz="0" w:space="0" w:color="auto"/>
                <w:right w:val="none" w:sz="0" w:space="0" w:color="auto"/>
              </w:divBdr>
            </w:div>
            <w:div w:id="1929385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0475573">
      <w:bodyDiv w:val="1"/>
      <w:marLeft w:val="0"/>
      <w:marRight w:val="0"/>
      <w:marTop w:val="0"/>
      <w:marBottom w:val="0"/>
      <w:divBdr>
        <w:top w:val="none" w:sz="0" w:space="0" w:color="auto"/>
        <w:left w:val="none" w:sz="0" w:space="0" w:color="auto"/>
        <w:bottom w:val="none" w:sz="0" w:space="0" w:color="auto"/>
        <w:right w:val="none" w:sz="0" w:space="0" w:color="auto"/>
      </w:divBdr>
      <w:divsChild>
        <w:div w:id="911816446">
          <w:marLeft w:val="0"/>
          <w:marRight w:val="0"/>
          <w:marTop w:val="0"/>
          <w:marBottom w:val="0"/>
          <w:divBdr>
            <w:top w:val="none" w:sz="0" w:space="0" w:color="auto"/>
            <w:left w:val="none" w:sz="0" w:space="0" w:color="auto"/>
            <w:bottom w:val="none" w:sz="0" w:space="0" w:color="auto"/>
            <w:right w:val="none" w:sz="0" w:space="0" w:color="auto"/>
          </w:divBdr>
        </w:div>
      </w:divsChild>
    </w:div>
    <w:div w:id="1370104736">
      <w:bodyDiv w:val="1"/>
      <w:marLeft w:val="0"/>
      <w:marRight w:val="0"/>
      <w:marTop w:val="0"/>
      <w:marBottom w:val="0"/>
      <w:divBdr>
        <w:top w:val="none" w:sz="0" w:space="0" w:color="auto"/>
        <w:left w:val="none" w:sz="0" w:space="0" w:color="auto"/>
        <w:bottom w:val="none" w:sz="0" w:space="0" w:color="auto"/>
        <w:right w:val="none" w:sz="0" w:space="0" w:color="auto"/>
      </w:divBdr>
      <w:divsChild>
        <w:div w:id="27728565">
          <w:marLeft w:val="0"/>
          <w:marRight w:val="0"/>
          <w:marTop w:val="0"/>
          <w:marBottom w:val="0"/>
          <w:divBdr>
            <w:top w:val="none" w:sz="0" w:space="0" w:color="auto"/>
            <w:left w:val="none" w:sz="0" w:space="0" w:color="auto"/>
            <w:bottom w:val="none" w:sz="0" w:space="0" w:color="auto"/>
            <w:right w:val="none" w:sz="0" w:space="0" w:color="auto"/>
          </w:divBdr>
        </w:div>
        <w:div w:id="801197723">
          <w:marLeft w:val="0"/>
          <w:marRight w:val="0"/>
          <w:marTop w:val="0"/>
          <w:marBottom w:val="0"/>
          <w:divBdr>
            <w:top w:val="none" w:sz="0" w:space="0" w:color="auto"/>
            <w:left w:val="none" w:sz="0" w:space="0" w:color="auto"/>
            <w:bottom w:val="none" w:sz="0" w:space="0" w:color="auto"/>
            <w:right w:val="none" w:sz="0" w:space="0" w:color="auto"/>
          </w:divBdr>
        </w:div>
        <w:div w:id="816609981">
          <w:marLeft w:val="0"/>
          <w:marRight w:val="0"/>
          <w:marTop w:val="0"/>
          <w:marBottom w:val="0"/>
          <w:divBdr>
            <w:top w:val="none" w:sz="0" w:space="0" w:color="auto"/>
            <w:left w:val="none" w:sz="0" w:space="0" w:color="auto"/>
            <w:bottom w:val="none" w:sz="0" w:space="0" w:color="auto"/>
            <w:right w:val="none" w:sz="0" w:space="0" w:color="auto"/>
          </w:divBdr>
        </w:div>
        <w:div w:id="862858915">
          <w:marLeft w:val="0"/>
          <w:marRight w:val="0"/>
          <w:marTop w:val="0"/>
          <w:marBottom w:val="0"/>
          <w:divBdr>
            <w:top w:val="none" w:sz="0" w:space="0" w:color="auto"/>
            <w:left w:val="none" w:sz="0" w:space="0" w:color="auto"/>
            <w:bottom w:val="none" w:sz="0" w:space="0" w:color="auto"/>
            <w:right w:val="none" w:sz="0" w:space="0" w:color="auto"/>
          </w:divBdr>
        </w:div>
        <w:div w:id="2076315149">
          <w:marLeft w:val="0"/>
          <w:marRight w:val="0"/>
          <w:marTop w:val="0"/>
          <w:marBottom w:val="0"/>
          <w:divBdr>
            <w:top w:val="none" w:sz="0" w:space="0" w:color="auto"/>
            <w:left w:val="none" w:sz="0" w:space="0" w:color="auto"/>
            <w:bottom w:val="none" w:sz="0" w:space="0" w:color="auto"/>
            <w:right w:val="none" w:sz="0" w:space="0" w:color="auto"/>
          </w:divBdr>
        </w:div>
      </w:divsChild>
    </w:div>
    <w:div w:id="1373112481">
      <w:bodyDiv w:val="1"/>
      <w:marLeft w:val="0"/>
      <w:marRight w:val="0"/>
      <w:marTop w:val="0"/>
      <w:marBottom w:val="0"/>
      <w:divBdr>
        <w:top w:val="none" w:sz="0" w:space="0" w:color="auto"/>
        <w:left w:val="none" w:sz="0" w:space="0" w:color="auto"/>
        <w:bottom w:val="none" w:sz="0" w:space="0" w:color="auto"/>
        <w:right w:val="none" w:sz="0" w:space="0" w:color="auto"/>
      </w:divBdr>
      <w:divsChild>
        <w:div w:id="448206098">
          <w:marLeft w:val="0"/>
          <w:marRight w:val="0"/>
          <w:marTop w:val="0"/>
          <w:marBottom w:val="0"/>
          <w:divBdr>
            <w:top w:val="none" w:sz="0" w:space="0" w:color="auto"/>
            <w:left w:val="none" w:sz="0" w:space="0" w:color="auto"/>
            <w:bottom w:val="none" w:sz="0" w:space="0" w:color="auto"/>
            <w:right w:val="none" w:sz="0" w:space="0" w:color="auto"/>
          </w:divBdr>
        </w:div>
      </w:divsChild>
    </w:div>
    <w:div w:id="1389378692">
      <w:bodyDiv w:val="1"/>
      <w:marLeft w:val="0"/>
      <w:marRight w:val="0"/>
      <w:marTop w:val="0"/>
      <w:marBottom w:val="0"/>
      <w:divBdr>
        <w:top w:val="none" w:sz="0" w:space="0" w:color="auto"/>
        <w:left w:val="none" w:sz="0" w:space="0" w:color="auto"/>
        <w:bottom w:val="none" w:sz="0" w:space="0" w:color="auto"/>
        <w:right w:val="none" w:sz="0" w:space="0" w:color="auto"/>
      </w:divBdr>
      <w:divsChild>
        <w:div w:id="2008246835">
          <w:marLeft w:val="0"/>
          <w:marRight w:val="0"/>
          <w:marTop w:val="0"/>
          <w:marBottom w:val="0"/>
          <w:divBdr>
            <w:top w:val="none" w:sz="0" w:space="0" w:color="auto"/>
            <w:left w:val="none" w:sz="0" w:space="0" w:color="auto"/>
            <w:bottom w:val="none" w:sz="0" w:space="0" w:color="auto"/>
            <w:right w:val="none" w:sz="0" w:space="0" w:color="auto"/>
          </w:divBdr>
        </w:div>
      </w:divsChild>
    </w:div>
    <w:div w:id="1399790999">
      <w:bodyDiv w:val="1"/>
      <w:marLeft w:val="0"/>
      <w:marRight w:val="0"/>
      <w:marTop w:val="0"/>
      <w:marBottom w:val="0"/>
      <w:divBdr>
        <w:top w:val="none" w:sz="0" w:space="0" w:color="auto"/>
        <w:left w:val="none" w:sz="0" w:space="0" w:color="auto"/>
        <w:bottom w:val="none" w:sz="0" w:space="0" w:color="auto"/>
        <w:right w:val="none" w:sz="0" w:space="0" w:color="auto"/>
      </w:divBdr>
      <w:divsChild>
        <w:div w:id="500314269">
          <w:marLeft w:val="0"/>
          <w:marRight w:val="0"/>
          <w:marTop w:val="0"/>
          <w:marBottom w:val="0"/>
          <w:divBdr>
            <w:top w:val="none" w:sz="0" w:space="0" w:color="auto"/>
            <w:left w:val="none" w:sz="0" w:space="0" w:color="auto"/>
            <w:bottom w:val="none" w:sz="0" w:space="0" w:color="auto"/>
            <w:right w:val="none" w:sz="0" w:space="0" w:color="auto"/>
          </w:divBdr>
        </w:div>
        <w:div w:id="1048798277">
          <w:marLeft w:val="0"/>
          <w:marRight w:val="0"/>
          <w:marTop w:val="0"/>
          <w:marBottom w:val="0"/>
          <w:divBdr>
            <w:top w:val="none" w:sz="0" w:space="0" w:color="auto"/>
            <w:left w:val="none" w:sz="0" w:space="0" w:color="auto"/>
            <w:bottom w:val="none" w:sz="0" w:space="0" w:color="auto"/>
            <w:right w:val="none" w:sz="0" w:space="0" w:color="auto"/>
          </w:divBdr>
        </w:div>
        <w:div w:id="1433433565">
          <w:marLeft w:val="0"/>
          <w:marRight w:val="0"/>
          <w:marTop w:val="0"/>
          <w:marBottom w:val="0"/>
          <w:divBdr>
            <w:top w:val="none" w:sz="0" w:space="0" w:color="auto"/>
            <w:left w:val="none" w:sz="0" w:space="0" w:color="auto"/>
            <w:bottom w:val="none" w:sz="0" w:space="0" w:color="auto"/>
            <w:right w:val="none" w:sz="0" w:space="0" w:color="auto"/>
          </w:divBdr>
        </w:div>
        <w:div w:id="1624726548">
          <w:marLeft w:val="0"/>
          <w:marRight w:val="0"/>
          <w:marTop w:val="0"/>
          <w:marBottom w:val="0"/>
          <w:divBdr>
            <w:top w:val="none" w:sz="0" w:space="0" w:color="auto"/>
            <w:left w:val="none" w:sz="0" w:space="0" w:color="auto"/>
            <w:bottom w:val="none" w:sz="0" w:space="0" w:color="auto"/>
            <w:right w:val="none" w:sz="0" w:space="0" w:color="auto"/>
          </w:divBdr>
        </w:div>
        <w:div w:id="2136755231">
          <w:marLeft w:val="0"/>
          <w:marRight w:val="0"/>
          <w:marTop w:val="0"/>
          <w:marBottom w:val="0"/>
          <w:divBdr>
            <w:top w:val="none" w:sz="0" w:space="0" w:color="auto"/>
            <w:left w:val="none" w:sz="0" w:space="0" w:color="auto"/>
            <w:bottom w:val="none" w:sz="0" w:space="0" w:color="auto"/>
            <w:right w:val="none" w:sz="0" w:space="0" w:color="auto"/>
          </w:divBdr>
        </w:div>
      </w:divsChild>
    </w:div>
    <w:div w:id="1401443534">
      <w:bodyDiv w:val="1"/>
      <w:marLeft w:val="0"/>
      <w:marRight w:val="0"/>
      <w:marTop w:val="0"/>
      <w:marBottom w:val="0"/>
      <w:divBdr>
        <w:top w:val="none" w:sz="0" w:space="0" w:color="auto"/>
        <w:left w:val="none" w:sz="0" w:space="0" w:color="auto"/>
        <w:bottom w:val="none" w:sz="0" w:space="0" w:color="auto"/>
        <w:right w:val="none" w:sz="0" w:space="0" w:color="auto"/>
      </w:divBdr>
    </w:div>
    <w:div w:id="1404371010">
      <w:bodyDiv w:val="1"/>
      <w:marLeft w:val="0"/>
      <w:marRight w:val="0"/>
      <w:marTop w:val="0"/>
      <w:marBottom w:val="0"/>
      <w:divBdr>
        <w:top w:val="none" w:sz="0" w:space="0" w:color="auto"/>
        <w:left w:val="none" w:sz="0" w:space="0" w:color="auto"/>
        <w:bottom w:val="none" w:sz="0" w:space="0" w:color="auto"/>
        <w:right w:val="none" w:sz="0" w:space="0" w:color="auto"/>
      </w:divBdr>
      <w:divsChild>
        <w:div w:id="993795343">
          <w:marLeft w:val="0"/>
          <w:marRight w:val="0"/>
          <w:marTop w:val="0"/>
          <w:marBottom w:val="0"/>
          <w:divBdr>
            <w:top w:val="none" w:sz="0" w:space="0" w:color="auto"/>
            <w:left w:val="none" w:sz="0" w:space="0" w:color="auto"/>
            <w:bottom w:val="none" w:sz="0" w:space="0" w:color="auto"/>
            <w:right w:val="none" w:sz="0" w:space="0" w:color="auto"/>
          </w:divBdr>
        </w:div>
      </w:divsChild>
    </w:div>
    <w:div w:id="1404647453">
      <w:bodyDiv w:val="1"/>
      <w:marLeft w:val="0"/>
      <w:marRight w:val="0"/>
      <w:marTop w:val="0"/>
      <w:marBottom w:val="0"/>
      <w:divBdr>
        <w:top w:val="none" w:sz="0" w:space="0" w:color="auto"/>
        <w:left w:val="none" w:sz="0" w:space="0" w:color="auto"/>
        <w:bottom w:val="none" w:sz="0" w:space="0" w:color="auto"/>
        <w:right w:val="none" w:sz="0" w:space="0" w:color="auto"/>
      </w:divBdr>
      <w:divsChild>
        <w:div w:id="1910924260">
          <w:marLeft w:val="0"/>
          <w:marRight w:val="0"/>
          <w:marTop w:val="0"/>
          <w:marBottom w:val="0"/>
          <w:divBdr>
            <w:top w:val="none" w:sz="0" w:space="0" w:color="auto"/>
            <w:left w:val="none" w:sz="0" w:space="0" w:color="auto"/>
            <w:bottom w:val="none" w:sz="0" w:space="0" w:color="auto"/>
            <w:right w:val="none" w:sz="0" w:space="0" w:color="auto"/>
          </w:divBdr>
        </w:div>
      </w:divsChild>
    </w:div>
    <w:div w:id="1414353904">
      <w:bodyDiv w:val="1"/>
      <w:marLeft w:val="0"/>
      <w:marRight w:val="0"/>
      <w:marTop w:val="0"/>
      <w:marBottom w:val="0"/>
      <w:divBdr>
        <w:top w:val="none" w:sz="0" w:space="0" w:color="auto"/>
        <w:left w:val="none" w:sz="0" w:space="0" w:color="auto"/>
        <w:bottom w:val="none" w:sz="0" w:space="0" w:color="auto"/>
        <w:right w:val="none" w:sz="0" w:space="0" w:color="auto"/>
      </w:divBdr>
      <w:divsChild>
        <w:div w:id="86926305">
          <w:marLeft w:val="0"/>
          <w:marRight w:val="0"/>
          <w:marTop w:val="0"/>
          <w:marBottom w:val="0"/>
          <w:divBdr>
            <w:top w:val="none" w:sz="0" w:space="0" w:color="auto"/>
            <w:left w:val="none" w:sz="0" w:space="0" w:color="auto"/>
            <w:bottom w:val="none" w:sz="0" w:space="0" w:color="auto"/>
            <w:right w:val="none" w:sz="0" w:space="0" w:color="auto"/>
          </w:divBdr>
        </w:div>
      </w:divsChild>
    </w:div>
    <w:div w:id="1414738070">
      <w:bodyDiv w:val="1"/>
      <w:marLeft w:val="0"/>
      <w:marRight w:val="0"/>
      <w:marTop w:val="0"/>
      <w:marBottom w:val="0"/>
      <w:divBdr>
        <w:top w:val="none" w:sz="0" w:space="0" w:color="auto"/>
        <w:left w:val="none" w:sz="0" w:space="0" w:color="auto"/>
        <w:bottom w:val="none" w:sz="0" w:space="0" w:color="auto"/>
        <w:right w:val="none" w:sz="0" w:space="0" w:color="auto"/>
      </w:divBdr>
      <w:divsChild>
        <w:div w:id="108163292">
          <w:marLeft w:val="0"/>
          <w:marRight w:val="0"/>
          <w:marTop w:val="0"/>
          <w:marBottom w:val="0"/>
          <w:divBdr>
            <w:top w:val="none" w:sz="0" w:space="0" w:color="auto"/>
            <w:left w:val="none" w:sz="0" w:space="0" w:color="auto"/>
            <w:bottom w:val="none" w:sz="0" w:space="0" w:color="auto"/>
            <w:right w:val="none" w:sz="0" w:space="0" w:color="auto"/>
          </w:divBdr>
        </w:div>
      </w:divsChild>
    </w:div>
    <w:div w:id="1432629718">
      <w:bodyDiv w:val="1"/>
      <w:marLeft w:val="0"/>
      <w:marRight w:val="0"/>
      <w:marTop w:val="0"/>
      <w:marBottom w:val="0"/>
      <w:divBdr>
        <w:top w:val="none" w:sz="0" w:space="0" w:color="auto"/>
        <w:left w:val="none" w:sz="0" w:space="0" w:color="auto"/>
        <w:bottom w:val="none" w:sz="0" w:space="0" w:color="auto"/>
        <w:right w:val="none" w:sz="0" w:space="0" w:color="auto"/>
      </w:divBdr>
      <w:divsChild>
        <w:div w:id="2049797093">
          <w:marLeft w:val="0"/>
          <w:marRight w:val="0"/>
          <w:marTop w:val="0"/>
          <w:marBottom w:val="0"/>
          <w:divBdr>
            <w:top w:val="none" w:sz="0" w:space="0" w:color="auto"/>
            <w:left w:val="none" w:sz="0" w:space="0" w:color="auto"/>
            <w:bottom w:val="none" w:sz="0" w:space="0" w:color="auto"/>
            <w:right w:val="none" w:sz="0" w:space="0" w:color="auto"/>
          </w:divBdr>
        </w:div>
      </w:divsChild>
    </w:div>
    <w:div w:id="1441143007">
      <w:bodyDiv w:val="1"/>
      <w:marLeft w:val="0"/>
      <w:marRight w:val="0"/>
      <w:marTop w:val="0"/>
      <w:marBottom w:val="0"/>
      <w:divBdr>
        <w:top w:val="none" w:sz="0" w:space="0" w:color="auto"/>
        <w:left w:val="none" w:sz="0" w:space="0" w:color="auto"/>
        <w:bottom w:val="none" w:sz="0" w:space="0" w:color="auto"/>
        <w:right w:val="none" w:sz="0" w:space="0" w:color="auto"/>
      </w:divBdr>
      <w:divsChild>
        <w:div w:id="1623686001">
          <w:marLeft w:val="0"/>
          <w:marRight w:val="0"/>
          <w:marTop w:val="0"/>
          <w:marBottom w:val="0"/>
          <w:divBdr>
            <w:top w:val="none" w:sz="0" w:space="0" w:color="auto"/>
            <w:left w:val="none" w:sz="0" w:space="0" w:color="auto"/>
            <w:bottom w:val="none" w:sz="0" w:space="0" w:color="auto"/>
            <w:right w:val="none" w:sz="0" w:space="0" w:color="auto"/>
          </w:divBdr>
        </w:div>
      </w:divsChild>
    </w:div>
    <w:div w:id="1442265992">
      <w:bodyDiv w:val="1"/>
      <w:marLeft w:val="0"/>
      <w:marRight w:val="0"/>
      <w:marTop w:val="0"/>
      <w:marBottom w:val="0"/>
      <w:divBdr>
        <w:top w:val="none" w:sz="0" w:space="0" w:color="auto"/>
        <w:left w:val="none" w:sz="0" w:space="0" w:color="auto"/>
        <w:bottom w:val="none" w:sz="0" w:space="0" w:color="auto"/>
        <w:right w:val="none" w:sz="0" w:space="0" w:color="auto"/>
      </w:divBdr>
      <w:divsChild>
        <w:div w:id="216938045">
          <w:marLeft w:val="0"/>
          <w:marRight w:val="0"/>
          <w:marTop w:val="0"/>
          <w:marBottom w:val="0"/>
          <w:divBdr>
            <w:top w:val="none" w:sz="0" w:space="0" w:color="auto"/>
            <w:left w:val="none" w:sz="0" w:space="0" w:color="auto"/>
            <w:bottom w:val="none" w:sz="0" w:space="0" w:color="auto"/>
            <w:right w:val="none" w:sz="0" w:space="0" w:color="auto"/>
          </w:divBdr>
        </w:div>
      </w:divsChild>
    </w:div>
    <w:div w:id="1458257814">
      <w:bodyDiv w:val="1"/>
      <w:marLeft w:val="0"/>
      <w:marRight w:val="0"/>
      <w:marTop w:val="0"/>
      <w:marBottom w:val="0"/>
      <w:divBdr>
        <w:top w:val="none" w:sz="0" w:space="0" w:color="auto"/>
        <w:left w:val="none" w:sz="0" w:space="0" w:color="auto"/>
        <w:bottom w:val="none" w:sz="0" w:space="0" w:color="auto"/>
        <w:right w:val="none" w:sz="0" w:space="0" w:color="auto"/>
      </w:divBdr>
      <w:divsChild>
        <w:div w:id="1533761417">
          <w:marLeft w:val="0"/>
          <w:marRight w:val="0"/>
          <w:marTop w:val="0"/>
          <w:marBottom w:val="0"/>
          <w:divBdr>
            <w:top w:val="none" w:sz="0" w:space="0" w:color="auto"/>
            <w:left w:val="none" w:sz="0" w:space="0" w:color="auto"/>
            <w:bottom w:val="none" w:sz="0" w:space="0" w:color="auto"/>
            <w:right w:val="none" w:sz="0" w:space="0" w:color="auto"/>
          </w:divBdr>
        </w:div>
      </w:divsChild>
    </w:div>
    <w:div w:id="1468469345">
      <w:bodyDiv w:val="1"/>
      <w:marLeft w:val="0"/>
      <w:marRight w:val="0"/>
      <w:marTop w:val="0"/>
      <w:marBottom w:val="0"/>
      <w:divBdr>
        <w:top w:val="none" w:sz="0" w:space="0" w:color="auto"/>
        <w:left w:val="none" w:sz="0" w:space="0" w:color="auto"/>
        <w:bottom w:val="none" w:sz="0" w:space="0" w:color="auto"/>
        <w:right w:val="none" w:sz="0" w:space="0" w:color="auto"/>
      </w:divBdr>
      <w:divsChild>
        <w:div w:id="1843201020">
          <w:marLeft w:val="0"/>
          <w:marRight w:val="0"/>
          <w:marTop w:val="0"/>
          <w:marBottom w:val="0"/>
          <w:divBdr>
            <w:top w:val="none" w:sz="0" w:space="0" w:color="auto"/>
            <w:left w:val="none" w:sz="0" w:space="0" w:color="auto"/>
            <w:bottom w:val="none" w:sz="0" w:space="0" w:color="auto"/>
            <w:right w:val="none" w:sz="0" w:space="0" w:color="auto"/>
          </w:divBdr>
        </w:div>
      </w:divsChild>
    </w:div>
    <w:div w:id="1479372825">
      <w:bodyDiv w:val="1"/>
      <w:marLeft w:val="0"/>
      <w:marRight w:val="0"/>
      <w:marTop w:val="0"/>
      <w:marBottom w:val="0"/>
      <w:divBdr>
        <w:top w:val="none" w:sz="0" w:space="0" w:color="auto"/>
        <w:left w:val="none" w:sz="0" w:space="0" w:color="auto"/>
        <w:bottom w:val="none" w:sz="0" w:space="0" w:color="auto"/>
        <w:right w:val="none" w:sz="0" w:space="0" w:color="auto"/>
      </w:divBdr>
      <w:divsChild>
        <w:div w:id="1025866606">
          <w:marLeft w:val="0"/>
          <w:marRight w:val="0"/>
          <w:marTop w:val="0"/>
          <w:marBottom w:val="0"/>
          <w:divBdr>
            <w:top w:val="none" w:sz="0" w:space="0" w:color="auto"/>
            <w:left w:val="none" w:sz="0" w:space="0" w:color="auto"/>
            <w:bottom w:val="none" w:sz="0" w:space="0" w:color="auto"/>
            <w:right w:val="none" w:sz="0" w:space="0" w:color="auto"/>
          </w:divBdr>
        </w:div>
      </w:divsChild>
    </w:div>
    <w:div w:id="1495948069">
      <w:bodyDiv w:val="1"/>
      <w:marLeft w:val="0"/>
      <w:marRight w:val="0"/>
      <w:marTop w:val="0"/>
      <w:marBottom w:val="0"/>
      <w:divBdr>
        <w:top w:val="none" w:sz="0" w:space="0" w:color="auto"/>
        <w:left w:val="none" w:sz="0" w:space="0" w:color="auto"/>
        <w:bottom w:val="none" w:sz="0" w:space="0" w:color="auto"/>
        <w:right w:val="none" w:sz="0" w:space="0" w:color="auto"/>
      </w:divBdr>
    </w:div>
    <w:div w:id="1499420614">
      <w:bodyDiv w:val="1"/>
      <w:marLeft w:val="0"/>
      <w:marRight w:val="0"/>
      <w:marTop w:val="0"/>
      <w:marBottom w:val="0"/>
      <w:divBdr>
        <w:top w:val="none" w:sz="0" w:space="0" w:color="auto"/>
        <w:left w:val="none" w:sz="0" w:space="0" w:color="auto"/>
        <w:bottom w:val="none" w:sz="0" w:space="0" w:color="auto"/>
        <w:right w:val="none" w:sz="0" w:space="0" w:color="auto"/>
      </w:divBdr>
    </w:div>
    <w:div w:id="1503009387">
      <w:bodyDiv w:val="1"/>
      <w:marLeft w:val="0"/>
      <w:marRight w:val="0"/>
      <w:marTop w:val="0"/>
      <w:marBottom w:val="0"/>
      <w:divBdr>
        <w:top w:val="none" w:sz="0" w:space="0" w:color="auto"/>
        <w:left w:val="none" w:sz="0" w:space="0" w:color="auto"/>
        <w:bottom w:val="none" w:sz="0" w:space="0" w:color="auto"/>
        <w:right w:val="none" w:sz="0" w:space="0" w:color="auto"/>
      </w:divBdr>
      <w:divsChild>
        <w:div w:id="1344670683">
          <w:marLeft w:val="0"/>
          <w:marRight w:val="0"/>
          <w:marTop w:val="0"/>
          <w:marBottom w:val="0"/>
          <w:divBdr>
            <w:top w:val="none" w:sz="0" w:space="0" w:color="auto"/>
            <w:left w:val="none" w:sz="0" w:space="0" w:color="auto"/>
            <w:bottom w:val="none" w:sz="0" w:space="0" w:color="auto"/>
            <w:right w:val="none" w:sz="0" w:space="0" w:color="auto"/>
          </w:divBdr>
        </w:div>
      </w:divsChild>
    </w:div>
    <w:div w:id="1503398511">
      <w:bodyDiv w:val="1"/>
      <w:marLeft w:val="0"/>
      <w:marRight w:val="0"/>
      <w:marTop w:val="0"/>
      <w:marBottom w:val="0"/>
      <w:divBdr>
        <w:top w:val="none" w:sz="0" w:space="0" w:color="auto"/>
        <w:left w:val="none" w:sz="0" w:space="0" w:color="auto"/>
        <w:bottom w:val="none" w:sz="0" w:space="0" w:color="auto"/>
        <w:right w:val="none" w:sz="0" w:space="0" w:color="auto"/>
      </w:divBdr>
      <w:divsChild>
        <w:div w:id="373165333">
          <w:marLeft w:val="0"/>
          <w:marRight w:val="0"/>
          <w:marTop w:val="0"/>
          <w:marBottom w:val="0"/>
          <w:divBdr>
            <w:top w:val="none" w:sz="0" w:space="0" w:color="auto"/>
            <w:left w:val="none" w:sz="0" w:space="0" w:color="auto"/>
            <w:bottom w:val="none" w:sz="0" w:space="0" w:color="auto"/>
            <w:right w:val="none" w:sz="0" w:space="0" w:color="auto"/>
          </w:divBdr>
        </w:div>
      </w:divsChild>
    </w:div>
    <w:div w:id="1509057012">
      <w:bodyDiv w:val="1"/>
      <w:marLeft w:val="0"/>
      <w:marRight w:val="0"/>
      <w:marTop w:val="0"/>
      <w:marBottom w:val="0"/>
      <w:divBdr>
        <w:top w:val="none" w:sz="0" w:space="0" w:color="auto"/>
        <w:left w:val="none" w:sz="0" w:space="0" w:color="auto"/>
        <w:bottom w:val="none" w:sz="0" w:space="0" w:color="auto"/>
        <w:right w:val="none" w:sz="0" w:space="0" w:color="auto"/>
      </w:divBdr>
      <w:divsChild>
        <w:div w:id="1079906714">
          <w:marLeft w:val="0"/>
          <w:marRight w:val="0"/>
          <w:marTop w:val="0"/>
          <w:marBottom w:val="0"/>
          <w:divBdr>
            <w:top w:val="none" w:sz="0" w:space="0" w:color="auto"/>
            <w:left w:val="none" w:sz="0" w:space="0" w:color="auto"/>
            <w:bottom w:val="none" w:sz="0" w:space="0" w:color="auto"/>
            <w:right w:val="none" w:sz="0" w:space="0" w:color="auto"/>
          </w:divBdr>
          <w:divsChild>
            <w:div w:id="743263165">
              <w:marLeft w:val="0"/>
              <w:marRight w:val="0"/>
              <w:marTop w:val="0"/>
              <w:marBottom w:val="0"/>
              <w:divBdr>
                <w:top w:val="none" w:sz="0" w:space="0" w:color="auto"/>
                <w:left w:val="none" w:sz="0" w:space="0" w:color="auto"/>
                <w:bottom w:val="none" w:sz="0" w:space="0" w:color="auto"/>
                <w:right w:val="none" w:sz="0" w:space="0" w:color="auto"/>
              </w:divBdr>
            </w:div>
            <w:div w:id="1493831315">
              <w:marLeft w:val="0"/>
              <w:marRight w:val="0"/>
              <w:marTop w:val="0"/>
              <w:marBottom w:val="0"/>
              <w:divBdr>
                <w:top w:val="none" w:sz="0" w:space="0" w:color="auto"/>
                <w:left w:val="none" w:sz="0" w:space="0" w:color="auto"/>
                <w:bottom w:val="none" w:sz="0" w:space="0" w:color="auto"/>
                <w:right w:val="none" w:sz="0" w:space="0" w:color="auto"/>
              </w:divBdr>
            </w:div>
          </w:divsChild>
        </w:div>
        <w:div w:id="2106606976">
          <w:marLeft w:val="0"/>
          <w:marRight w:val="0"/>
          <w:marTop w:val="0"/>
          <w:marBottom w:val="0"/>
          <w:divBdr>
            <w:top w:val="none" w:sz="0" w:space="0" w:color="auto"/>
            <w:left w:val="none" w:sz="0" w:space="0" w:color="auto"/>
            <w:bottom w:val="none" w:sz="0" w:space="0" w:color="auto"/>
            <w:right w:val="none" w:sz="0" w:space="0" w:color="auto"/>
          </w:divBdr>
        </w:div>
      </w:divsChild>
    </w:div>
    <w:div w:id="1539508349">
      <w:bodyDiv w:val="1"/>
      <w:marLeft w:val="0"/>
      <w:marRight w:val="0"/>
      <w:marTop w:val="0"/>
      <w:marBottom w:val="0"/>
      <w:divBdr>
        <w:top w:val="none" w:sz="0" w:space="0" w:color="auto"/>
        <w:left w:val="none" w:sz="0" w:space="0" w:color="auto"/>
        <w:bottom w:val="none" w:sz="0" w:space="0" w:color="auto"/>
        <w:right w:val="none" w:sz="0" w:space="0" w:color="auto"/>
      </w:divBdr>
      <w:divsChild>
        <w:div w:id="304823212">
          <w:marLeft w:val="0"/>
          <w:marRight w:val="0"/>
          <w:marTop w:val="0"/>
          <w:marBottom w:val="0"/>
          <w:divBdr>
            <w:top w:val="none" w:sz="0" w:space="0" w:color="auto"/>
            <w:left w:val="none" w:sz="0" w:space="0" w:color="auto"/>
            <w:bottom w:val="none" w:sz="0" w:space="0" w:color="auto"/>
            <w:right w:val="none" w:sz="0" w:space="0" w:color="auto"/>
          </w:divBdr>
        </w:div>
      </w:divsChild>
    </w:div>
    <w:div w:id="1549761525">
      <w:bodyDiv w:val="1"/>
      <w:marLeft w:val="0"/>
      <w:marRight w:val="0"/>
      <w:marTop w:val="0"/>
      <w:marBottom w:val="0"/>
      <w:divBdr>
        <w:top w:val="none" w:sz="0" w:space="0" w:color="auto"/>
        <w:left w:val="none" w:sz="0" w:space="0" w:color="auto"/>
        <w:bottom w:val="none" w:sz="0" w:space="0" w:color="auto"/>
        <w:right w:val="none" w:sz="0" w:space="0" w:color="auto"/>
      </w:divBdr>
      <w:divsChild>
        <w:div w:id="858785301">
          <w:marLeft w:val="0"/>
          <w:marRight w:val="0"/>
          <w:marTop w:val="0"/>
          <w:marBottom w:val="0"/>
          <w:divBdr>
            <w:top w:val="none" w:sz="0" w:space="0" w:color="auto"/>
            <w:left w:val="none" w:sz="0" w:space="0" w:color="auto"/>
            <w:bottom w:val="none" w:sz="0" w:space="0" w:color="auto"/>
            <w:right w:val="none" w:sz="0" w:space="0" w:color="auto"/>
          </w:divBdr>
        </w:div>
      </w:divsChild>
    </w:div>
    <w:div w:id="1580141222">
      <w:bodyDiv w:val="1"/>
      <w:marLeft w:val="0"/>
      <w:marRight w:val="0"/>
      <w:marTop w:val="0"/>
      <w:marBottom w:val="0"/>
      <w:divBdr>
        <w:top w:val="none" w:sz="0" w:space="0" w:color="auto"/>
        <w:left w:val="none" w:sz="0" w:space="0" w:color="auto"/>
        <w:bottom w:val="none" w:sz="0" w:space="0" w:color="auto"/>
        <w:right w:val="none" w:sz="0" w:space="0" w:color="auto"/>
      </w:divBdr>
      <w:divsChild>
        <w:div w:id="1280376901">
          <w:marLeft w:val="0"/>
          <w:marRight w:val="0"/>
          <w:marTop w:val="0"/>
          <w:marBottom w:val="0"/>
          <w:divBdr>
            <w:top w:val="none" w:sz="0" w:space="0" w:color="auto"/>
            <w:left w:val="none" w:sz="0" w:space="0" w:color="auto"/>
            <w:bottom w:val="none" w:sz="0" w:space="0" w:color="auto"/>
            <w:right w:val="none" w:sz="0" w:space="0" w:color="auto"/>
          </w:divBdr>
        </w:div>
        <w:div w:id="2075201826">
          <w:marLeft w:val="0"/>
          <w:marRight w:val="0"/>
          <w:marTop w:val="0"/>
          <w:marBottom w:val="0"/>
          <w:divBdr>
            <w:top w:val="none" w:sz="0" w:space="0" w:color="auto"/>
            <w:left w:val="none" w:sz="0" w:space="0" w:color="auto"/>
            <w:bottom w:val="none" w:sz="0" w:space="0" w:color="auto"/>
            <w:right w:val="none" w:sz="0" w:space="0" w:color="auto"/>
          </w:divBdr>
        </w:div>
      </w:divsChild>
    </w:div>
    <w:div w:id="1585340175">
      <w:bodyDiv w:val="1"/>
      <w:marLeft w:val="0"/>
      <w:marRight w:val="0"/>
      <w:marTop w:val="0"/>
      <w:marBottom w:val="0"/>
      <w:divBdr>
        <w:top w:val="none" w:sz="0" w:space="0" w:color="auto"/>
        <w:left w:val="none" w:sz="0" w:space="0" w:color="auto"/>
        <w:bottom w:val="none" w:sz="0" w:space="0" w:color="auto"/>
        <w:right w:val="none" w:sz="0" w:space="0" w:color="auto"/>
      </w:divBdr>
      <w:divsChild>
        <w:div w:id="2127847363">
          <w:marLeft w:val="0"/>
          <w:marRight w:val="0"/>
          <w:marTop w:val="0"/>
          <w:marBottom w:val="0"/>
          <w:divBdr>
            <w:top w:val="none" w:sz="0" w:space="0" w:color="auto"/>
            <w:left w:val="none" w:sz="0" w:space="0" w:color="auto"/>
            <w:bottom w:val="none" w:sz="0" w:space="0" w:color="auto"/>
            <w:right w:val="none" w:sz="0" w:space="0" w:color="auto"/>
          </w:divBdr>
        </w:div>
      </w:divsChild>
    </w:div>
    <w:div w:id="1592355402">
      <w:bodyDiv w:val="1"/>
      <w:marLeft w:val="0"/>
      <w:marRight w:val="0"/>
      <w:marTop w:val="0"/>
      <w:marBottom w:val="0"/>
      <w:divBdr>
        <w:top w:val="none" w:sz="0" w:space="0" w:color="auto"/>
        <w:left w:val="none" w:sz="0" w:space="0" w:color="auto"/>
        <w:bottom w:val="none" w:sz="0" w:space="0" w:color="auto"/>
        <w:right w:val="none" w:sz="0" w:space="0" w:color="auto"/>
      </w:divBdr>
      <w:divsChild>
        <w:div w:id="718895879">
          <w:marLeft w:val="0"/>
          <w:marRight w:val="0"/>
          <w:marTop w:val="0"/>
          <w:marBottom w:val="0"/>
          <w:divBdr>
            <w:top w:val="none" w:sz="0" w:space="0" w:color="auto"/>
            <w:left w:val="none" w:sz="0" w:space="0" w:color="auto"/>
            <w:bottom w:val="none" w:sz="0" w:space="0" w:color="auto"/>
            <w:right w:val="none" w:sz="0" w:space="0" w:color="auto"/>
          </w:divBdr>
        </w:div>
      </w:divsChild>
    </w:div>
    <w:div w:id="1599294603">
      <w:bodyDiv w:val="1"/>
      <w:marLeft w:val="0"/>
      <w:marRight w:val="0"/>
      <w:marTop w:val="0"/>
      <w:marBottom w:val="0"/>
      <w:divBdr>
        <w:top w:val="none" w:sz="0" w:space="0" w:color="auto"/>
        <w:left w:val="none" w:sz="0" w:space="0" w:color="auto"/>
        <w:bottom w:val="none" w:sz="0" w:space="0" w:color="auto"/>
        <w:right w:val="none" w:sz="0" w:space="0" w:color="auto"/>
      </w:divBdr>
      <w:divsChild>
        <w:div w:id="106118820">
          <w:marLeft w:val="0"/>
          <w:marRight w:val="0"/>
          <w:marTop w:val="0"/>
          <w:marBottom w:val="0"/>
          <w:divBdr>
            <w:top w:val="none" w:sz="0" w:space="0" w:color="auto"/>
            <w:left w:val="none" w:sz="0" w:space="0" w:color="auto"/>
            <w:bottom w:val="none" w:sz="0" w:space="0" w:color="auto"/>
            <w:right w:val="none" w:sz="0" w:space="0" w:color="auto"/>
          </w:divBdr>
        </w:div>
        <w:div w:id="197816607">
          <w:marLeft w:val="0"/>
          <w:marRight w:val="0"/>
          <w:marTop w:val="0"/>
          <w:marBottom w:val="0"/>
          <w:divBdr>
            <w:top w:val="none" w:sz="0" w:space="0" w:color="auto"/>
            <w:left w:val="none" w:sz="0" w:space="0" w:color="auto"/>
            <w:bottom w:val="none" w:sz="0" w:space="0" w:color="auto"/>
            <w:right w:val="none" w:sz="0" w:space="0" w:color="auto"/>
          </w:divBdr>
        </w:div>
        <w:div w:id="278880204">
          <w:marLeft w:val="0"/>
          <w:marRight w:val="0"/>
          <w:marTop w:val="0"/>
          <w:marBottom w:val="0"/>
          <w:divBdr>
            <w:top w:val="none" w:sz="0" w:space="0" w:color="auto"/>
            <w:left w:val="none" w:sz="0" w:space="0" w:color="auto"/>
            <w:bottom w:val="none" w:sz="0" w:space="0" w:color="auto"/>
            <w:right w:val="none" w:sz="0" w:space="0" w:color="auto"/>
          </w:divBdr>
        </w:div>
        <w:div w:id="288322329">
          <w:marLeft w:val="0"/>
          <w:marRight w:val="0"/>
          <w:marTop w:val="0"/>
          <w:marBottom w:val="0"/>
          <w:divBdr>
            <w:top w:val="none" w:sz="0" w:space="0" w:color="auto"/>
            <w:left w:val="none" w:sz="0" w:space="0" w:color="auto"/>
            <w:bottom w:val="none" w:sz="0" w:space="0" w:color="auto"/>
            <w:right w:val="none" w:sz="0" w:space="0" w:color="auto"/>
          </w:divBdr>
        </w:div>
        <w:div w:id="478496482">
          <w:marLeft w:val="0"/>
          <w:marRight w:val="0"/>
          <w:marTop w:val="0"/>
          <w:marBottom w:val="0"/>
          <w:divBdr>
            <w:top w:val="none" w:sz="0" w:space="0" w:color="auto"/>
            <w:left w:val="none" w:sz="0" w:space="0" w:color="auto"/>
            <w:bottom w:val="none" w:sz="0" w:space="0" w:color="auto"/>
            <w:right w:val="none" w:sz="0" w:space="0" w:color="auto"/>
          </w:divBdr>
        </w:div>
        <w:div w:id="517356096">
          <w:marLeft w:val="0"/>
          <w:marRight w:val="0"/>
          <w:marTop w:val="0"/>
          <w:marBottom w:val="0"/>
          <w:divBdr>
            <w:top w:val="none" w:sz="0" w:space="0" w:color="auto"/>
            <w:left w:val="none" w:sz="0" w:space="0" w:color="auto"/>
            <w:bottom w:val="none" w:sz="0" w:space="0" w:color="auto"/>
            <w:right w:val="none" w:sz="0" w:space="0" w:color="auto"/>
          </w:divBdr>
        </w:div>
        <w:div w:id="592401745">
          <w:marLeft w:val="0"/>
          <w:marRight w:val="0"/>
          <w:marTop w:val="0"/>
          <w:marBottom w:val="0"/>
          <w:divBdr>
            <w:top w:val="none" w:sz="0" w:space="0" w:color="auto"/>
            <w:left w:val="none" w:sz="0" w:space="0" w:color="auto"/>
            <w:bottom w:val="none" w:sz="0" w:space="0" w:color="auto"/>
            <w:right w:val="none" w:sz="0" w:space="0" w:color="auto"/>
          </w:divBdr>
        </w:div>
        <w:div w:id="656609557">
          <w:marLeft w:val="0"/>
          <w:marRight w:val="0"/>
          <w:marTop w:val="0"/>
          <w:marBottom w:val="0"/>
          <w:divBdr>
            <w:top w:val="none" w:sz="0" w:space="0" w:color="auto"/>
            <w:left w:val="none" w:sz="0" w:space="0" w:color="auto"/>
            <w:bottom w:val="none" w:sz="0" w:space="0" w:color="auto"/>
            <w:right w:val="none" w:sz="0" w:space="0" w:color="auto"/>
          </w:divBdr>
        </w:div>
        <w:div w:id="726953859">
          <w:marLeft w:val="0"/>
          <w:marRight w:val="0"/>
          <w:marTop w:val="0"/>
          <w:marBottom w:val="0"/>
          <w:divBdr>
            <w:top w:val="none" w:sz="0" w:space="0" w:color="auto"/>
            <w:left w:val="none" w:sz="0" w:space="0" w:color="auto"/>
            <w:bottom w:val="none" w:sz="0" w:space="0" w:color="auto"/>
            <w:right w:val="none" w:sz="0" w:space="0" w:color="auto"/>
          </w:divBdr>
        </w:div>
        <w:div w:id="758407164">
          <w:marLeft w:val="0"/>
          <w:marRight w:val="0"/>
          <w:marTop w:val="0"/>
          <w:marBottom w:val="0"/>
          <w:divBdr>
            <w:top w:val="none" w:sz="0" w:space="0" w:color="auto"/>
            <w:left w:val="none" w:sz="0" w:space="0" w:color="auto"/>
            <w:bottom w:val="none" w:sz="0" w:space="0" w:color="auto"/>
            <w:right w:val="none" w:sz="0" w:space="0" w:color="auto"/>
          </w:divBdr>
        </w:div>
        <w:div w:id="857934560">
          <w:marLeft w:val="0"/>
          <w:marRight w:val="0"/>
          <w:marTop w:val="0"/>
          <w:marBottom w:val="0"/>
          <w:divBdr>
            <w:top w:val="none" w:sz="0" w:space="0" w:color="auto"/>
            <w:left w:val="none" w:sz="0" w:space="0" w:color="auto"/>
            <w:bottom w:val="none" w:sz="0" w:space="0" w:color="auto"/>
            <w:right w:val="none" w:sz="0" w:space="0" w:color="auto"/>
          </w:divBdr>
        </w:div>
        <w:div w:id="867645035">
          <w:marLeft w:val="0"/>
          <w:marRight w:val="0"/>
          <w:marTop w:val="0"/>
          <w:marBottom w:val="0"/>
          <w:divBdr>
            <w:top w:val="none" w:sz="0" w:space="0" w:color="auto"/>
            <w:left w:val="none" w:sz="0" w:space="0" w:color="auto"/>
            <w:bottom w:val="none" w:sz="0" w:space="0" w:color="auto"/>
            <w:right w:val="none" w:sz="0" w:space="0" w:color="auto"/>
          </w:divBdr>
        </w:div>
        <w:div w:id="934436431">
          <w:marLeft w:val="0"/>
          <w:marRight w:val="0"/>
          <w:marTop w:val="0"/>
          <w:marBottom w:val="0"/>
          <w:divBdr>
            <w:top w:val="none" w:sz="0" w:space="0" w:color="auto"/>
            <w:left w:val="none" w:sz="0" w:space="0" w:color="auto"/>
            <w:bottom w:val="none" w:sz="0" w:space="0" w:color="auto"/>
            <w:right w:val="none" w:sz="0" w:space="0" w:color="auto"/>
          </w:divBdr>
        </w:div>
        <w:div w:id="1010063134">
          <w:marLeft w:val="0"/>
          <w:marRight w:val="0"/>
          <w:marTop w:val="0"/>
          <w:marBottom w:val="0"/>
          <w:divBdr>
            <w:top w:val="none" w:sz="0" w:space="0" w:color="auto"/>
            <w:left w:val="none" w:sz="0" w:space="0" w:color="auto"/>
            <w:bottom w:val="none" w:sz="0" w:space="0" w:color="auto"/>
            <w:right w:val="none" w:sz="0" w:space="0" w:color="auto"/>
          </w:divBdr>
        </w:div>
        <w:div w:id="1045061393">
          <w:marLeft w:val="0"/>
          <w:marRight w:val="0"/>
          <w:marTop w:val="0"/>
          <w:marBottom w:val="0"/>
          <w:divBdr>
            <w:top w:val="none" w:sz="0" w:space="0" w:color="auto"/>
            <w:left w:val="none" w:sz="0" w:space="0" w:color="auto"/>
            <w:bottom w:val="none" w:sz="0" w:space="0" w:color="auto"/>
            <w:right w:val="none" w:sz="0" w:space="0" w:color="auto"/>
          </w:divBdr>
        </w:div>
        <w:div w:id="1096247025">
          <w:marLeft w:val="0"/>
          <w:marRight w:val="0"/>
          <w:marTop w:val="0"/>
          <w:marBottom w:val="0"/>
          <w:divBdr>
            <w:top w:val="none" w:sz="0" w:space="0" w:color="auto"/>
            <w:left w:val="none" w:sz="0" w:space="0" w:color="auto"/>
            <w:bottom w:val="none" w:sz="0" w:space="0" w:color="auto"/>
            <w:right w:val="none" w:sz="0" w:space="0" w:color="auto"/>
          </w:divBdr>
        </w:div>
        <w:div w:id="1242374814">
          <w:marLeft w:val="0"/>
          <w:marRight w:val="0"/>
          <w:marTop w:val="0"/>
          <w:marBottom w:val="0"/>
          <w:divBdr>
            <w:top w:val="none" w:sz="0" w:space="0" w:color="auto"/>
            <w:left w:val="none" w:sz="0" w:space="0" w:color="auto"/>
            <w:bottom w:val="none" w:sz="0" w:space="0" w:color="auto"/>
            <w:right w:val="none" w:sz="0" w:space="0" w:color="auto"/>
          </w:divBdr>
        </w:div>
        <w:div w:id="1347713342">
          <w:marLeft w:val="0"/>
          <w:marRight w:val="0"/>
          <w:marTop w:val="0"/>
          <w:marBottom w:val="0"/>
          <w:divBdr>
            <w:top w:val="none" w:sz="0" w:space="0" w:color="auto"/>
            <w:left w:val="none" w:sz="0" w:space="0" w:color="auto"/>
            <w:bottom w:val="none" w:sz="0" w:space="0" w:color="auto"/>
            <w:right w:val="none" w:sz="0" w:space="0" w:color="auto"/>
          </w:divBdr>
        </w:div>
        <w:div w:id="1527214558">
          <w:marLeft w:val="0"/>
          <w:marRight w:val="0"/>
          <w:marTop w:val="0"/>
          <w:marBottom w:val="0"/>
          <w:divBdr>
            <w:top w:val="none" w:sz="0" w:space="0" w:color="auto"/>
            <w:left w:val="none" w:sz="0" w:space="0" w:color="auto"/>
            <w:bottom w:val="none" w:sz="0" w:space="0" w:color="auto"/>
            <w:right w:val="none" w:sz="0" w:space="0" w:color="auto"/>
          </w:divBdr>
        </w:div>
        <w:div w:id="1646274636">
          <w:marLeft w:val="0"/>
          <w:marRight w:val="0"/>
          <w:marTop w:val="0"/>
          <w:marBottom w:val="0"/>
          <w:divBdr>
            <w:top w:val="none" w:sz="0" w:space="0" w:color="auto"/>
            <w:left w:val="none" w:sz="0" w:space="0" w:color="auto"/>
            <w:bottom w:val="none" w:sz="0" w:space="0" w:color="auto"/>
            <w:right w:val="none" w:sz="0" w:space="0" w:color="auto"/>
          </w:divBdr>
        </w:div>
        <w:div w:id="1768698067">
          <w:marLeft w:val="0"/>
          <w:marRight w:val="0"/>
          <w:marTop w:val="0"/>
          <w:marBottom w:val="0"/>
          <w:divBdr>
            <w:top w:val="none" w:sz="0" w:space="0" w:color="auto"/>
            <w:left w:val="none" w:sz="0" w:space="0" w:color="auto"/>
            <w:bottom w:val="none" w:sz="0" w:space="0" w:color="auto"/>
            <w:right w:val="none" w:sz="0" w:space="0" w:color="auto"/>
          </w:divBdr>
        </w:div>
        <w:div w:id="1777091806">
          <w:marLeft w:val="0"/>
          <w:marRight w:val="0"/>
          <w:marTop w:val="0"/>
          <w:marBottom w:val="0"/>
          <w:divBdr>
            <w:top w:val="none" w:sz="0" w:space="0" w:color="auto"/>
            <w:left w:val="none" w:sz="0" w:space="0" w:color="auto"/>
            <w:bottom w:val="none" w:sz="0" w:space="0" w:color="auto"/>
            <w:right w:val="none" w:sz="0" w:space="0" w:color="auto"/>
          </w:divBdr>
        </w:div>
        <w:div w:id="1874415329">
          <w:marLeft w:val="0"/>
          <w:marRight w:val="0"/>
          <w:marTop w:val="0"/>
          <w:marBottom w:val="0"/>
          <w:divBdr>
            <w:top w:val="none" w:sz="0" w:space="0" w:color="auto"/>
            <w:left w:val="none" w:sz="0" w:space="0" w:color="auto"/>
            <w:bottom w:val="none" w:sz="0" w:space="0" w:color="auto"/>
            <w:right w:val="none" w:sz="0" w:space="0" w:color="auto"/>
          </w:divBdr>
        </w:div>
        <w:div w:id="1890876073">
          <w:marLeft w:val="0"/>
          <w:marRight w:val="0"/>
          <w:marTop w:val="0"/>
          <w:marBottom w:val="0"/>
          <w:divBdr>
            <w:top w:val="none" w:sz="0" w:space="0" w:color="auto"/>
            <w:left w:val="none" w:sz="0" w:space="0" w:color="auto"/>
            <w:bottom w:val="none" w:sz="0" w:space="0" w:color="auto"/>
            <w:right w:val="none" w:sz="0" w:space="0" w:color="auto"/>
          </w:divBdr>
        </w:div>
        <w:div w:id="1968927665">
          <w:marLeft w:val="0"/>
          <w:marRight w:val="0"/>
          <w:marTop w:val="0"/>
          <w:marBottom w:val="0"/>
          <w:divBdr>
            <w:top w:val="none" w:sz="0" w:space="0" w:color="auto"/>
            <w:left w:val="none" w:sz="0" w:space="0" w:color="auto"/>
            <w:bottom w:val="none" w:sz="0" w:space="0" w:color="auto"/>
            <w:right w:val="none" w:sz="0" w:space="0" w:color="auto"/>
          </w:divBdr>
        </w:div>
      </w:divsChild>
    </w:div>
    <w:div w:id="1607809052">
      <w:bodyDiv w:val="1"/>
      <w:marLeft w:val="0"/>
      <w:marRight w:val="0"/>
      <w:marTop w:val="0"/>
      <w:marBottom w:val="0"/>
      <w:divBdr>
        <w:top w:val="none" w:sz="0" w:space="0" w:color="auto"/>
        <w:left w:val="none" w:sz="0" w:space="0" w:color="auto"/>
        <w:bottom w:val="none" w:sz="0" w:space="0" w:color="auto"/>
        <w:right w:val="none" w:sz="0" w:space="0" w:color="auto"/>
      </w:divBdr>
      <w:divsChild>
        <w:div w:id="1252394314">
          <w:marLeft w:val="0"/>
          <w:marRight w:val="0"/>
          <w:marTop w:val="0"/>
          <w:marBottom w:val="0"/>
          <w:divBdr>
            <w:top w:val="none" w:sz="0" w:space="0" w:color="auto"/>
            <w:left w:val="none" w:sz="0" w:space="0" w:color="auto"/>
            <w:bottom w:val="none" w:sz="0" w:space="0" w:color="auto"/>
            <w:right w:val="none" w:sz="0" w:space="0" w:color="auto"/>
          </w:divBdr>
        </w:div>
      </w:divsChild>
    </w:div>
    <w:div w:id="1613709802">
      <w:bodyDiv w:val="1"/>
      <w:marLeft w:val="0"/>
      <w:marRight w:val="0"/>
      <w:marTop w:val="0"/>
      <w:marBottom w:val="0"/>
      <w:divBdr>
        <w:top w:val="none" w:sz="0" w:space="0" w:color="auto"/>
        <w:left w:val="none" w:sz="0" w:space="0" w:color="auto"/>
        <w:bottom w:val="none" w:sz="0" w:space="0" w:color="auto"/>
        <w:right w:val="none" w:sz="0" w:space="0" w:color="auto"/>
      </w:divBdr>
      <w:divsChild>
        <w:div w:id="926578932">
          <w:marLeft w:val="0"/>
          <w:marRight w:val="0"/>
          <w:marTop w:val="0"/>
          <w:marBottom w:val="0"/>
          <w:divBdr>
            <w:top w:val="none" w:sz="0" w:space="0" w:color="auto"/>
            <w:left w:val="none" w:sz="0" w:space="0" w:color="auto"/>
            <w:bottom w:val="none" w:sz="0" w:space="0" w:color="auto"/>
            <w:right w:val="none" w:sz="0" w:space="0" w:color="auto"/>
          </w:divBdr>
        </w:div>
      </w:divsChild>
    </w:div>
    <w:div w:id="1617592102">
      <w:bodyDiv w:val="1"/>
      <w:marLeft w:val="0"/>
      <w:marRight w:val="0"/>
      <w:marTop w:val="0"/>
      <w:marBottom w:val="0"/>
      <w:divBdr>
        <w:top w:val="none" w:sz="0" w:space="0" w:color="auto"/>
        <w:left w:val="none" w:sz="0" w:space="0" w:color="auto"/>
        <w:bottom w:val="none" w:sz="0" w:space="0" w:color="auto"/>
        <w:right w:val="none" w:sz="0" w:space="0" w:color="auto"/>
      </w:divBdr>
    </w:div>
    <w:div w:id="1620531559">
      <w:bodyDiv w:val="1"/>
      <w:marLeft w:val="0"/>
      <w:marRight w:val="0"/>
      <w:marTop w:val="0"/>
      <w:marBottom w:val="0"/>
      <w:divBdr>
        <w:top w:val="none" w:sz="0" w:space="0" w:color="auto"/>
        <w:left w:val="none" w:sz="0" w:space="0" w:color="auto"/>
        <w:bottom w:val="none" w:sz="0" w:space="0" w:color="auto"/>
        <w:right w:val="none" w:sz="0" w:space="0" w:color="auto"/>
      </w:divBdr>
      <w:divsChild>
        <w:div w:id="1552427237">
          <w:marLeft w:val="0"/>
          <w:marRight w:val="0"/>
          <w:marTop w:val="0"/>
          <w:marBottom w:val="0"/>
          <w:divBdr>
            <w:top w:val="none" w:sz="0" w:space="0" w:color="auto"/>
            <w:left w:val="none" w:sz="0" w:space="0" w:color="auto"/>
            <w:bottom w:val="none" w:sz="0" w:space="0" w:color="auto"/>
            <w:right w:val="none" w:sz="0" w:space="0" w:color="auto"/>
          </w:divBdr>
        </w:div>
      </w:divsChild>
    </w:div>
    <w:div w:id="1622687658">
      <w:bodyDiv w:val="1"/>
      <w:marLeft w:val="0"/>
      <w:marRight w:val="0"/>
      <w:marTop w:val="0"/>
      <w:marBottom w:val="0"/>
      <w:divBdr>
        <w:top w:val="none" w:sz="0" w:space="0" w:color="auto"/>
        <w:left w:val="none" w:sz="0" w:space="0" w:color="auto"/>
        <w:bottom w:val="none" w:sz="0" w:space="0" w:color="auto"/>
        <w:right w:val="none" w:sz="0" w:space="0" w:color="auto"/>
      </w:divBdr>
      <w:divsChild>
        <w:div w:id="1845244971">
          <w:marLeft w:val="0"/>
          <w:marRight w:val="0"/>
          <w:marTop w:val="0"/>
          <w:marBottom w:val="0"/>
          <w:divBdr>
            <w:top w:val="none" w:sz="0" w:space="0" w:color="auto"/>
            <w:left w:val="none" w:sz="0" w:space="0" w:color="auto"/>
            <w:bottom w:val="none" w:sz="0" w:space="0" w:color="auto"/>
            <w:right w:val="none" w:sz="0" w:space="0" w:color="auto"/>
          </w:divBdr>
        </w:div>
      </w:divsChild>
    </w:div>
    <w:div w:id="1623221323">
      <w:bodyDiv w:val="1"/>
      <w:marLeft w:val="0"/>
      <w:marRight w:val="0"/>
      <w:marTop w:val="0"/>
      <w:marBottom w:val="0"/>
      <w:divBdr>
        <w:top w:val="none" w:sz="0" w:space="0" w:color="auto"/>
        <w:left w:val="none" w:sz="0" w:space="0" w:color="auto"/>
        <w:bottom w:val="none" w:sz="0" w:space="0" w:color="auto"/>
        <w:right w:val="none" w:sz="0" w:space="0" w:color="auto"/>
      </w:divBdr>
    </w:div>
    <w:div w:id="1623878304">
      <w:bodyDiv w:val="1"/>
      <w:marLeft w:val="0"/>
      <w:marRight w:val="0"/>
      <w:marTop w:val="0"/>
      <w:marBottom w:val="0"/>
      <w:divBdr>
        <w:top w:val="none" w:sz="0" w:space="0" w:color="auto"/>
        <w:left w:val="none" w:sz="0" w:space="0" w:color="auto"/>
        <w:bottom w:val="none" w:sz="0" w:space="0" w:color="auto"/>
        <w:right w:val="none" w:sz="0" w:space="0" w:color="auto"/>
      </w:divBdr>
    </w:div>
    <w:div w:id="1644627201">
      <w:bodyDiv w:val="1"/>
      <w:marLeft w:val="0"/>
      <w:marRight w:val="0"/>
      <w:marTop w:val="0"/>
      <w:marBottom w:val="0"/>
      <w:divBdr>
        <w:top w:val="none" w:sz="0" w:space="0" w:color="auto"/>
        <w:left w:val="none" w:sz="0" w:space="0" w:color="auto"/>
        <w:bottom w:val="none" w:sz="0" w:space="0" w:color="auto"/>
        <w:right w:val="none" w:sz="0" w:space="0" w:color="auto"/>
      </w:divBdr>
    </w:div>
    <w:div w:id="1658335952">
      <w:bodyDiv w:val="1"/>
      <w:marLeft w:val="0"/>
      <w:marRight w:val="0"/>
      <w:marTop w:val="0"/>
      <w:marBottom w:val="0"/>
      <w:divBdr>
        <w:top w:val="none" w:sz="0" w:space="0" w:color="auto"/>
        <w:left w:val="none" w:sz="0" w:space="0" w:color="auto"/>
        <w:bottom w:val="none" w:sz="0" w:space="0" w:color="auto"/>
        <w:right w:val="none" w:sz="0" w:space="0" w:color="auto"/>
      </w:divBdr>
    </w:div>
    <w:div w:id="1661814876">
      <w:bodyDiv w:val="1"/>
      <w:marLeft w:val="0"/>
      <w:marRight w:val="0"/>
      <w:marTop w:val="0"/>
      <w:marBottom w:val="0"/>
      <w:divBdr>
        <w:top w:val="none" w:sz="0" w:space="0" w:color="auto"/>
        <w:left w:val="none" w:sz="0" w:space="0" w:color="auto"/>
        <w:bottom w:val="none" w:sz="0" w:space="0" w:color="auto"/>
        <w:right w:val="none" w:sz="0" w:space="0" w:color="auto"/>
      </w:divBdr>
    </w:div>
    <w:div w:id="1664552787">
      <w:bodyDiv w:val="1"/>
      <w:marLeft w:val="0"/>
      <w:marRight w:val="0"/>
      <w:marTop w:val="0"/>
      <w:marBottom w:val="0"/>
      <w:divBdr>
        <w:top w:val="none" w:sz="0" w:space="0" w:color="auto"/>
        <w:left w:val="none" w:sz="0" w:space="0" w:color="auto"/>
        <w:bottom w:val="none" w:sz="0" w:space="0" w:color="auto"/>
        <w:right w:val="none" w:sz="0" w:space="0" w:color="auto"/>
      </w:divBdr>
      <w:divsChild>
        <w:div w:id="948270384">
          <w:marLeft w:val="0"/>
          <w:marRight w:val="0"/>
          <w:marTop w:val="0"/>
          <w:marBottom w:val="0"/>
          <w:divBdr>
            <w:top w:val="none" w:sz="0" w:space="0" w:color="auto"/>
            <w:left w:val="none" w:sz="0" w:space="0" w:color="auto"/>
            <w:bottom w:val="none" w:sz="0" w:space="0" w:color="auto"/>
            <w:right w:val="none" w:sz="0" w:space="0" w:color="auto"/>
          </w:divBdr>
        </w:div>
      </w:divsChild>
    </w:div>
    <w:div w:id="1678465162">
      <w:bodyDiv w:val="1"/>
      <w:marLeft w:val="0"/>
      <w:marRight w:val="0"/>
      <w:marTop w:val="0"/>
      <w:marBottom w:val="0"/>
      <w:divBdr>
        <w:top w:val="none" w:sz="0" w:space="0" w:color="auto"/>
        <w:left w:val="none" w:sz="0" w:space="0" w:color="auto"/>
        <w:bottom w:val="none" w:sz="0" w:space="0" w:color="auto"/>
        <w:right w:val="none" w:sz="0" w:space="0" w:color="auto"/>
      </w:divBdr>
      <w:divsChild>
        <w:div w:id="610934362">
          <w:marLeft w:val="0"/>
          <w:marRight w:val="0"/>
          <w:marTop w:val="0"/>
          <w:marBottom w:val="0"/>
          <w:divBdr>
            <w:top w:val="none" w:sz="0" w:space="0" w:color="auto"/>
            <w:left w:val="none" w:sz="0" w:space="0" w:color="auto"/>
            <w:bottom w:val="none" w:sz="0" w:space="0" w:color="auto"/>
            <w:right w:val="none" w:sz="0" w:space="0" w:color="auto"/>
          </w:divBdr>
        </w:div>
      </w:divsChild>
    </w:div>
    <w:div w:id="1681002665">
      <w:bodyDiv w:val="1"/>
      <w:marLeft w:val="0"/>
      <w:marRight w:val="0"/>
      <w:marTop w:val="0"/>
      <w:marBottom w:val="0"/>
      <w:divBdr>
        <w:top w:val="none" w:sz="0" w:space="0" w:color="auto"/>
        <w:left w:val="none" w:sz="0" w:space="0" w:color="auto"/>
        <w:bottom w:val="none" w:sz="0" w:space="0" w:color="auto"/>
        <w:right w:val="none" w:sz="0" w:space="0" w:color="auto"/>
      </w:divBdr>
    </w:div>
    <w:div w:id="1682048520">
      <w:bodyDiv w:val="1"/>
      <w:marLeft w:val="0"/>
      <w:marRight w:val="0"/>
      <w:marTop w:val="0"/>
      <w:marBottom w:val="0"/>
      <w:divBdr>
        <w:top w:val="none" w:sz="0" w:space="0" w:color="auto"/>
        <w:left w:val="none" w:sz="0" w:space="0" w:color="auto"/>
        <w:bottom w:val="none" w:sz="0" w:space="0" w:color="auto"/>
        <w:right w:val="none" w:sz="0" w:space="0" w:color="auto"/>
      </w:divBdr>
    </w:div>
    <w:div w:id="1682077262">
      <w:bodyDiv w:val="1"/>
      <w:marLeft w:val="0"/>
      <w:marRight w:val="0"/>
      <w:marTop w:val="0"/>
      <w:marBottom w:val="0"/>
      <w:divBdr>
        <w:top w:val="none" w:sz="0" w:space="0" w:color="auto"/>
        <w:left w:val="none" w:sz="0" w:space="0" w:color="auto"/>
        <w:bottom w:val="none" w:sz="0" w:space="0" w:color="auto"/>
        <w:right w:val="none" w:sz="0" w:space="0" w:color="auto"/>
      </w:divBdr>
      <w:divsChild>
        <w:div w:id="1372341949">
          <w:marLeft w:val="0"/>
          <w:marRight w:val="0"/>
          <w:marTop w:val="0"/>
          <w:marBottom w:val="0"/>
          <w:divBdr>
            <w:top w:val="none" w:sz="0" w:space="0" w:color="auto"/>
            <w:left w:val="none" w:sz="0" w:space="0" w:color="auto"/>
            <w:bottom w:val="none" w:sz="0" w:space="0" w:color="auto"/>
            <w:right w:val="none" w:sz="0" w:space="0" w:color="auto"/>
          </w:divBdr>
        </w:div>
      </w:divsChild>
    </w:div>
    <w:div w:id="1687100794">
      <w:bodyDiv w:val="1"/>
      <w:marLeft w:val="0"/>
      <w:marRight w:val="0"/>
      <w:marTop w:val="0"/>
      <w:marBottom w:val="0"/>
      <w:divBdr>
        <w:top w:val="none" w:sz="0" w:space="0" w:color="auto"/>
        <w:left w:val="none" w:sz="0" w:space="0" w:color="auto"/>
        <w:bottom w:val="none" w:sz="0" w:space="0" w:color="auto"/>
        <w:right w:val="none" w:sz="0" w:space="0" w:color="auto"/>
      </w:divBdr>
      <w:divsChild>
        <w:div w:id="1413887696">
          <w:marLeft w:val="0"/>
          <w:marRight w:val="0"/>
          <w:marTop w:val="0"/>
          <w:marBottom w:val="0"/>
          <w:divBdr>
            <w:top w:val="none" w:sz="0" w:space="0" w:color="auto"/>
            <w:left w:val="none" w:sz="0" w:space="0" w:color="auto"/>
            <w:bottom w:val="none" w:sz="0" w:space="0" w:color="auto"/>
            <w:right w:val="none" w:sz="0" w:space="0" w:color="auto"/>
          </w:divBdr>
        </w:div>
      </w:divsChild>
    </w:div>
    <w:div w:id="1698578080">
      <w:bodyDiv w:val="1"/>
      <w:marLeft w:val="0"/>
      <w:marRight w:val="0"/>
      <w:marTop w:val="0"/>
      <w:marBottom w:val="0"/>
      <w:divBdr>
        <w:top w:val="none" w:sz="0" w:space="0" w:color="auto"/>
        <w:left w:val="none" w:sz="0" w:space="0" w:color="auto"/>
        <w:bottom w:val="none" w:sz="0" w:space="0" w:color="auto"/>
        <w:right w:val="none" w:sz="0" w:space="0" w:color="auto"/>
      </w:divBdr>
      <w:divsChild>
        <w:div w:id="631133212">
          <w:marLeft w:val="0"/>
          <w:marRight w:val="0"/>
          <w:marTop w:val="0"/>
          <w:marBottom w:val="0"/>
          <w:divBdr>
            <w:top w:val="none" w:sz="0" w:space="0" w:color="auto"/>
            <w:left w:val="none" w:sz="0" w:space="0" w:color="auto"/>
            <w:bottom w:val="none" w:sz="0" w:space="0" w:color="auto"/>
            <w:right w:val="none" w:sz="0" w:space="0" w:color="auto"/>
          </w:divBdr>
        </w:div>
      </w:divsChild>
    </w:div>
    <w:div w:id="1701541487">
      <w:bodyDiv w:val="1"/>
      <w:marLeft w:val="0"/>
      <w:marRight w:val="0"/>
      <w:marTop w:val="0"/>
      <w:marBottom w:val="0"/>
      <w:divBdr>
        <w:top w:val="none" w:sz="0" w:space="0" w:color="auto"/>
        <w:left w:val="none" w:sz="0" w:space="0" w:color="auto"/>
        <w:bottom w:val="none" w:sz="0" w:space="0" w:color="auto"/>
        <w:right w:val="none" w:sz="0" w:space="0" w:color="auto"/>
      </w:divBdr>
      <w:divsChild>
        <w:div w:id="576404714">
          <w:marLeft w:val="0"/>
          <w:marRight w:val="0"/>
          <w:marTop w:val="0"/>
          <w:marBottom w:val="0"/>
          <w:divBdr>
            <w:top w:val="none" w:sz="0" w:space="0" w:color="auto"/>
            <w:left w:val="none" w:sz="0" w:space="0" w:color="auto"/>
            <w:bottom w:val="none" w:sz="0" w:space="0" w:color="auto"/>
            <w:right w:val="none" w:sz="0" w:space="0" w:color="auto"/>
          </w:divBdr>
        </w:div>
      </w:divsChild>
    </w:div>
    <w:div w:id="1711883998">
      <w:bodyDiv w:val="1"/>
      <w:marLeft w:val="0"/>
      <w:marRight w:val="0"/>
      <w:marTop w:val="0"/>
      <w:marBottom w:val="0"/>
      <w:divBdr>
        <w:top w:val="none" w:sz="0" w:space="0" w:color="auto"/>
        <w:left w:val="none" w:sz="0" w:space="0" w:color="auto"/>
        <w:bottom w:val="none" w:sz="0" w:space="0" w:color="auto"/>
        <w:right w:val="none" w:sz="0" w:space="0" w:color="auto"/>
      </w:divBdr>
      <w:divsChild>
        <w:div w:id="1810004202">
          <w:marLeft w:val="0"/>
          <w:marRight w:val="0"/>
          <w:marTop w:val="0"/>
          <w:marBottom w:val="0"/>
          <w:divBdr>
            <w:top w:val="none" w:sz="0" w:space="0" w:color="auto"/>
            <w:left w:val="none" w:sz="0" w:space="0" w:color="auto"/>
            <w:bottom w:val="none" w:sz="0" w:space="0" w:color="auto"/>
            <w:right w:val="none" w:sz="0" w:space="0" w:color="auto"/>
          </w:divBdr>
        </w:div>
      </w:divsChild>
    </w:div>
    <w:div w:id="1715157543">
      <w:bodyDiv w:val="1"/>
      <w:marLeft w:val="0"/>
      <w:marRight w:val="0"/>
      <w:marTop w:val="0"/>
      <w:marBottom w:val="0"/>
      <w:divBdr>
        <w:top w:val="none" w:sz="0" w:space="0" w:color="auto"/>
        <w:left w:val="none" w:sz="0" w:space="0" w:color="auto"/>
        <w:bottom w:val="none" w:sz="0" w:space="0" w:color="auto"/>
        <w:right w:val="none" w:sz="0" w:space="0" w:color="auto"/>
      </w:divBdr>
      <w:divsChild>
        <w:div w:id="190581841">
          <w:marLeft w:val="0"/>
          <w:marRight w:val="0"/>
          <w:marTop w:val="0"/>
          <w:marBottom w:val="0"/>
          <w:divBdr>
            <w:top w:val="none" w:sz="0" w:space="0" w:color="auto"/>
            <w:left w:val="none" w:sz="0" w:space="0" w:color="auto"/>
            <w:bottom w:val="none" w:sz="0" w:space="0" w:color="auto"/>
            <w:right w:val="none" w:sz="0" w:space="0" w:color="auto"/>
          </w:divBdr>
        </w:div>
        <w:div w:id="239486874">
          <w:marLeft w:val="0"/>
          <w:marRight w:val="0"/>
          <w:marTop w:val="0"/>
          <w:marBottom w:val="0"/>
          <w:divBdr>
            <w:top w:val="none" w:sz="0" w:space="0" w:color="auto"/>
            <w:left w:val="none" w:sz="0" w:space="0" w:color="auto"/>
            <w:bottom w:val="none" w:sz="0" w:space="0" w:color="auto"/>
            <w:right w:val="none" w:sz="0" w:space="0" w:color="auto"/>
          </w:divBdr>
        </w:div>
        <w:div w:id="911937850">
          <w:marLeft w:val="0"/>
          <w:marRight w:val="0"/>
          <w:marTop w:val="0"/>
          <w:marBottom w:val="0"/>
          <w:divBdr>
            <w:top w:val="none" w:sz="0" w:space="0" w:color="auto"/>
            <w:left w:val="none" w:sz="0" w:space="0" w:color="auto"/>
            <w:bottom w:val="none" w:sz="0" w:space="0" w:color="auto"/>
            <w:right w:val="none" w:sz="0" w:space="0" w:color="auto"/>
          </w:divBdr>
        </w:div>
        <w:div w:id="1800225598">
          <w:marLeft w:val="0"/>
          <w:marRight w:val="0"/>
          <w:marTop w:val="0"/>
          <w:marBottom w:val="0"/>
          <w:divBdr>
            <w:top w:val="none" w:sz="0" w:space="0" w:color="auto"/>
            <w:left w:val="none" w:sz="0" w:space="0" w:color="auto"/>
            <w:bottom w:val="none" w:sz="0" w:space="0" w:color="auto"/>
            <w:right w:val="none" w:sz="0" w:space="0" w:color="auto"/>
          </w:divBdr>
        </w:div>
      </w:divsChild>
    </w:div>
    <w:div w:id="1718317192">
      <w:bodyDiv w:val="1"/>
      <w:marLeft w:val="0"/>
      <w:marRight w:val="0"/>
      <w:marTop w:val="0"/>
      <w:marBottom w:val="0"/>
      <w:divBdr>
        <w:top w:val="none" w:sz="0" w:space="0" w:color="auto"/>
        <w:left w:val="none" w:sz="0" w:space="0" w:color="auto"/>
        <w:bottom w:val="none" w:sz="0" w:space="0" w:color="auto"/>
        <w:right w:val="none" w:sz="0" w:space="0" w:color="auto"/>
      </w:divBdr>
    </w:div>
    <w:div w:id="1724867347">
      <w:bodyDiv w:val="1"/>
      <w:marLeft w:val="0"/>
      <w:marRight w:val="0"/>
      <w:marTop w:val="0"/>
      <w:marBottom w:val="0"/>
      <w:divBdr>
        <w:top w:val="none" w:sz="0" w:space="0" w:color="auto"/>
        <w:left w:val="none" w:sz="0" w:space="0" w:color="auto"/>
        <w:bottom w:val="none" w:sz="0" w:space="0" w:color="auto"/>
        <w:right w:val="none" w:sz="0" w:space="0" w:color="auto"/>
      </w:divBdr>
      <w:divsChild>
        <w:div w:id="1404912080">
          <w:marLeft w:val="0"/>
          <w:marRight w:val="0"/>
          <w:marTop w:val="0"/>
          <w:marBottom w:val="0"/>
          <w:divBdr>
            <w:top w:val="none" w:sz="0" w:space="0" w:color="auto"/>
            <w:left w:val="none" w:sz="0" w:space="0" w:color="auto"/>
            <w:bottom w:val="none" w:sz="0" w:space="0" w:color="auto"/>
            <w:right w:val="none" w:sz="0" w:space="0" w:color="auto"/>
          </w:divBdr>
        </w:div>
      </w:divsChild>
    </w:div>
    <w:div w:id="1727484353">
      <w:bodyDiv w:val="1"/>
      <w:marLeft w:val="0"/>
      <w:marRight w:val="0"/>
      <w:marTop w:val="0"/>
      <w:marBottom w:val="0"/>
      <w:divBdr>
        <w:top w:val="none" w:sz="0" w:space="0" w:color="auto"/>
        <w:left w:val="none" w:sz="0" w:space="0" w:color="auto"/>
        <w:bottom w:val="none" w:sz="0" w:space="0" w:color="auto"/>
        <w:right w:val="none" w:sz="0" w:space="0" w:color="auto"/>
      </w:divBdr>
    </w:div>
    <w:div w:id="1728796781">
      <w:bodyDiv w:val="1"/>
      <w:marLeft w:val="0"/>
      <w:marRight w:val="0"/>
      <w:marTop w:val="0"/>
      <w:marBottom w:val="0"/>
      <w:divBdr>
        <w:top w:val="none" w:sz="0" w:space="0" w:color="auto"/>
        <w:left w:val="none" w:sz="0" w:space="0" w:color="auto"/>
        <w:bottom w:val="none" w:sz="0" w:space="0" w:color="auto"/>
        <w:right w:val="none" w:sz="0" w:space="0" w:color="auto"/>
      </w:divBdr>
      <w:divsChild>
        <w:div w:id="1165169775">
          <w:marLeft w:val="0"/>
          <w:marRight w:val="0"/>
          <w:marTop w:val="0"/>
          <w:marBottom w:val="0"/>
          <w:divBdr>
            <w:top w:val="none" w:sz="0" w:space="0" w:color="auto"/>
            <w:left w:val="none" w:sz="0" w:space="0" w:color="auto"/>
            <w:bottom w:val="none" w:sz="0" w:space="0" w:color="auto"/>
            <w:right w:val="none" w:sz="0" w:space="0" w:color="auto"/>
          </w:divBdr>
        </w:div>
      </w:divsChild>
    </w:div>
    <w:div w:id="1729263651">
      <w:bodyDiv w:val="1"/>
      <w:marLeft w:val="0"/>
      <w:marRight w:val="0"/>
      <w:marTop w:val="0"/>
      <w:marBottom w:val="0"/>
      <w:divBdr>
        <w:top w:val="none" w:sz="0" w:space="0" w:color="auto"/>
        <w:left w:val="none" w:sz="0" w:space="0" w:color="auto"/>
        <w:bottom w:val="none" w:sz="0" w:space="0" w:color="auto"/>
        <w:right w:val="none" w:sz="0" w:space="0" w:color="auto"/>
      </w:divBdr>
      <w:divsChild>
        <w:div w:id="1272980565">
          <w:marLeft w:val="0"/>
          <w:marRight w:val="0"/>
          <w:marTop w:val="0"/>
          <w:marBottom w:val="0"/>
          <w:divBdr>
            <w:top w:val="none" w:sz="0" w:space="0" w:color="auto"/>
            <w:left w:val="none" w:sz="0" w:space="0" w:color="auto"/>
            <w:bottom w:val="none" w:sz="0" w:space="0" w:color="auto"/>
            <w:right w:val="none" w:sz="0" w:space="0" w:color="auto"/>
          </w:divBdr>
        </w:div>
      </w:divsChild>
    </w:div>
    <w:div w:id="1732772563">
      <w:bodyDiv w:val="1"/>
      <w:marLeft w:val="0"/>
      <w:marRight w:val="0"/>
      <w:marTop w:val="0"/>
      <w:marBottom w:val="0"/>
      <w:divBdr>
        <w:top w:val="none" w:sz="0" w:space="0" w:color="auto"/>
        <w:left w:val="none" w:sz="0" w:space="0" w:color="auto"/>
        <w:bottom w:val="none" w:sz="0" w:space="0" w:color="auto"/>
        <w:right w:val="none" w:sz="0" w:space="0" w:color="auto"/>
      </w:divBdr>
    </w:div>
    <w:div w:id="1736930624">
      <w:bodyDiv w:val="1"/>
      <w:marLeft w:val="0"/>
      <w:marRight w:val="0"/>
      <w:marTop w:val="0"/>
      <w:marBottom w:val="0"/>
      <w:divBdr>
        <w:top w:val="none" w:sz="0" w:space="0" w:color="auto"/>
        <w:left w:val="none" w:sz="0" w:space="0" w:color="auto"/>
        <w:bottom w:val="none" w:sz="0" w:space="0" w:color="auto"/>
        <w:right w:val="none" w:sz="0" w:space="0" w:color="auto"/>
      </w:divBdr>
    </w:div>
    <w:div w:id="1743138771">
      <w:bodyDiv w:val="1"/>
      <w:marLeft w:val="0"/>
      <w:marRight w:val="0"/>
      <w:marTop w:val="0"/>
      <w:marBottom w:val="0"/>
      <w:divBdr>
        <w:top w:val="none" w:sz="0" w:space="0" w:color="auto"/>
        <w:left w:val="none" w:sz="0" w:space="0" w:color="auto"/>
        <w:bottom w:val="none" w:sz="0" w:space="0" w:color="auto"/>
        <w:right w:val="none" w:sz="0" w:space="0" w:color="auto"/>
      </w:divBdr>
      <w:divsChild>
        <w:div w:id="1497922258">
          <w:marLeft w:val="0"/>
          <w:marRight w:val="0"/>
          <w:marTop w:val="0"/>
          <w:marBottom w:val="0"/>
          <w:divBdr>
            <w:top w:val="none" w:sz="0" w:space="0" w:color="auto"/>
            <w:left w:val="none" w:sz="0" w:space="0" w:color="auto"/>
            <w:bottom w:val="none" w:sz="0" w:space="0" w:color="auto"/>
            <w:right w:val="none" w:sz="0" w:space="0" w:color="auto"/>
          </w:divBdr>
        </w:div>
      </w:divsChild>
    </w:div>
    <w:div w:id="1751728010">
      <w:bodyDiv w:val="1"/>
      <w:marLeft w:val="0"/>
      <w:marRight w:val="0"/>
      <w:marTop w:val="0"/>
      <w:marBottom w:val="0"/>
      <w:divBdr>
        <w:top w:val="none" w:sz="0" w:space="0" w:color="auto"/>
        <w:left w:val="none" w:sz="0" w:space="0" w:color="auto"/>
        <w:bottom w:val="none" w:sz="0" w:space="0" w:color="auto"/>
        <w:right w:val="none" w:sz="0" w:space="0" w:color="auto"/>
      </w:divBdr>
      <w:divsChild>
        <w:div w:id="2067796012">
          <w:marLeft w:val="0"/>
          <w:marRight w:val="0"/>
          <w:marTop w:val="0"/>
          <w:marBottom w:val="0"/>
          <w:divBdr>
            <w:top w:val="none" w:sz="0" w:space="0" w:color="auto"/>
            <w:left w:val="none" w:sz="0" w:space="0" w:color="auto"/>
            <w:bottom w:val="none" w:sz="0" w:space="0" w:color="auto"/>
            <w:right w:val="none" w:sz="0" w:space="0" w:color="auto"/>
          </w:divBdr>
        </w:div>
      </w:divsChild>
    </w:div>
    <w:div w:id="1763063742">
      <w:bodyDiv w:val="1"/>
      <w:marLeft w:val="0"/>
      <w:marRight w:val="0"/>
      <w:marTop w:val="0"/>
      <w:marBottom w:val="0"/>
      <w:divBdr>
        <w:top w:val="none" w:sz="0" w:space="0" w:color="auto"/>
        <w:left w:val="none" w:sz="0" w:space="0" w:color="auto"/>
        <w:bottom w:val="none" w:sz="0" w:space="0" w:color="auto"/>
        <w:right w:val="none" w:sz="0" w:space="0" w:color="auto"/>
      </w:divBdr>
    </w:div>
    <w:div w:id="1765419447">
      <w:bodyDiv w:val="1"/>
      <w:marLeft w:val="0"/>
      <w:marRight w:val="0"/>
      <w:marTop w:val="0"/>
      <w:marBottom w:val="0"/>
      <w:divBdr>
        <w:top w:val="none" w:sz="0" w:space="0" w:color="auto"/>
        <w:left w:val="none" w:sz="0" w:space="0" w:color="auto"/>
        <w:bottom w:val="none" w:sz="0" w:space="0" w:color="auto"/>
        <w:right w:val="none" w:sz="0" w:space="0" w:color="auto"/>
      </w:divBdr>
      <w:divsChild>
        <w:div w:id="1694191154">
          <w:marLeft w:val="0"/>
          <w:marRight w:val="0"/>
          <w:marTop w:val="0"/>
          <w:marBottom w:val="0"/>
          <w:divBdr>
            <w:top w:val="none" w:sz="0" w:space="0" w:color="auto"/>
            <w:left w:val="none" w:sz="0" w:space="0" w:color="auto"/>
            <w:bottom w:val="none" w:sz="0" w:space="0" w:color="auto"/>
            <w:right w:val="none" w:sz="0" w:space="0" w:color="auto"/>
          </w:divBdr>
        </w:div>
      </w:divsChild>
    </w:div>
    <w:div w:id="1767387212">
      <w:bodyDiv w:val="1"/>
      <w:marLeft w:val="0"/>
      <w:marRight w:val="0"/>
      <w:marTop w:val="0"/>
      <w:marBottom w:val="0"/>
      <w:divBdr>
        <w:top w:val="none" w:sz="0" w:space="0" w:color="auto"/>
        <w:left w:val="none" w:sz="0" w:space="0" w:color="auto"/>
        <w:bottom w:val="none" w:sz="0" w:space="0" w:color="auto"/>
        <w:right w:val="none" w:sz="0" w:space="0" w:color="auto"/>
      </w:divBdr>
      <w:divsChild>
        <w:div w:id="949622852">
          <w:marLeft w:val="0"/>
          <w:marRight w:val="0"/>
          <w:marTop w:val="0"/>
          <w:marBottom w:val="0"/>
          <w:divBdr>
            <w:top w:val="none" w:sz="0" w:space="0" w:color="auto"/>
            <w:left w:val="none" w:sz="0" w:space="0" w:color="auto"/>
            <w:bottom w:val="none" w:sz="0" w:space="0" w:color="auto"/>
            <w:right w:val="none" w:sz="0" w:space="0" w:color="auto"/>
          </w:divBdr>
        </w:div>
      </w:divsChild>
    </w:div>
    <w:div w:id="1767573044">
      <w:bodyDiv w:val="1"/>
      <w:marLeft w:val="0"/>
      <w:marRight w:val="0"/>
      <w:marTop w:val="0"/>
      <w:marBottom w:val="0"/>
      <w:divBdr>
        <w:top w:val="none" w:sz="0" w:space="0" w:color="auto"/>
        <w:left w:val="none" w:sz="0" w:space="0" w:color="auto"/>
        <w:bottom w:val="none" w:sz="0" w:space="0" w:color="auto"/>
        <w:right w:val="none" w:sz="0" w:space="0" w:color="auto"/>
      </w:divBdr>
      <w:divsChild>
        <w:div w:id="1618872056">
          <w:marLeft w:val="0"/>
          <w:marRight w:val="0"/>
          <w:marTop w:val="0"/>
          <w:marBottom w:val="0"/>
          <w:divBdr>
            <w:top w:val="none" w:sz="0" w:space="0" w:color="auto"/>
            <w:left w:val="none" w:sz="0" w:space="0" w:color="auto"/>
            <w:bottom w:val="none" w:sz="0" w:space="0" w:color="auto"/>
            <w:right w:val="none" w:sz="0" w:space="0" w:color="auto"/>
          </w:divBdr>
        </w:div>
      </w:divsChild>
    </w:div>
    <w:div w:id="1772698440">
      <w:bodyDiv w:val="1"/>
      <w:marLeft w:val="0"/>
      <w:marRight w:val="0"/>
      <w:marTop w:val="0"/>
      <w:marBottom w:val="0"/>
      <w:divBdr>
        <w:top w:val="none" w:sz="0" w:space="0" w:color="auto"/>
        <w:left w:val="none" w:sz="0" w:space="0" w:color="auto"/>
        <w:bottom w:val="none" w:sz="0" w:space="0" w:color="auto"/>
        <w:right w:val="none" w:sz="0" w:space="0" w:color="auto"/>
      </w:divBdr>
      <w:divsChild>
        <w:div w:id="1980570485">
          <w:marLeft w:val="0"/>
          <w:marRight w:val="0"/>
          <w:marTop w:val="0"/>
          <w:marBottom w:val="0"/>
          <w:divBdr>
            <w:top w:val="none" w:sz="0" w:space="0" w:color="auto"/>
            <w:left w:val="none" w:sz="0" w:space="0" w:color="auto"/>
            <w:bottom w:val="none" w:sz="0" w:space="0" w:color="auto"/>
            <w:right w:val="none" w:sz="0" w:space="0" w:color="auto"/>
          </w:divBdr>
        </w:div>
      </w:divsChild>
    </w:div>
    <w:div w:id="1786926630">
      <w:bodyDiv w:val="1"/>
      <w:marLeft w:val="0"/>
      <w:marRight w:val="0"/>
      <w:marTop w:val="0"/>
      <w:marBottom w:val="0"/>
      <w:divBdr>
        <w:top w:val="none" w:sz="0" w:space="0" w:color="auto"/>
        <w:left w:val="none" w:sz="0" w:space="0" w:color="auto"/>
        <w:bottom w:val="none" w:sz="0" w:space="0" w:color="auto"/>
        <w:right w:val="none" w:sz="0" w:space="0" w:color="auto"/>
      </w:divBdr>
      <w:divsChild>
        <w:div w:id="1455712473">
          <w:marLeft w:val="0"/>
          <w:marRight w:val="0"/>
          <w:marTop w:val="0"/>
          <w:marBottom w:val="0"/>
          <w:divBdr>
            <w:top w:val="none" w:sz="0" w:space="0" w:color="auto"/>
            <w:left w:val="none" w:sz="0" w:space="0" w:color="auto"/>
            <w:bottom w:val="none" w:sz="0" w:space="0" w:color="auto"/>
            <w:right w:val="none" w:sz="0" w:space="0" w:color="auto"/>
          </w:divBdr>
        </w:div>
      </w:divsChild>
    </w:div>
    <w:div w:id="1788158999">
      <w:bodyDiv w:val="1"/>
      <w:marLeft w:val="0"/>
      <w:marRight w:val="0"/>
      <w:marTop w:val="0"/>
      <w:marBottom w:val="0"/>
      <w:divBdr>
        <w:top w:val="none" w:sz="0" w:space="0" w:color="auto"/>
        <w:left w:val="none" w:sz="0" w:space="0" w:color="auto"/>
        <w:bottom w:val="none" w:sz="0" w:space="0" w:color="auto"/>
        <w:right w:val="none" w:sz="0" w:space="0" w:color="auto"/>
      </w:divBdr>
      <w:divsChild>
        <w:div w:id="1024209839">
          <w:marLeft w:val="0"/>
          <w:marRight w:val="0"/>
          <w:marTop w:val="0"/>
          <w:marBottom w:val="0"/>
          <w:divBdr>
            <w:top w:val="none" w:sz="0" w:space="0" w:color="auto"/>
            <w:left w:val="none" w:sz="0" w:space="0" w:color="auto"/>
            <w:bottom w:val="none" w:sz="0" w:space="0" w:color="auto"/>
            <w:right w:val="none" w:sz="0" w:space="0" w:color="auto"/>
          </w:divBdr>
        </w:div>
      </w:divsChild>
    </w:div>
    <w:div w:id="1795324270">
      <w:bodyDiv w:val="1"/>
      <w:marLeft w:val="0"/>
      <w:marRight w:val="0"/>
      <w:marTop w:val="0"/>
      <w:marBottom w:val="0"/>
      <w:divBdr>
        <w:top w:val="none" w:sz="0" w:space="0" w:color="auto"/>
        <w:left w:val="none" w:sz="0" w:space="0" w:color="auto"/>
        <w:bottom w:val="none" w:sz="0" w:space="0" w:color="auto"/>
        <w:right w:val="none" w:sz="0" w:space="0" w:color="auto"/>
      </w:divBdr>
      <w:divsChild>
        <w:div w:id="386339971">
          <w:marLeft w:val="0"/>
          <w:marRight w:val="0"/>
          <w:marTop w:val="0"/>
          <w:marBottom w:val="0"/>
          <w:divBdr>
            <w:top w:val="none" w:sz="0" w:space="0" w:color="auto"/>
            <w:left w:val="none" w:sz="0" w:space="0" w:color="auto"/>
            <w:bottom w:val="none" w:sz="0" w:space="0" w:color="auto"/>
            <w:right w:val="none" w:sz="0" w:space="0" w:color="auto"/>
          </w:divBdr>
          <w:divsChild>
            <w:div w:id="424425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8083766">
      <w:bodyDiv w:val="1"/>
      <w:marLeft w:val="0"/>
      <w:marRight w:val="0"/>
      <w:marTop w:val="0"/>
      <w:marBottom w:val="0"/>
      <w:divBdr>
        <w:top w:val="none" w:sz="0" w:space="0" w:color="auto"/>
        <w:left w:val="none" w:sz="0" w:space="0" w:color="auto"/>
        <w:bottom w:val="none" w:sz="0" w:space="0" w:color="auto"/>
        <w:right w:val="none" w:sz="0" w:space="0" w:color="auto"/>
      </w:divBdr>
      <w:divsChild>
        <w:div w:id="1120148461">
          <w:marLeft w:val="0"/>
          <w:marRight w:val="0"/>
          <w:marTop w:val="0"/>
          <w:marBottom w:val="0"/>
          <w:divBdr>
            <w:top w:val="none" w:sz="0" w:space="0" w:color="auto"/>
            <w:left w:val="none" w:sz="0" w:space="0" w:color="auto"/>
            <w:bottom w:val="none" w:sz="0" w:space="0" w:color="auto"/>
            <w:right w:val="none" w:sz="0" w:space="0" w:color="auto"/>
          </w:divBdr>
        </w:div>
      </w:divsChild>
    </w:div>
    <w:div w:id="1808862360">
      <w:bodyDiv w:val="1"/>
      <w:marLeft w:val="0"/>
      <w:marRight w:val="0"/>
      <w:marTop w:val="0"/>
      <w:marBottom w:val="0"/>
      <w:divBdr>
        <w:top w:val="none" w:sz="0" w:space="0" w:color="auto"/>
        <w:left w:val="none" w:sz="0" w:space="0" w:color="auto"/>
        <w:bottom w:val="none" w:sz="0" w:space="0" w:color="auto"/>
        <w:right w:val="none" w:sz="0" w:space="0" w:color="auto"/>
      </w:divBdr>
      <w:divsChild>
        <w:div w:id="1334529389">
          <w:marLeft w:val="0"/>
          <w:marRight w:val="0"/>
          <w:marTop w:val="0"/>
          <w:marBottom w:val="0"/>
          <w:divBdr>
            <w:top w:val="none" w:sz="0" w:space="0" w:color="auto"/>
            <w:left w:val="none" w:sz="0" w:space="0" w:color="auto"/>
            <w:bottom w:val="none" w:sz="0" w:space="0" w:color="auto"/>
            <w:right w:val="none" w:sz="0" w:space="0" w:color="auto"/>
          </w:divBdr>
        </w:div>
      </w:divsChild>
    </w:div>
    <w:div w:id="1814179666">
      <w:bodyDiv w:val="1"/>
      <w:marLeft w:val="0"/>
      <w:marRight w:val="0"/>
      <w:marTop w:val="0"/>
      <w:marBottom w:val="0"/>
      <w:divBdr>
        <w:top w:val="none" w:sz="0" w:space="0" w:color="auto"/>
        <w:left w:val="none" w:sz="0" w:space="0" w:color="auto"/>
        <w:bottom w:val="none" w:sz="0" w:space="0" w:color="auto"/>
        <w:right w:val="none" w:sz="0" w:space="0" w:color="auto"/>
      </w:divBdr>
      <w:divsChild>
        <w:div w:id="1134828735">
          <w:marLeft w:val="0"/>
          <w:marRight w:val="0"/>
          <w:marTop w:val="0"/>
          <w:marBottom w:val="0"/>
          <w:divBdr>
            <w:top w:val="none" w:sz="0" w:space="0" w:color="auto"/>
            <w:left w:val="none" w:sz="0" w:space="0" w:color="auto"/>
            <w:bottom w:val="none" w:sz="0" w:space="0" w:color="auto"/>
            <w:right w:val="none" w:sz="0" w:space="0" w:color="auto"/>
          </w:divBdr>
        </w:div>
      </w:divsChild>
    </w:div>
    <w:div w:id="1816797164">
      <w:bodyDiv w:val="1"/>
      <w:marLeft w:val="0"/>
      <w:marRight w:val="0"/>
      <w:marTop w:val="0"/>
      <w:marBottom w:val="0"/>
      <w:divBdr>
        <w:top w:val="none" w:sz="0" w:space="0" w:color="auto"/>
        <w:left w:val="none" w:sz="0" w:space="0" w:color="auto"/>
        <w:bottom w:val="none" w:sz="0" w:space="0" w:color="auto"/>
        <w:right w:val="none" w:sz="0" w:space="0" w:color="auto"/>
      </w:divBdr>
      <w:divsChild>
        <w:div w:id="1216773765">
          <w:marLeft w:val="0"/>
          <w:marRight w:val="0"/>
          <w:marTop w:val="0"/>
          <w:marBottom w:val="0"/>
          <w:divBdr>
            <w:top w:val="none" w:sz="0" w:space="0" w:color="auto"/>
            <w:left w:val="none" w:sz="0" w:space="0" w:color="auto"/>
            <w:bottom w:val="none" w:sz="0" w:space="0" w:color="auto"/>
            <w:right w:val="none" w:sz="0" w:space="0" w:color="auto"/>
          </w:divBdr>
        </w:div>
      </w:divsChild>
    </w:div>
    <w:div w:id="1818496712">
      <w:bodyDiv w:val="1"/>
      <w:marLeft w:val="0"/>
      <w:marRight w:val="0"/>
      <w:marTop w:val="0"/>
      <w:marBottom w:val="0"/>
      <w:divBdr>
        <w:top w:val="none" w:sz="0" w:space="0" w:color="auto"/>
        <w:left w:val="none" w:sz="0" w:space="0" w:color="auto"/>
        <w:bottom w:val="none" w:sz="0" w:space="0" w:color="auto"/>
        <w:right w:val="none" w:sz="0" w:space="0" w:color="auto"/>
      </w:divBdr>
      <w:divsChild>
        <w:div w:id="1166238800">
          <w:marLeft w:val="0"/>
          <w:marRight w:val="0"/>
          <w:marTop w:val="0"/>
          <w:marBottom w:val="0"/>
          <w:divBdr>
            <w:top w:val="none" w:sz="0" w:space="0" w:color="auto"/>
            <w:left w:val="none" w:sz="0" w:space="0" w:color="auto"/>
            <w:bottom w:val="none" w:sz="0" w:space="0" w:color="auto"/>
            <w:right w:val="none" w:sz="0" w:space="0" w:color="auto"/>
          </w:divBdr>
        </w:div>
      </w:divsChild>
    </w:div>
    <w:div w:id="1828665283">
      <w:bodyDiv w:val="1"/>
      <w:marLeft w:val="0"/>
      <w:marRight w:val="0"/>
      <w:marTop w:val="0"/>
      <w:marBottom w:val="0"/>
      <w:divBdr>
        <w:top w:val="none" w:sz="0" w:space="0" w:color="auto"/>
        <w:left w:val="none" w:sz="0" w:space="0" w:color="auto"/>
        <w:bottom w:val="none" w:sz="0" w:space="0" w:color="auto"/>
        <w:right w:val="none" w:sz="0" w:space="0" w:color="auto"/>
      </w:divBdr>
      <w:divsChild>
        <w:div w:id="634995162">
          <w:marLeft w:val="0"/>
          <w:marRight w:val="0"/>
          <w:marTop w:val="0"/>
          <w:marBottom w:val="0"/>
          <w:divBdr>
            <w:top w:val="none" w:sz="0" w:space="0" w:color="auto"/>
            <w:left w:val="none" w:sz="0" w:space="0" w:color="auto"/>
            <w:bottom w:val="none" w:sz="0" w:space="0" w:color="auto"/>
            <w:right w:val="none" w:sz="0" w:space="0" w:color="auto"/>
          </w:divBdr>
        </w:div>
      </w:divsChild>
    </w:div>
    <w:div w:id="1841962670">
      <w:bodyDiv w:val="1"/>
      <w:marLeft w:val="0"/>
      <w:marRight w:val="0"/>
      <w:marTop w:val="0"/>
      <w:marBottom w:val="0"/>
      <w:divBdr>
        <w:top w:val="none" w:sz="0" w:space="0" w:color="auto"/>
        <w:left w:val="none" w:sz="0" w:space="0" w:color="auto"/>
        <w:bottom w:val="none" w:sz="0" w:space="0" w:color="auto"/>
        <w:right w:val="none" w:sz="0" w:space="0" w:color="auto"/>
      </w:divBdr>
      <w:divsChild>
        <w:div w:id="1095054930">
          <w:marLeft w:val="0"/>
          <w:marRight w:val="0"/>
          <w:marTop w:val="0"/>
          <w:marBottom w:val="0"/>
          <w:divBdr>
            <w:top w:val="none" w:sz="0" w:space="0" w:color="auto"/>
            <w:left w:val="none" w:sz="0" w:space="0" w:color="auto"/>
            <w:bottom w:val="none" w:sz="0" w:space="0" w:color="auto"/>
            <w:right w:val="none" w:sz="0" w:space="0" w:color="auto"/>
          </w:divBdr>
        </w:div>
      </w:divsChild>
    </w:div>
    <w:div w:id="1843667478">
      <w:bodyDiv w:val="1"/>
      <w:marLeft w:val="0"/>
      <w:marRight w:val="0"/>
      <w:marTop w:val="0"/>
      <w:marBottom w:val="0"/>
      <w:divBdr>
        <w:top w:val="none" w:sz="0" w:space="0" w:color="auto"/>
        <w:left w:val="none" w:sz="0" w:space="0" w:color="auto"/>
        <w:bottom w:val="none" w:sz="0" w:space="0" w:color="auto"/>
        <w:right w:val="none" w:sz="0" w:space="0" w:color="auto"/>
      </w:divBdr>
      <w:divsChild>
        <w:div w:id="556865017">
          <w:marLeft w:val="0"/>
          <w:marRight w:val="0"/>
          <w:marTop w:val="0"/>
          <w:marBottom w:val="0"/>
          <w:divBdr>
            <w:top w:val="none" w:sz="0" w:space="0" w:color="auto"/>
            <w:left w:val="none" w:sz="0" w:space="0" w:color="auto"/>
            <w:bottom w:val="none" w:sz="0" w:space="0" w:color="auto"/>
            <w:right w:val="none" w:sz="0" w:space="0" w:color="auto"/>
          </w:divBdr>
        </w:div>
      </w:divsChild>
    </w:div>
    <w:div w:id="1854227210">
      <w:bodyDiv w:val="1"/>
      <w:marLeft w:val="0"/>
      <w:marRight w:val="0"/>
      <w:marTop w:val="0"/>
      <w:marBottom w:val="0"/>
      <w:divBdr>
        <w:top w:val="none" w:sz="0" w:space="0" w:color="auto"/>
        <w:left w:val="none" w:sz="0" w:space="0" w:color="auto"/>
        <w:bottom w:val="none" w:sz="0" w:space="0" w:color="auto"/>
        <w:right w:val="none" w:sz="0" w:space="0" w:color="auto"/>
      </w:divBdr>
      <w:divsChild>
        <w:div w:id="1637490683">
          <w:marLeft w:val="0"/>
          <w:marRight w:val="0"/>
          <w:marTop w:val="0"/>
          <w:marBottom w:val="0"/>
          <w:divBdr>
            <w:top w:val="none" w:sz="0" w:space="0" w:color="auto"/>
            <w:left w:val="none" w:sz="0" w:space="0" w:color="auto"/>
            <w:bottom w:val="none" w:sz="0" w:space="0" w:color="auto"/>
            <w:right w:val="none" w:sz="0" w:space="0" w:color="auto"/>
          </w:divBdr>
        </w:div>
      </w:divsChild>
    </w:div>
    <w:div w:id="1860509439">
      <w:bodyDiv w:val="1"/>
      <w:marLeft w:val="0"/>
      <w:marRight w:val="0"/>
      <w:marTop w:val="0"/>
      <w:marBottom w:val="0"/>
      <w:divBdr>
        <w:top w:val="none" w:sz="0" w:space="0" w:color="auto"/>
        <w:left w:val="none" w:sz="0" w:space="0" w:color="auto"/>
        <w:bottom w:val="none" w:sz="0" w:space="0" w:color="auto"/>
        <w:right w:val="none" w:sz="0" w:space="0" w:color="auto"/>
      </w:divBdr>
      <w:divsChild>
        <w:div w:id="588776314">
          <w:marLeft w:val="0"/>
          <w:marRight w:val="0"/>
          <w:marTop w:val="0"/>
          <w:marBottom w:val="0"/>
          <w:divBdr>
            <w:top w:val="none" w:sz="0" w:space="0" w:color="auto"/>
            <w:left w:val="none" w:sz="0" w:space="0" w:color="auto"/>
            <w:bottom w:val="none" w:sz="0" w:space="0" w:color="auto"/>
            <w:right w:val="none" w:sz="0" w:space="0" w:color="auto"/>
          </w:divBdr>
        </w:div>
      </w:divsChild>
    </w:div>
    <w:div w:id="1860966305">
      <w:bodyDiv w:val="1"/>
      <w:marLeft w:val="0"/>
      <w:marRight w:val="0"/>
      <w:marTop w:val="0"/>
      <w:marBottom w:val="0"/>
      <w:divBdr>
        <w:top w:val="none" w:sz="0" w:space="0" w:color="auto"/>
        <w:left w:val="none" w:sz="0" w:space="0" w:color="auto"/>
        <w:bottom w:val="none" w:sz="0" w:space="0" w:color="auto"/>
        <w:right w:val="none" w:sz="0" w:space="0" w:color="auto"/>
      </w:divBdr>
      <w:divsChild>
        <w:div w:id="1534921348">
          <w:marLeft w:val="0"/>
          <w:marRight w:val="0"/>
          <w:marTop w:val="0"/>
          <w:marBottom w:val="0"/>
          <w:divBdr>
            <w:top w:val="none" w:sz="0" w:space="0" w:color="auto"/>
            <w:left w:val="none" w:sz="0" w:space="0" w:color="auto"/>
            <w:bottom w:val="none" w:sz="0" w:space="0" w:color="auto"/>
            <w:right w:val="none" w:sz="0" w:space="0" w:color="auto"/>
          </w:divBdr>
        </w:div>
      </w:divsChild>
    </w:div>
    <w:div w:id="1862477244">
      <w:bodyDiv w:val="1"/>
      <w:marLeft w:val="0"/>
      <w:marRight w:val="0"/>
      <w:marTop w:val="0"/>
      <w:marBottom w:val="0"/>
      <w:divBdr>
        <w:top w:val="none" w:sz="0" w:space="0" w:color="auto"/>
        <w:left w:val="none" w:sz="0" w:space="0" w:color="auto"/>
        <w:bottom w:val="none" w:sz="0" w:space="0" w:color="auto"/>
        <w:right w:val="none" w:sz="0" w:space="0" w:color="auto"/>
      </w:divBdr>
      <w:divsChild>
        <w:div w:id="1518612756">
          <w:marLeft w:val="0"/>
          <w:marRight w:val="0"/>
          <w:marTop w:val="0"/>
          <w:marBottom w:val="0"/>
          <w:divBdr>
            <w:top w:val="none" w:sz="0" w:space="0" w:color="auto"/>
            <w:left w:val="none" w:sz="0" w:space="0" w:color="auto"/>
            <w:bottom w:val="none" w:sz="0" w:space="0" w:color="auto"/>
            <w:right w:val="none" w:sz="0" w:space="0" w:color="auto"/>
          </w:divBdr>
        </w:div>
      </w:divsChild>
    </w:div>
    <w:div w:id="1874684267">
      <w:bodyDiv w:val="1"/>
      <w:marLeft w:val="0"/>
      <w:marRight w:val="0"/>
      <w:marTop w:val="0"/>
      <w:marBottom w:val="0"/>
      <w:divBdr>
        <w:top w:val="none" w:sz="0" w:space="0" w:color="auto"/>
        <w:left w:val="none" w:sz="0" w:space="0" w:color="auto"/>
        <w:bottom w:val="none" w:sz="0" w:space="0" w:color="auto"/>
        <w:right w:val="none" w:sz="0" w:space="0" w:color="auto"/>
      </w:divBdr>
      <w:divsChild>
        <w:div w:id="467745218">
          <w:marLeft w:val="0"/>
          <w:marRight w:val="0"/>
          <w:marTop w:val="0"/>
          <w:marBottom w:val="0"/>
          <w:divBdr>
            <w:top w:val="none" w:sz="0" w:space="0" w:color="auto"/>
            <w:left w:val="none" w:sz="0" w:space="0" w:color="auto"/>
            <w:bottom w:val="none" w:sz="0" w:space="0" w:color="auto"/>
            <w:right w:val="none" w:sz="0" w:space="0" w:color="auto"/>
          </w:divBdr>
        </w:div>
      </w:divsChild>
    </w:div>
    <w:div w:id="1879664260">
      <w:bodyDiv w:val="1"/>
      <w:marLeft w:val="0"/>
      <w:marRight w:val="0"/>
      <w:marTop w:val="0"/>
      <w:marBottom w:val="0"/>
      <w:divBdr>
        <w:top w:val="none" w:sz="0" w:space="0" w:color="auto"/>
        <w:left w:val="none" w:sz="0" w:space="0" w:color="auto"/>
        <w:bottom w:val="none" w:sz="0" w:space="0" w:color="auto"/>
        <w:right w:val="none" w:sz="0" w:space="0" w:color="auto"/>
      </w:divBdr>
      <w:divsChild>
        <w:div w:id="1162622993">
          <w:marLeft w:val="0"/>
          <w:marRight w:val="0"/>
          <w:marTop w:val="0"/>
          <w:marBottom w:val="0"/>
          <w:divBdr>
            <w:top w:val="none" w:sz="0" w:space="0" w:color="auto"/>
            <w:left w:val="none" w:sz="0" w:space="0" w:color="auto"/>
            <w:bottom w:val="none" w:sz="0" w:space="0" w:color="auto"/>
            <w:right w:val="none" w:sz="0" w:space="0" w:color="auto"/>
          </w:divBdr>
        </w:div>
      </w:divsChild>
    </w:div>
    <w:div w:id="1884101205">
      <w:bodyDiv w:val="1"/>
      <w:marLeft w:val="0"/>
      <w:marRight w:val="0"/>
      <w:marTop w:val="0"/>
      <w:marBottom w:val="0"/>
      <w:divBdr>
        <w:top w:val="none" w:sz="0" w:space="0" w:color="auto"/>
        <w:left w:val="none" w:sz="0" w:space="0" w:color="auto"/>
        <w:bottom w:val="none" w:sz="0" w:space="0" w:color="auto"/>
        <w:right w:val="none" w:sz="0" w:space="0" w:color="auto"/>
      </w:divBdr>
    </w:div>
    <w:div w:id="1889225530">
      <w:bodyDiv w:val="1"/>
      <w:marLeft w:val="0"/>
      <w:marRight w:val="0"/>
      <w:marTop w:val="0"/>
      <w:marBottom w:val="0"/>
      <w:divBdr>
        <w:top w:val="none" w:sz="0" w:space="0" w:color="auto"/>
        <w:left w:val="none" w:sz="0" w:space="0" w:color="auto"/>
        <w:bottom w:val="none" w:sz="0" w:space="0" w:color="auto"/>
        <w:right w:val="none" w:sz="0" w:space="0" w:color="auto"/>
      </w:divBdr>
      <w:divsChild>
        <w:div w:id="23019230">
          <w:marLeft w:val="0"/>
          <w:marRight w:val="0"/>
          <w:marTop w:val="0"/>
          <w:marBottom w:val="0"/>
          <w:divBdr>
            <w:top w:val="none" w:sz="0" w:space="0" w:color="auto"/>
            <w:left w:val="none" w:sz="0" w:space="0" w:color="auto"/>
            <w:bottom w:val="none" w:sz="0" w:space="0" w:color="auto"/>
            <w:right w:val="none" w:sz="0" w:space="0" w:color="auto"/>
          </w:divBdr>
        </w:div>
      </w:divsChild>
    </w:div>
    <w:div w:id="1890996298">
      <w:bodyDiv w:val="1"/>
      <w:marLeft w:val="0"/>
      <w:marRight w:val="0"/>
      <w:marTop w:val="0"/>
      <w:marBottom w:val="0"/>
      <w:divBdr>
        <w:top w:val="none" w:sz="0" w:space="0" w:color="auto"/>
        <w:left w:val="none" w:sz="0" w:space="0" w:color="auto"/>
        <w:bottom w:val="none" w:sz="0" w:space="0" w:color="auto"/>
        <w:right w:val="none" w:sz="0" w:space="0" w:color="auto"/>
      </w:divBdr>
      <w:divsChild>
        <w:div w:id="1134133020">
          <w:marLeft w:val="0"/>
          <w:marRight w:val="0"/>
          <w:marTop w:val="0"/>
          <w:marBottom w:val="0"/>
          <w:divBdr>
            <w:top w:val="none" w:sz="0" w:space="0" w:color="auto"/>
            <w:left w:val="none" w:sz="0" w:space="0" w:color="auto"/>
            <w:bottom w:val="none" w:sz="0" w:space="0" w:color="auto"/>
            <w:right w:val="none" w:sz="0" w:space="0" w:color="auto"/>
          </w:divBdr>
        </w:div>
      </w:divsChild>
    </w:div>
    <w:div w:id="1894730812">
      <w:bodyDiv w:val="1"/>
      <w:marLeft w:val="0"/>
      <w:marRight w:val="0"/>
      <w:marTop w:val="0"/>
      <w:marBottom w:val="0"/>
      <w:divBdr>
        <w:top w:val="none" w:sz="0" w:space="0" w:color="auto"/>
        <w:left w:val="none" w:sz="0" w:space="0" w:color="auto"/>
        <w:bottom w:val="none" w:sz="0" w:space="0" w:color="auto"/>
        <w:right w:val="none" w:sz="0" w:space="0" w:color="auto"/>
      </w:divBdr>
      <w:divsChild>
        <w:div w:id="1037851047">
          <w:marLeft w:val="0"/>
          <w:marRight w:val="0"/>
          <w:marTop w:val="0"/>
          <w:marBottom w:val="0"/>
          <w:divBdr>
            <w:top w:val="none" w:sz="0" w:space="0" w:color="auto"/>
            <w:left w:val="none" w:sz="0" w:space="0" w:color="auto"/>
            <w:bottom w:val="none" w:sz="0" w:space="0" w:color="auto"/>
            <w:right w:val="none" w:sz="0" w:space="0" w:color="auto"/>
          </w:divBdr>
        </w:div>
      </w:divsChild>
    </w:div>
    <w:div w:id="1894924646">
      <w:bodyDiv w:val="1"/>
      <w:marLeft w:val="0"/>
      <w:marRight w:val="0"/>
      <w:marTop w:val="0"/>
      <w:marBottom w:val="0"/>
      <w:divBdr>
        <w:top w:val="none" w:sz="0" w:space="0" w:color="auto"/>
        <w:left w:val="none" w:sz="0" w:space="0" w:color="auto"/>
        <w:bottom w:val="none" w:sz="0" w:space="0" w:color="auto"/>
        <w:right w:val="none" w:sz="0" w:space="0" w:color="auto"/>
      </w:divBdr>
      <w:divsChild>
        <w:div w:id="520631446">
          <w:marLeft w:val="0"/>
          <w:marRight w:val="0"/>
          <w:marTop w:val="0"/>
          <w:marBottom w:val="0"/>
          <w:divBdr>
            <w:top w:val="none" w:sz="0" w:space="0" w:color="auto"/>
            <w:left w:val="none" w:sz="0" w:space="0" w:color="auto"/>
            <w:bottom w:val="none" w:sz="0" w:space="0" w:color="auto"/>
            <w:right w:val="none" w:sz="0" w:space="0" w:color="auto"/>
          </w:divBdr>
        </w:div>
        <w:div w:id="1074429666">
          <w:marLeft w:val="0"/>
          <w:marRight w:val="0"/>
          <w:marTop w:val="0"/>
          <w:marBottom w:val="0"/>
          <w:divBdr>
            <w:top w:val="none" w:sz="0" w:space="0" w:color="auto"/>
            <w:left w:val="none" w:sz="0" w:space="0" w:color="auto"/>
            <w:bottom w:val="none" w:sz="0" w:space="0" w:color="auto"/>
            <w:right w:val="none" w:sz="0" w:space="0" w:color="auto"/>
          </w:divBdr>
        </w:div>
        <w:div w:id="1287465337">
          <w:marLeft w:val="0"/>
          <w:marRight w:val="0"/>
          <w:marTop w:val="0"/>
          <w:marBottom w:val="0"/>
          <w:divBdr>
            <w:top w:val="none" w:sz="0" w:space="0" w:color="auto"/>
            <w:left w:val="none" w:sz="0" w:space="0" w:color="auto"/>
            <w:bottom w:val="none" w:sz="0" w:space="0" w:color="auto"/>
            <w:right w:val="none" w:sz="0" w:space="0" w:color="auto"/>
          </w:divBdr>
        </w:div>
        <w:div w:id="2069180671">
          <w:marLeft w:val="0"/>
          <w:marRight w:val="0"/>
          <w:marTop w:val="0"/>
          <w:marBottom w:val="0"/>
          <w:divBdr>
            <w:top w:val="none" w:sz="0" w:space="0" w:color="auto"/>
            <w:left w:val="none" w:sz="0" w:space="0" w:color="auto"/>
            <w:bottom w:val="none" w:sz="0" w:space="0" w:color="auto"/>
            <w:right w:val="none" w:sz="0" w:space="0" w:color="auto"/>
          </w:divBdr>
        </w:div>
        <w:div w:id="2099135025">
          <w:marLeft w:val="0"/>
          <w:marRight w:val="0"/>
          <w:marTop w:val="0"/>
          <w:marBottom w:val="0"/>
          <w:divBdr>
            <w:top w:val="none" w:sz="0" w:space="0" w:color="auto"/>
            <w:left w:val="none" w:sz="0" w:space="0" w:color="auto"/>
            <w:bottom w:val="none" w:sz="0" w:space="0" w:color="auto"/>
            <w:right w:val="none" w:sz="0" w:space="0" w:color="auto"/>
          </w:divBdr>
        </w:div>
      </w:divsChild>
    </w:div>
    <w:div w:id="1895577837">
      <w:bodyDiv w:val="1"/>
      <w:marLeft w:val="0"/>
      <w:marRight w:val="0"/>
      <w:marTop w:val="0"/>
      <w:marBottom w:val="0"/>
      <w:divBdr>
        <w:top w:val="none" w:sz="0" w:space="0" w:color="auto"/>
        <w:left w:val="none" w:sz="0" w:space="0" w:color="auto"/>
        <w:bottom w:val="none" w:sz="0" w:space="0" w:color="auto"/>
        <w:right w:val="none" w:sz="0" w:space="0" w:color="auto"/>
      </w:divBdr>
      <w:divsChild>
        <w:div w:id="1662193061">
          <w:marLeft w:val="0"/>
          <w:marRight w:val="0"/>
          <w:marTop w:val="0"/>
          <w:marBottom w:val="0"/>
          <w:divBdr>
            <w:top w:val="none" w:sz="0" w:space="0" w:color="auto"/>
            <w:left w:val="none" w:sz="0" w:space="0" w:color="auto"/>
            <w:bottom w:val="none" w:sz="0" w:space="0" w:color="auto"/>
            <w:right w:val="none" w:sz="0" w:space="0" w:color="auto"/>
          </w:divBdr>
        </w:div>
      </w:divsChild>
    </w:div>
    <w:div w:id="1896508325">
      <w:bodyDiv w:val="1"/>
      <w:marLeft w:val="0"/>
      <w:marRight w:val="0"/>
      <w:marTop w:val="0"/>
      <w:marBottom w:val="0"/>
      <w:divBdr>
        <w:top w:val="none" w:sz="0" w:space="0" w:color="auto"/>
        <w:left w:val="none" w:sz="0" w:space="0" w:color="auto"/>
        <w:bottom w:val="none" w:sz="0" w:space="0" w:color="auto"/>
        <w:right w:val="none" w:sz="0" w:space="0" w:color="auto"/>
      </w:divBdr>
    </w:div>
    <w:div w:id="1912081737">
      <w:bodyDiv w:val="1"/>
      <w:marLeft w:val="0"/>
      <w:marRight w:val="0"/>
      <w:marTop w:val="0"/>
      <w:marBottom w:val="0"/>
      <w:divBdr>
        <w:top w:val="none" w:sz="0" w:space="0" w:color="auto"/>
        <w:left w:val="none" w:sz="0" w:space="0" w:color="auto"/>
        <w:bottom w:val="none" w:sz="0" w:space="0" w:color="auto"/>
        <w:right w:val="none" w:sz="0" w:space="0" w:color="auto"/>
      </w:divBdr>
      <w:divsChild>
        <w:div w:id="1743988695">
          <w:marLeft w:val="0"/>
          <w:marRight w:val="0"/>
          <w:marTop w:val="0"/>
          <w:marBottom w:val="0"/>
          <w:divBdr>
            <w:top w:val="none" w:sz="0" w:space="0" w:color="auto"/>
            <w:left w:val="none" w:sz="0" w:space="0" w:color="auto"/>
            <w:bottom w:val="none" w:sz="0" w:space="0" w:color="auto"/>
            <w:right w:val="none" w:sz="0" w:space="0" w:color="auto"/>
          </w:divBdr>
        </w:div>
      </w:divsChild>
    </w:div>
    <w:div w:id="1918398041">
      <w:bodyDiv w:val="1"/>
      <w:marLeft w:val="0"/>
      <w:marRight w:val="0"/>
      <w:marTop w:val="0"/>
      <w:marBottom w:val="0"/>
      <w:divBdr>
        <w:top w:val="none" w:sz="0" w:space="0" w:color="auto"/>
        <w:left w:val="none" w:sz="0" w:space="0" w:color="auto"/>
        <w:bottom w:val="none" w:sz="0" w:space="0" w:color="auto"/>
        <w:right w:val="none" w:sz="0" w:space="0" w:color="auto"/>
      </w:divBdr>
    </w:div>
    <w:div w:id="1921451299">
      <w:bodyDiv w:val="1"/>
      <w:marLeft w:val="0"/>
      <w:marRight w:val="0"/>
      <w:marTop w:val="0"/>
      <w:marBottom w:val="0"/>
      <w:divBdr>
        <w:top w:val="none" w:sz="0" w:space="0" w:color="auto"/>
        <w:left w:val="none" w:sz="0" w:space="0" w:color="auto"/>
        <w:bottom w:val="none" w:sz="0" w:space="0" w:color="auto"/>
        <w:right w:val="none" w:sz="0" w:space="0" w:color="auto"/>
      </w:divBdr>
      <w:divsChild>
        <w:div w:id="1223755556">
          <w:marLeft w:val="0"/>
          <w:marRight w:val="0"/>
          <w:marTop w:val="0"/>
          <w:marBottom w:val="0"/>
          <w:divBdr>
            <w:top w:val="none" w:sz="0" w:space="0" w:color="auto"/>
            <w:left w:val="none" w:sz="0" w:space="0" w:color="auto"/>
            <w:bottom w:val="none" w:sz="0" w:space="0" w:color="auto"/>
            <w:right w:val="none" w:sz="0" w:space="0" w:color="auto"/>
          </w:divBdr>
        </w:div>
      </w:divsChild>
    </w:div>
    <w:div w:id="1921787881">
      <w:bodyDiv w:val="1"/>
      <w:marLeft w:val="0"/>
      <w:marRight w:val="0"/>
      <w:marTop w:val="0"/>
      <w:marBottom w:val="0"/>
      <w:divBdr>
        <w:top w:val="none" w:sz="0" w:space="0" w:color="auto"/>
        <w:left w:val="none" w:sz="0" w:space="0" w:color="auto"/>
        <w:bottom w:val="none" w:sz="0" w:space="0" w:color="auto"/>
        <w:right w:val="none" w:sz="0" w:space="0" w:color="auto"/>
      </w:divBdr>
      <w:divsChild>
        <w:div w:id="195049515">
          <w:marLeft w:val="0"/>
          <w:marRight w:val="0"/>
          <w:marTop w:val="0"/>
          <w:marBottom w:val="0"/>
          <w:divBdr>
            <w:top w:val="none" w:sz="0" w:space="0" w:color="auto"/>
            <w:left w:val="none" w:sz="0" w:space="0" w:color="auto"/>
            <w:bottom w:val="none" w:sz="0" w:space="0" w:color="auto"/>
            <w:right w:val="none" w:sz="0" w:space="0" w:color="auto"/>
          </w:divBdr>
        </w:div>
      </w:divsChild>
    </w:div>
    <w:div w:id="1925215868">
      <w:bodyDiv w:val="1"/>
      <w:marLeft w:val="0"/>
      <w:marRight w:val="0"/>
      <w:marTop w:val="0"/>
      <w:marBottom w:val="0"/>
      <w:divBdr>
        <w:top w:val="none" w:sz="0" w:space="0" w:color="auto"/>
        <w:left w:val="none" w:sz="0" w:space="0" w:color="auto"/>
        <w:bottom w:val="none" w:sz="0" w:space="0" w:color="auto"/>
        <w:right w:val="none" w:sz="0" w:space="0" w:color="auto"/>
      </w:divBdr>
      <w:divsChild>
        <w:div w:id="780537623">
          <w:marLeft w:val="0"/>
          <w:marRight w:val="0"/>
          <w:marTop w:val="0"/>
          <w:marBottom w:val="0"/>
          <w:divBdr>
            <w:top w:val="none" w:sz="0" w:space="0" w:color="auto"/>
            <w:left w:val="none" w:sz="0" w:space="0" w:color="auto"/>
            <w:bottom w:val="none" w:sz="0" w:space="0" w:color="auto"/>
            <w:right w:val="none" w:sz="0" w:space="0" w:color="auto"/>
          </w:divBdr>
        </w:div>
      </w:divsChild>
    </w:div>
    <w:div w:id="1928731695">
      <w:bodyDiv w:val="1"/>
      <w:marLeft w:val="0"/>
      <w:marRight w:val="0"/>
      <w:marTop w:val="0"/>
      <w:marBottom w:val="0"/>
      <w:divBdr>
        <w:top w:val="none" w:sz="0" w:space="0" w:color="auto"/>
        <w:left w:val="none" w:sz="0" w:space="0" w:color="auto"/>
        <w:bottom w:val="none" w:sz="0" w:space="0" w:color="auto"/>
        <w:right w:val="none" w:sz="0" w:space="0" w:color="auto"/>
      </w:divBdr>
    </w:div>
    <w:div w:id="1942759345">
      <w:bodyDiv w:val="1"/>
      <w:marLeft w:val="0"/>
      <w:marRight w:val="0"/>
      <w:marTop w:val="0"/>
      <w:marBottom w:val="0"/>
      <w:divBdr>
        <w:top w:val="none" w:sz="0" w:space="0" w:color="auto"/>
        <w:left w:val="none" w:sz="0" w:space="0" w:color="auto"/>
        <w:bottom w:val="none" w:sz="0" w:space="0" w:color="auto"/>
        <w:right w:val="none" w:sz="0" w:space="0" w:color="auto"/>
      </w:divBdr>
      <w:divsChild>
        <w:div w:id="909197319">
          <w:marLeft w:val="0"/>
          <w:marRight w:val="0"/>
          <w:marTop w:val="0"/>
          <w:marBottom w:val="0"/>
          <w:divBdr>
            <w:top w:val="none" w:sz="0" w:space="0" w:color="auto"/>
            <w:left w:val="none" w:sz="0" w:space="0" w:color="auto"/>
            <w:bottom w:val="none" w:sz="0" w:space="0" w:color="auto"/>
            <w:right w:val="none" w:sz="0" w:space="0" w:color="auto"/>
          </w:divBdr>
        </w:div>
      </w:divsChild>
    </w:div>
    <w:div w:id="1943995465">
      <w:bodyDiv w:val="1"/>
      <w:marLeft w:val="0"/>
      <w:marRight w:val="0"/>
      <w:marTop w:val="0"/>
      <w:marBottom w:val="0"/>
      <w:divBdr>
        <w:top w:val="none" w:sz="0" w:space="0" w:color="auto"/>
        <w:left w:val="none" w:sz="0" w:space="0" w:color="auto"/>
        <w:bottom w:val="none" w:sz="0" w:space="0" w:color="auto"/>
        <w:right w:val="none" w:sz="0" w:space="0" w:color="auto"/>
      </w:divBdr>
      <w:divsChild>
        <w:div w:id="689642344">
          <w:marLeft w:val="0"/>
          <w:marRight w:val="0"/>
          <w:marTop w:val="0"/>
          <w:marBottom w:val="0"/>
          <w:divBdr>
            <w:top w:val="none" w:sz="0" w:space="0" w:color="auto"/>
            <w:left w:val="none" w:sz="0" w:space="0" w:color="auto"/>
            <w:bottom w:val="none" w:sz="0" w:space="0" w:color="auto"/>
            <w:right w:val="none" w:sz="0" w:space="0" w:color="auto"/>
          </w:divBdr>
        </w:div>
      </w:divsChild>
    </w:div>
    <w:div w:id="1944915919">
      <w:bodyDiv w:val="1"/>
      <w:marLeft w:val="0"/>
      <w:marRight w:val="0"/>
      <w:marTop w:val="0"/>
      <w:marBottom w:val="0"/>
      <w:divBdr>
        <w:top w:val="none" w:sz="0" w:space="0" w:color="auto"/>
        <w:left w:val="none" w:sz="0" w:space="0" w:color="auto"/>
        <w:bottom w:val="none" w:sz="0" w:space="0" w:color="auto"/>
        <w:right w:val="none" w:sz="0" w:space="0" w:color="auto"/>
      </w:divBdr>
      <w:divsChild>
        <w:div w:id="1372460437">
          <w:marLeft w:val="0"/>
          <w:marRight w:val="0"/>
          <w:marTop w:val="0"/>
          <w:marBottom w:val="0"/>
          <w:divBdr>
            <w:top w:val="none" w:sz="0" w:space="0" w:color="auto"/>
            <w:left w:val="none" w:sz="0" w:space="0" w:color="auto"/>
            <w:bottom w:val="none" w:sz="0" w:space="0" w:color="auto"/>
            <w:right w:val="none" w:sz="0" w:space="0" w:color="auto"/>
          </w:divBdr>
        </w:div>
      </w:divsChild>
    </w:div>
    <w:div w:id="1959944084">
      <w:bodyDiv w:val="1"/>
      <w:marLeft w:val="0"/>
      <w:marRight w:val="0"/>
      <w:marTop w:val="0"/>
      <w:marBottom w:val="0"/>
      <w:divBdr>
        <w:top w:val="none" w:sz="0" w:space="0" w:color="auto"/>
        <w:left w:val="none" w:sz="0" w:space="0" w:color="auto"/>
        <w:bottom w:val="none" w:sz="0" w:space="0" w:color="auto"/>
        <w:right w:val="none" w:sz="0" w:space="0" w:color="auto"/>
      </w:divBdr>
      <w:divsChild>
        <w:div w:id="1995330959">
          <w:marLeft w:val="0"/>
          <w:marRight w:val="0"/>
          <w:marTop w:val="0"/>
          <w:marBottom w:val="0"/>
          <w:divBdr>
            <w:top w:val="none" w:sz="0" w:space="0" w:color="auto"/>
            <w:left w:val="none" w:sz="0" w:space="0" w:color="auto"/>
            <w:bottom w:val="none" w:sz="0" w:space="0" w:color="auto"/>
            <w:right w:val="none" w:sz="0" w:space="0" w:color="auto"/>
          </w:divBdr>
        </w:div>
      </w:divsChild>
    </w:div>
    <w:div w:id="1972589034">
      <w:bodyDiv w:val="1"/>
      <w:marLeft w:val="0"/>
      <w:marRight w:val="0"/>
      <w:marTop w:val="0"/>
      <w:marBottom w:val="0"/>
      <w:divBdr>
        <w:top w:val="none" w:sz="0" w:space="0" w:color="auto"/>
        <w:left w:val="none" w:sz="0" w:space="0" w:color="auto"/>
        <w:bottom w:val="none" w:sz="0" w:space="0" w:color="auto"/>
        <w:right w:val="none" w:sz="0" w:space="0" w:color="auto"/>
      </w:divBdr>
    </w:div>
    <w:div w:id="1976372397">
      <w:bodyDiv w:val="1"/>
      <w:marLeft w:val="0"/>
      <w:marRight w:val="0"/>
      <w:marTop w:val="0"/>
      <w:marBottom w:val="0"/>
      <w:divBdr>
        <w:top w:val="none" w:sz="0" w:space="0" w:color="auto"/>
        <w:left w:val="none" w:sz="0" w:space="0" w:color="auto"/>
        <w:bottom w:val="none" w:sz="0" w:space="0" w:color="auto"/>
        <w:right w:val="none" w:sz="0" w:space="0" w:color="auto"/>
      </w:divBdr>
      <w:divsChild>
        <w:div w:id="1808204490">
          <w:marLeft w:val="0"/>
          <w:marRight w:val="0"/>
          <w:marTop w:val="0"/>
          <w:marBottom w:val="0"/>
          <w:divBdr>
            <w:top w:val="none" w:sz="0" w:space="0" w:color="auto"/>
            <w:left w:val="none" w:sz="0" w:space="0" w:color="auto"/>
            <w:bottom w:val="none" w:sz="0" w:space="0" w:color="auto"/>
            <w:right w:val="none" w:sz="0" w:space="0" w:color="auto"/>
          </w:divBdr>
        </w:div>
      </w:divsChild>
    </w:div>
    <w:div w:id="1985771432">
      <w:bodyDiv w:val="1"/>
      <w:marLeft w:val="0"/>
      <w:marRight w:val="0"/>
      <w:marTop w:val="0"/>
      <w:marBottom w:val="0"/>
      <w:divBdr>
        <w:top w:val="none" w:sz="0" w:space="0" w:color="auto"/>
        <w:left w:val="none" w:sz="0" w:space="0" w:color="auto"/>
        <w:bottom w:val="none" w:sz="0" w:space="0" w:color="auto"/>
        <w:right w:val="none" w:sz="0" w:space="0" w:color="auto"/>
      </w:divBdr>
      <w:divsChild>
        <w:div w:id="1947034454">
          <w:marLeft w:val="0"/>
          <w:marRight w:val="0"/>
          <w:marTop w:val="0"/>
          <w:marBottom w:val="0"/>
          <w:divBdr>
            <w:top w:val="none" w:sz="0" w:space="0" w:color="auto"/>
            <w:left w:val="none" w:sz="0" w:space="0" w:color="auto"/>
            <w:bottom w:val="none" w:sz="0" w:space="0" w:color="auto"/>
            <w:right w:val="none" w:sz="0" w:space="0" w:color="auto"/>
          </w:divBdr>
        </w:div>
      </w:divsChild>
    </w:div>
    <w:div w:id="1990788658">
      <w:bodyDiv w:val="1"/>
      <w:marLeft w:val="0"/>
      <w:marRight w:val="0"/>
      <w:marTop w:val="0"/>
      <w:marBottom w:val="0"/>
      <w:divBdr>
        <w:top w:val="none" w:sz="0" w:space="0" w:color="auto"/>
        <w:left w:val="none" w:sz="0" w:space="0" w:color="auto"/>
        <w:bottom w:val="none" w:sz="0" w:space="0" w:color="auto"/>
        <w:right w:val="none" w:sz="0" w:space="0" w:color="auto"/>
      </w:divBdr>
      <w:divsChild>
        <w:div w:id="1910188999">
          <w:marLeft w:val="0"/>
          <w:marRight w:val="0"/>
          <w:marTop w:val="0"/>
          <w:marBottom w:val="0"/>
          <w:divBdr>
            <w:top w:val="none" w:sz="0" w:space="0" w:color="auto"/>
            <w:left w:val="none" w:sz="0" w:space="0" w:color="auto"/>
            <w:bottom w:val="none" w:sz="0" w:space="0" w:color="auto"/>
            <w:right w:val="none" w:sz="0" w:space="0" w:color="auto"/>
          </w:divBdr>
        </w:div>
      </w:divsChild>
    </w:div>
    <w:div w:id="2021277071">
      <w:bodyDiv w:val="1"/>
      <w:marLeft w:val="0"/>
      <w:marRight w:val="0"/>
      <w:marTop w:val="0"/>
      <w:marBottom w:val="0"/>
      <w:divBdr>
        <w:top w:val="none" w:sz="0" w:space="0" w:color="auto"/>
        <w:left w:val="none" w:sz="0" w:space="0" w:color="auto"/>
        <w:bottom w:val="none" w:sz="0" w:space="0" w:color="auto"/>
        <w:right w:val="none" w:sz="0" w:space="0" w:color="auto"/>
      </w:divBdr>
      <w:divsChild>
        <w:div w:id="1141310684">
          <w:marLeft w:val="0"/>
          <w:marRight w:val="0"/>
          <w:marTop w:val="0"/>
          <w:marBottom w:val="0"/>
          <w:divBdr>
            <w:top w:val="none" w:sz="0" w:space="0" w:color="auto"/>
            <w:left w:val="none" w:sz="0" w:space="0" w:color="auto"/>
            <w:bottom w:val="none" w:sz="0" w:space="0" w:color="auto"/>
            <w:right w:val="none" w:sz="0" w:space="0" w:color="auto"/>
          </w:divBdr>
        </w:div>
      </w:divsChild>
    </w:div>
    <w:div w:id="2036078393">
      <w:bodyDiv w:val="1"/>
      <w:marLeft w:val="0"/>
      <w:marRight w:val="0"/>
      <w:marTop w:val="0"/>
      <w:marBottom w:val="0"/>
      <w:divBdr>
        <w:top w:val="none" w:sz="0" w:space="0" w:color="auto"/>
        <w:left w:val="none" w:sz="0" w:space="0" w:color="auto"/>
        <w:bottom w:val="none" w:sz="0" w:space="0" w:color="auto"/>
        <w:right w:val="none" w:sz="0" w:space="0" w:color="auto"/>
      </w:divBdr>
      <w:divsChild>
        <w:div w:id="735511602">
          <w:marLeft w:val="0"/>
          <w:marRight w:val="0"/>
          <w:marTop w:val="0"/>
          <w:marBottom w:val="0"/>
          <w:divBdr>
            <w:top w:val="none" w:sz="0" w:space="0" w:color="auto"/>
            <w:left w:val="none" w:sz="0" w:space="0" w:color="auto"/>
            <w:bottom w:val="none" w:sz="0" w:space="0" w:color="auto"/>
            <w:right w:val="none" w:sz="0" w:space="0" w:color="auto"/>
          </w:divBdr>
        </w:div>
      </w:divsChild>
    </w:div>
    <w:div w:id="2069763500">
      <w:bodyDiv w:val="1"/>
      <w:marLeft w:val="0"/>
      <w:marRight w:val="0"/>
      <w:marTop w:val="0"/>
      <w:marBottom w:val="0"/>
      <w:divBdr>
        <w:top w:val="none" w:sz="0" w:space="0" w:color="auto"/>
        <w:left w:val="none" w:sz="0" w:space="0" w:color="auto"/>
        <w:bottom w:val="none" w:sz="0" w:space="0" w:color="auto"/>
        <w:right w:val="none" w:sz="0" w:space="0" w:color="auto"/>
      </w:divBdr>
      <w:divsChild>
        <w:div w:id="1829444056">
          <w:marLeft w:val="0"/>
          <w:marRight w:val="0"/>
          <w:marTop w:val="0"/>
          <w:marBottom w:val="0"/>
          <w:divBdr>
            <w:top w:val="none" w:sz="0" w:space="0" w:color="auto"/>
            <w:left w:val="none" w:sz="0" w:space="0" w:color="auto"/>
            <w:bottom w:val="none" w:sz="0" w:space="0" w:color="auto"/>
            <w:right w:val="none" w:sz="0" w:space="0" w:color="auto"/>
          </w:divBdr>
        </w:div>
      </w:divsChild>
    </w:div>
    <w:div w:id="2082366836">
      <w:bodyDiv w:val="1"/>
      <w:marLeft w:val="0"/>
      <w:marRight w:val="0"/>
      <w:marTop w:val="0"/>
      <w:marBottom w:val="0"/>
      <w:divBdr>
        <w:top w:val="none" w:sz="0" w:space="0" w:color="auto"/>
        <w:left w:val="none" w:sz="0" w:space="0" w:color="auto"/>
        <w:bottom w:val="none" w:sz="0" w:space="0" w:color="auto"/>
        <w:right w:val="none" w:sz="0" w:space="0" w:color="auto"/>
      </w:divBdr>
      <w:divsChild>
        <w:div w:id="818115765">
          <w:marLeft w:val="0"/>
          <w:marRight w:val="0"/>
          <w:marTop w:val="0"/>
          <w:marBottom w:val="0"/>
          <w:divBdr>
            <w:top w:val="none" w:sz="0" w:space="0" w:color="auto"/>
            <w:left w:val="none" w:sz="0" w:space="0" w:color="auto"/>
            <w:bottom w:val="none" w:sz="0" w:space="0" w:color="auto"/>
            <w:right w:val="none" w:sz="0" w:space="0" w:color="auto"/>
          </w:divBdr>
        </w:div>
      </w:divsChild>
    </w:div>
    <w:div w:id="2089426182">
      <w:bodyDiv w:val="1"/>
      <w:marLeft w:val="0"/>
      <w:marRight w:val="0"/>
      <w:marTop w:val="0"/>
      <w:marBottom w:val="0"/>
      <w:divBdr>
        <w:top w:val="none" w:sz="0" w:space="0" w:color="auto"/>
        <w:left w:val="none" w:sz="0" w:space="0" w:color="auto"/>
        <w:bottom w:val="none" w:sz="0" w:space="0" w:color="auto"/>
        <w:right w:val="none" w:sz="0" w:space="0" w:color="auto"/>
      </w:divBdr>
      <w:divsChild>
        <w:div w:id="295718357">
          <w:marLeft w:val="0"/>
          <w:marRight w:val="0"/>
          <w:marTop w:val="0"/>
          <w:marBottom w:val="0"/>
          <w:divBdr>
            <w:top w:val="none" w:sz="0" w:space="0" w:color="auto"/>
            <w:left w:val="none" w:sz="0" w:space="0" w:color="auto"/>
            <w:bottom w:val="none" w:sz="0" w:space="0" w:color="auto"/>
            <w:right w:val="none" w:sz="0" w:space="0" w:color="auto"/>
          </w:divBdr>
        </w:div>
      </w:divsChild>
    </w:div>
    <w:div w:id="2113012914">
      <w:bodyDiv w:val="1"/>
      <w:marLeft w:val="0"/>
      <w:marRight w:val="0"/>
      <w:marTop w:val="0"/>
      <w:marBottom w:val="0"/>
      <w:divBdr>
        <w:top w:val="none" w:sz="0" w:space="0" w:color="auto"/>
        <w:left w:val="none" w:sz="0" w:space="0" w:color="auto"/>
        <w:bottom w:val="none" w:sz="0" w:space="0" w:color="auto"/>
        <w:right w:val="none" w:sz="0" w:space="0" w:color="auto"/>
      </w:divBdr>
      <w:divsChild>
        <w:div w:id="950404750">
          <w:marLeft w:val="0"/>
          <w:marRight w:val="0"/>
          <w:marTop w:val="0"/>
          <w:marBottom w:val="0"/>
          <w:divBdr>
            <w:top w:val="none" w:sz="0" w:space="0" w:color="auto"/>
            <w:left w:val="none" w:sz="0" w:space="0" w:color="auto"/>
            <w:bottom w:val="none" w:sz="0" w:space="0" w:color="auto"/>
            <w:right w:val="none" w:sz="0" w:space="0" w:color="auto"/>
          </w:divBdr>
        </w:div>
      </w:divsChild>
    </w:div>
    <w:div w:id="2119370627">
      <w:bodyDiv w:val="1"/>
      <w:marLeft w:val="0"/>
      <w:marRight w:val="0"/>
      <w:marTop w:val="0"/>
      <w:marBottom w:val="0"/>
      <w:divBdr>
        <w:top w:val="none" w:sz="0" w:space="0" w:color="auto"/>
        <w:left w:val="none" w:sz="0" w:space="0" w:color="auto"/>
        <w:bottom w:val="none" w:sz="0" w:space="0" w:color="auto"/>
        <w:right w:val="none" w:sz="0" w:space="0" w:color="auto"/>
      </w:divBdr>
      <w:divsChild>
        <w:div w:id="1621297880">
          <w:marLeft w:val="0"/>
          <w:marRight w:val="0"/>
          <w:marTop w:val="0"/>
          <w:marBottom w:val="0"/>
          <w:divBdr>
            <w:top w:val="none" w:sz="0" w:space="0" w:color="auto"/>
            <w:left w:val="none" w:sz="0" w:space="0" w:color="auto"/>
            <w:bottom w:val="none" w:sz="0" w:space="0" w:color="auto"/>
            <w:right w:val="none" w:sz="0" w:space="0" w:color="auto"/>
          </w:divBdr>
        </w:div>
      </w:divsChild>
    </w:div>
    <w:div w:id="2121488701">
      <w:bodyDiv w:val="1"/>
      <w:marLeft w:val="0"/>
      <w:marRight w:val="0"/>
      <w:marTop w:val="0"/>
      <w:marBottom w:val="0"/>
      <w:divBdr>
        <w:top w:val="none" w:sz="0" w:space="0" w:color="auto"/>
        <w:left w:val="none" w:sz="0" w:space="0" w:color="auto"/>
        <w:bottom w:val="none" w:sz="0" w:space="0" w:color="auto"/>
        <w:right w:val="none" w:sz="0" w:space="0" w:color="auto"/>
      </w:divBdr>
      <w:divsChild>
        <w:div w:id="183439918">
          <w:marLeft w:val="0"/>
          <w:marRight w:val="0"/>
          <w:marTop w:val="0"/>
          <w:marBottom w:val="0"/>
          <w:divBdr>
            <w:top w:val="none" w:sz="0" w:space="0" w:color="auto"/>
            <w:left w:val="none" w:sz="0" w:space="0" w:color="auto"/>
            <w:bottom w:val="none" w:sz="0" w:space="0" w:color="auto"/>
            <w:right w:val="none" w:sz="0" w:space="0" w:color="auto"/>
          </w:divBdr>
        </w:div>
      </w:divsChild>
    </w:div>
    <w:div w:id="2134589126">
      <w:bodyDiv w:val="1"/>
      <w:marLeft w:val="0"/>
      <w:marRight w:val="0"/>
      <w:marTop w:val="0"/>
      <w:marBottom w:val="0"/>
      <w:divBdr>
        <w:top w:val="none" w:sz="0" w:space="0" w:color="auto"/>
        <w:left w:val="none" w:sz="0" w:space="0" w:color="auto"/>
        <w:bottom w:val="none" w:sz="0" w:space="0" w:color="auto"/>
        <w:right w:val="none" w:sz="0" w:space="0" w:color="auto"/>
      </w:divBdr>
      <w:divsChild>
        <w:div w:id="412360129">
          <w:marLeft w:val="0"/>
          <w:marRight w:val="0"/>
          <w:marTop w:val="0"/>
          <w:marBottom w:val="0"/>
          <w:divBdr>
            <w:top w:val="none" w:sz="0" w:space="0" w:color="auto"/>
            <w:left w:val="none" w:sz="0" w:space="0" w:color="auto"/>
            <w:bottom w:val="none" w:sz="0" w:space="0" w:color="auto"/>
            <w:right w:val="none" w:sz="0" w:space="0" w:color="auto"/>
          </w:divBdr>
        </w:div>
      </w:divsChild>
    </w:div>
    <w:div w:id="2141142483">
      <w:bodyDiv w:val="1"/>
      <w:marLeft w:val="0"/>
      <w:marRight w:val="0"/>
      <w:marTop w:val="0"/>
      <w:marBottom w:val="0"/>
      <w:divBdr>
        <w:top w:val="none" w:sz="0" w:space="0" w:color="auto"/>
        <w:left w:val="none" w:sz="0" w:space="0" w:color="auto"/>
        <w:bottom w:val="none" w:sz="0" w:space="0" w:color="auto"/>
        <w:right w:val="none" w:sz="0" w:space="0" w:color="auto"/>
      </w:divBdr>
      <w:divsChild>
        <w:div w:id="1943294221">
          <w:marLeft w:val="0"/>
          <w:marRight w:val="0"/>
          <w:marTop w:val="0"/>
          <w:marBottom w:val="0"/>
          <w:divBdr>
            <w:top w:val="none" w:sz="0" w:space="0" w:color="auto"/>
            <w:left w:val="none" w:sz="0" w:space="0" w:color="auto"/>
            <w:bottom w:val="none" w:sz="0" w:space="0" w:color="auto"/>
            <w:right w:val="none" w:sz="0" w:space="0" w:color="auto"/>
          </w:divBdr>
        </w:div>
      </w:divsChild>
    </w:div>
    <w:div w:id="2146239780">
      <w:bodyDiv w:val="1"/>
      <w:marLeft w:val="0"/>
      <w:marRight w:val="0"/>
      <w:marTop w:val="0"/>
      <w:marBottom w:val="0"/>
      <w:divBdr>
        <w:top w:val="none" w:sz="0" w:space="0" w:color="auto"/>
        <w:left w:val="none" w:sz="0" w:space="0" w:color="auto"/>
        <w:bottom w:val="none" w:sz="0" w:space="0" w:color="auto"/>
        <w:right w:val="none" w:sz="0" w:space="0" w:color="auto"/>
      </w:divBdr>
      <w:divsChild>
        <w:div w:id="132003396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4.png"/><Relationship Id="rId32"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header" Target="header1.xml"/><Relationship Id="rId19" Type="http://schemas.openxmlformats.org/officeDocument/2006/relationships/image" Target="media/image9.png"/><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D833869-9499-41B2-AF8F-EFB244C050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67180</Words>
  <Characters>396364</Characters>
  <Application>Microsoft Office Word</Application>
  <DocSecurity>0</DocSecurity>
  <Lines>3303</Lines>
  <Paragraphs>925</Paragraphs>
  <ScaleCrop>false</ScaleCrop>
  <HeadingPairs>
    <vt:vector size="2" baseType="variant">
      <vt:variant>
        <vt:lpstr>Název</vt:lpstr>
      </vt:variant>
      <vt:variant>
        <vt:i4>1</vt:i4>
      </vt:variant>
    </vt:vector>
  </HeadingPairs>
  <TitlesOfParts>
    <vt:vector size="1" baseType="lpstr">
      <vt:lpstr>Masarykova univerzita v Brně</vt:lpstr>
    </vt:vector>
  </TitlesOfParts>
  <Company>Pedagogicka fakulta MU</Company>
  <LinksUpToDate>false</LinksUpToDate>
  <CharactersWithSpaces>462619</CharactersWithSpaces>
  <SharedDoc>false</SharedDoc>
  <HLinks>
    <vt:vector size="498" baseType="variant">
      <vt:variant>
        <vt:i4>4063355</vt:i4>
      </vt:variant>
      <vt:variant>
        <vt:i4>486</vt:i4>
      </vt:variant>
      <vt:variant>
        <vt:i4>0</vt:i4>
      </vt:variant>
      <vt:variant>
        <vt:i4>5</vt:i4>
      </vt:variant>
      <vt:variant>
        <vt:lpwstr>http://www.ppsw.rug.nl/~peschar/TSE.pdf</vt:lpwstr>
      </vt:variant>
      <vt:variant>
        <vt:lpwstr/>
      </vt:variant>
      <vt:variant>
        <vt:i4>2162803</vt:i4>
      </vt:variant>
      <vt:variant>
        <vt:i4>483</vt:i4>
      </vt:variant>
      <vt:variant>
        <vt:i4>0</vt:i4>
      </vt:variant>
      <vt:variant>
        <vt:i4>5</vt:i4>
      </vt:variant>
      <vt:variant>
        <vt:lpwstr>http://digifolio.rvp.cz/artefact/file/download.php?file=33197&amp;view=2381</vt:lpwstr>
      </vt:variant>
      <vt:variant>
        <vt:lpwstr/>
      </vt:variant>
      <vt:variant>
        <vt:i4>4063355</vt:i4>
      </vt:variant>
      <vt:variant>
        <vt:i4>480</vt:i4>
      </vt:variant>
      <vt:variant>
        <vt:i4>0</vt:i4>
      </vt:variant>
      <vt:variant>
        <vt:i4>5</vt:i4>
      </vt:variant>
      <vt:variant>
        <vt:lpwstr>http://www.ppsw.rug.nl/~peschar/TSE.pdf</vt:lpwstr>
      </vt:variant>
      <vt:variant>
        <vt:lpwstr/>
      </vt:variant>
      <vt:variant>
        <vt:i4>3211305</vt:i4>
      </vt:variant>
      <vt:variant>
        <vt:i4>477</vt:i4>
      </vt:variant>
      <vt:variant>
        <vt:i4>0</vt:i4>
      </vt:variant>
      <vt:variant>
        <vt:i4>5</vt:i4>
      </vt:variant>
      <vt:variant>
        <vt:lpwstr>http://www.deseco.admin.ch/bfs/deseco/en/index/02.parsys.43469.downloadList.2296.DownloadFile.tmp/2005.dskcexecutivesummary.en.pdf</vt:lpwstr>
      </vt:variant>
      <vt:variant>
        <vt:lpwstr/>
      </vt:variant>
      <vt:variant>
        <vt:i4>4063355</vt:i4>
      </vt:variant>
      <vt:variant>
        <vt:i4>474</vt:i4>
      </vt:variant>
      <vt:variant>
        <vt:i4>0</vt:i4>
      </vt:variant>
      <vt:variant>
        <vt:i4>5</vt:i4>
      </vt:variant>
      <vt:variant>
        <vt:lpwstr>http://www.ppsw.rug.nl/~peschar/TSE.pdf</vt:lpwstr>
      </vt:variant>
      <vt:variant>
        <vt:lpwstr/>
      </vt:variant>
      <vt:variant>
        <vt:i4>1572922</vt:i4>
      </vt:variant>
      <vt:variant>
        <vt:i4>452</vt:i4>
      </vt:variant>
      <vt:variant>
        <vt:i4>0</vt:i4>
      </vt:variant>
      <vt:variant>
        <vt:i4>5</vt:i4>
      </vt:variant>
      <vt:variant>
        <vt:lpwstr/>
      </vt:variant>
      <vt:variant>
        <vt:lpwstr>_Toc394052841</vt:lpwstr>
      </vt:variant>
      <vt:variant>
        <vt:i4>1572922</vt:i4>
      </vt:variant>
      <vt:variant>
        <vt:i4>446</vt:i4>
      </vt:variant>
      <vt:variant>
        <vt:i4>0</vt:i4>
      </vt:variant>
      <vt:variant>
        <vt:i4>5</vt:i4>
      </vt:variant>
      <vt:variant>
        <vt:lpwstr/>
      </vt:variant>
      <vt:variant>
        <vt:lpwstr>_Toc394052840</vt:lpwstr>
      </vt:variant>
      <vt:variant>
        <vt:i4>2031674</vt:i4>
      </vt:variant>
      <vt:variant>
        <vt:i4>440</vt:i4>
      </vt:variant>
      <vt:variant>
        <vt:i4>0</vt:i4>
      </vt:variant>
      <vt:variant>
        <vt:i4>5</vt:i4>
      </vt:variant>
      <vt:variant>
        <vt:lpwstr/>
      </vt:variant>
      <vt:variant>
        <vt:lpwstr>_Toc394052839</vt:lpwstr>
      </vt:variant>
      <vt:variant>
        <vt:i4>2031674</vt:i4>
      </vt:variant>
      <vt:variant>
        <vt:i4>434</vt:i4>
      </vt:variant>
      <vt:variant>
        <vt:i4>0</vt:i4>
      </vt:variant>
      <vt:variant>
        <vt:i4>5</vt:i4>
      </vt:variant>
      <vt:variant>
        <vt:lpwstr/>
      </vt:variant>
      <vt:variant>
        <vt:lpwstr>_Toc394052838</vt:lpwstr>
      </vt:variant>
      <vt:variant>
        <vt:i4>2031674</vt:i4>
      </vt:variant>
      <vt:variant>
        <vt:i4>428</vt:i4>
      </vt:variant>
      <vt:variant>
        <vt:i4>0</vt:i4>
      </vt:variant>
      <vt:variant>
        <vt:i4>5</vt:i4>
      </vt:variant>
      <vt:variant>
        <vt:lpwstr/>
      </vt:variant>
      <vt:variant>
        <vt:lpwstr>_Toc394052837</vt:lpwstr>
      </vt:variant>
      <vt:variant>
        <vt:i4>2031674</vt:i4>
      </vt:variant>
      <vt:variant>
        <vt:i4>422</vt:i4>
      </vt:variant>
      <vt:variant>
        <vt:i4>0</vt:i4>
      </vt:variant>
      <vt:variant>
        <vt:i4>5</vt:i4>
      </vt:variant>
      <vt:variant>
        <vt:lpwstr/>
      </vt:variant>
      <vt:variant>
        <vt:lpwstr>_Toc394052836</vt:lpwstr>
      </vt:variant>
      <vt:variant>
        <vt:i4>2031674</vt:i4>
      </vt:variant>
      <vt:variant>
        <vt:i4>416</vt:i4>
      </vt:variant>
      <vt:variant>
        <vt:i4>0</vt:i4>
      </vt:variant>
      <vt:variant>
        <vt:i4>5</vt:i4>
      </vt:variant>
      <vt:variant>
        <vt:lpwstr/>
      </vt:variant>
      <vt:variant>
        <vt:lpwstr>_Toc394052835</vt:lpwstr>
      </vt:variant>
      <vt:variant>
        <vt:i4>2031674</vt:i4>
      </vt:variant>
      <vt:variant>
        <vt:i4>410</vt:i4>
      </vt:variant>
      <vt:variant>
        <vt:i4>0</vt:i4>
      </vt:variant>
      <vt:variant>
        <vt:i4>5</vt:i4>
      </vt:variant>
      <vt:variant>
        <vt:lpwstr/>
      </vt:variant>
      <vt:variant>
        <vt:lpwstr>_Toc394052834</vt:lpwstr>
      </vt:variant>
      <vt:variant>
        <vt:i4>2031674</vt:i4>
      </vt:variant>
      <vt:variant>
        <vt:i4>404</vt:i4>
      </vt:variant>
      <vt:variant>
        <vt:i4>0</vt:i4>
      </vt:variant>
      <vt:variant>
        <vt:i4>5</vt:i4>
      </vt:variant>
      <vt:variant>
        <vt:lpwstr/>
      </vt:variant>
      <vt:variant>
        <vt:lpwstr>_Toc394052833</vt:lpwstr>
      </vt:variant>
      <vt:variant>
        <vt:i4>2031674</vt:i4>
      </vt:variant>
      <vt:variant>
        <vt:i4>398</vt:i4>
      </vt:variant>
      <vt:variant>
        <vt:i4>0</vt:i4>
      </vt:variant>
      <vt:variant>
        <vt:i4>5</vt:i4>
      </vt:variant>
      <vt:variant>
        <vt:lpwstr/>
      </vt:variant>
      <vt:variant>
        <vt:lpwstr>_Toc394052832</vt:lpwstr>
      </vt:variant>
      <vt:variant>
        <vt:i4>2031674</vt:i4>
      </vt:variant>
      <vt:variant>
        <vt:i4>392</vt:i4>
      </vt:variant>
      <vt:variant>
        <vt:i4>0</vt:i4>
      </vt:variant>
      <vt:variant>
        <vt:i4>5</vt:i4>
      </vt:variant>
      <vt:variant>
        <vt:lpwstr/>
      </vt:variant>
      <vt:variant>
        <vt:lpwstr>_Toc394052831</vt:lpwstr>
      </vt:variant>
      <vt:variant>
        <vt:i4>2031674</vt:i4>
      </vt:variant>
      <vt:variant>
        <vt:i4>386</vt:i4>
      </vt:variant>
      <vt:variant>
        <vt:i4>0</vt:i4>
      </vt:variant>
      <vt:variant>
        <vt:i4>5</vt:i4>
      </vt:variant>
      <vt:variant>
        <vt:lpwstr/>
      </vt:variant>
      <vt:variant>
        <vt:lpwstr>_Toc394052830</vt:lpwstr>
      </vt:variant>
      <vt:variant>
        <vt:i4>1966138</vt:i4>
      </vt:variant>
      <vt:variant>
        <vt:i4>380</vt:i4>
      </vt:variant>
      <vt:variant>
        <vt:i4>0</vt:i4>
      </vt:variant>
      <vt:variant>
        <vt:i4>5</vt:i4>
      </vt:variant>
      <vt:variant>
        <vt:lpwstr/>
      </vt:variant>
      <vt:variant>
        <vt:lpwstr>_Toc394052829</vt:lpwstr>
      </vt:variant>
      <vt:variant>
        <vt:i4>1966138</vt:i4>
      </vt:variant>
      <vt:variant>
        <vt:i4>374</vt:i4>
      </vt:variant>
      <vt:variant>
        <vt:i4>0</vt:i4>
      </vt:variant>
      <vt:variant>
        <vt:i4>5</vt:i4>
      </vt:variant>
      <vt:variant>
        <vt:lpwstr/>
      </vt:variant>
      <vt:variant>
        <vt:lpwstr>_Toc394052828</vt:lpwstr>
      </vt:variant>
      <vt:variant>
        <vt:i4>1966138</vt:i4>
      </vt:variant>
      <vt:variant>
        <vt:i4>368</vt:i4>
      </vt:variant>
      <vt:variant>
        <vt:i4>0</vt:i4>
      </vt:variant>
      <vt:variant>
        <vt:i4>5</vt:i4>
      </vt:variant>
      <vt:variant>
        <vt:lpwstr/>
      </vt:variant>
      <vt:variant>
        <vt:lpwstr>_Toc394052827</vt:lpwstr>
      </vt:variant>
      <vt:variant>
        <vt:i4>1966138</vt:i4>
      </vt:variant>
      <vt:variant>
        <vt:i4>362</vt:i4>
      </vt:variant>
      <vt:variant>
        <vt:i4>0</vt:i4>
      </vt:variant>
      <vt:variant>
        <vt:i4>5</vt:i4>
      </vt:variant>
      <vt:variant>
        <vt:lpwstr/>
      </vt:variant>
      <vt:variant>
        <vt:lpwstr>_Toc394052826</vt:lpwstr>
      </vt:variant>
      <vt:variant>
        <vt:i4>1966138</vt:i4>
      </vt:variant>
      <vt:variant>
        <vt:i4>356</vt:i4>
      </vt:variant>
      <vt:variant>
        <vt:i4>0</vt:i4>
      </vt:variant>
      <vt:variant>
        <vt:i4>5</vt:i4>
      </vt:variant>
      <vt:variant>
        <vt:lpwstr/>
      </vt:variant>
      <vt:variant>
        <vt:lpwstr>_Toc394052825</vt:lpwstr>
      </vt:variant>
      <vt:variant>
        <vt:i4>1966138</vt:i4>
      </vt:variant>
      <vt:variant>
        <vt:i4>350</vt:i4>
      </vt:variant>
      <vt:variant>
        <vt:i4>0</vt:i4>
      </vt:variant>
      <vt:variant>
        <vt:i4>5</vt:i4>
      </vt:variant>
      <vt:variant>
        <vt:lpwstr/>
      </vt:variant>
      <vt:variant>
        <vt:lpwstr>_Toc394052824</vt:lpwstr>
      </vt:variant>
      <vt:variant>
        <vt:i4>1966138</vt:i4>
      </vt:variant>
      <vt:variant>
        <vt:i4>344</vt:i4>
      </vt:variant>
      <vt:variant>
        <vt:i4>0</vt:i4>
      </vt:variant>
      <vt:variant>
        <vt:i4>5</vt:i4>
      </vt:variant>
      <vt:variant>
        <vt:lpwstr/>
      </vt:variant>
      <vt:variant>
        <vt:lpwstr>_Toc394052823</vt:lpwstr>
      </vt:variant>
      <vt:variant>
        <vt:i4>1966138</vt:i4>
      </vt:variant>
      <vt:variant>
        <vt:i4>338</vt:i4>
      </vt:variant>
      <vt:variant>
        <vt:i4>0</vt:i4>
      </vt:variant>
      <vt:variant>
        <vt:i4>5</vt:i4>
      </vt:variant>
      <vt:variant>
        <vt:lpwstr/>
      </vt:variant>
      <vt:variant>
        <vt:lpwstr>_Toc394052822</vt:lpwstr>
      </vt:variant>
      <vt:variant>
        <vt:i4>1966138</vt:i4>
      </vt:variant>
      <vt:variant>
        <vt:i4>332</vt:i4>
      </vt:variant>
      <vt:variant>
        <vt:i4>0</vt:i4>
      </vt:variant>
      <vt:variant>
        <vt:i4>5</vt:i4>
      </vt:variant>
      <vt:variant>
        <vt:lpwstr/>
      </vt:variant>
      <vt:variant>
        <vt:lpwstr>_Toc394052821</vt:lpwstr>
      </vt:variant>
      <vt:variant>
        <vt:i4>1966138</vt:i4>
      </vt:variant>
      <vt:variant>
        <vt:i4>326</vt:i4>
      </vt:variant>
      <vt:variant>
        <vt:i4>0</vt:i4>
      </vt:variant>
      <vt:variant>
        <vt:i4>5</vt:i4>
      </vt:variant>
      <vt:variant>
        <vt:lpwstr/>
      </vt:variant>
      <vt:variant>
        <vt:lpwstr>_Toc394052820</vt:lpwstr>
      </vt:variant>
      <vt:variant>
        <vt:i4>1900602</vt:i4>
      </vt:variant>
      <vt:variant>
        <vt:i4>320</vt:i4>
      </vt:variant>
      <vt:variant>
        <vt:i4>0</vt:i4>
      </vt:variant>
      <vt:variant>
        <vt:i4>5</vt:i4>
      </vt:variant>
      <vt:variant>
        <vt:lpwstr/>
      </vt:variant>
      <vt:variant>
        <vt:lpwstr>_Toc394052819</vt:lpwstr>
      </vt:variant>
      <vt:variant>
        <vt:i4>1900602</vt:i4>
      </vt:variant>
      <vt:variant>
        <vt:i4>314</vt:i4>
      </vt:variant>
      <vt:variant>
        <vt:i4>0</vt:i4>
      </vt:variant>
      <vt:variant>
        <vt:i4>5</vt:i4>
      </vt:variant>
      <vt:variant>
        <vt:lpwstr/>
      </vt:variant>
      <vt:variant>
        <vt:lpwstr>_Toc394052818</vt:lpwstr>
      </vt:variant>
      <vt:variant>
        <vt:i4>1900602</vt:i4>
      </vt:variant>
      <vt:variant>
        <vt:i4>308</vt:i4>
      </vt:variant>
      <vt:variant>
        <vt:i4>0</vt:i4>
      </vt:variant>
      <vt:variant>
        <vt:i4>5</vt:i4>
      </vt:variant>
      <vt:variant>
        <vt:lpwstr/>
      </vt:variant>
      <vt:variant>
        <vt:lpwstr>_Toc394052817</vt:lpwstr>
      </vt:variant>
      <vt:variant>
        <vt:i4>1900602</vt:i4>
      </vt:variant>
      <vt:variant>
        <vt:i4>302</vt:i4>
      </vt:variant>
      <vt:variant>
        <vt:i4>0</vt:i4>
      </vt:variant>
      <vt:variant>
        <vt:i4>5</vt:i4>
      </vt:variant>
      <vt:variant>
        <vt:lpwstr/>
      </vt:variant>
      <vt:variant>
        <vt:lpwstr>_Toc394052816</vt:lpwstr>
      </vt:variant>
      <vt:variant>
        <vt:i4>1900602</vt:i4>
      </vt:variant>
      <vt:variant>
        <vt:i4>296</vt:i4>
      </vt:variant>
      <vt:variant>
        <vt:i4>0</vt:i4>
      </vt:variant>
      <vt:variant>
        <vt:i4>5</vt:i4>
      </vt:variant>
      <vt:variant>
        <vt:lpwstr/>
      </vt:variant>
      <vt:variant>
        <vt:lpwstr>_Toc394052815</vt:lpwstr>
      </vt:variant>
      <vt:variant>
        <vt:i4>1900602</vt:i4>
      </vt:variant>
      <vt:variant>
        <vt:i4>290</vt:i4>
      </vt:variant>
      <vt:variant>
        <vt:i4>0</vt:i4>
      </vt:variant>
      <vt:variant>
        <vt:i4>5</vt:i4>
      </vt:variant>
      <vt:variant>
        <vt:lpwstr/>
      </vt:variant>
      <vt:variant>
        <vt:lpwstr>_Toc394052814</vt:lpwstr>
      </vt:variant>
      <vt:variant>
        <vt:i4>1900602</vt:i4>
      </vt:variant>
      <vt:variant>
        <vt:i4>284</vt:i4>
      </vt:variant>
      <vt:variant>
        <vt:i4>0</vt:i4>
      </vt:variant>
      <vt:variant>
        <vt:i4>5</vt:i4>
      </vt:variant>
      <vt:variant>
        <vt:lpwstr/>
      </vt:variant>
      <vt:variant>
        <vt:lpwstr>_Toc394052813</vt:lpwstr>
      </vt:variant>
      <vt:variant>
        <vt:i4>1900602</vt:i4>
      </vt:variant>
      <vt:variant>
        <vt:i4>278</vt:i4>
      </vt:variant>
      <vt:variant>
        <vt:i4>0</vt:i4>
      </vt:variant>
      <vt:variant>
        <vt:i4>5</vt:i4>
      </vt:variant>
      <vt:variant>
        <vt:lpwstr/>
      </vt:variant>
      <vt:variant>
        <vt:lpwstr>_Toc394052812</vt:lpwstr>
      </vt:variant>
      <vt:variant>
        <vt:i4>1900602</vt:i4>
      </vt:variant>
      <vt:variant>
        <vt:i4>272</vt:i4>
      </vt:variant>
      <vt:variant>
        <vt:i4>0</vt:i4>
      </vt:variant>
      <vt:variant>
        <vt:i4>5</vt:i4>
      </vt:variant>
      <vt:variant>
        <vt:lpwstr/>
      </vt:variant>
      <vt:variant>
        <vt:lpwstr>_Toc394052811</vt:lpwstr>
      </vt:variant>
      <vt:variant>
        <vt:i4>1900602</vt:i4>
      </vt:variant>
      <vt:variant>
        <vt:i4>266</vt:i4>
      </vt:variant>
      <vt:variant>
        <vt:i4>0</vt:i4>
      </vt:variant>
      <vt:variant>
        <vt:i4>5</vt:i4>
      </vt:variant>
      <vt:variant>
        <vt:lpwstr/>
      </vt:variant>
      <vt:variant>
        <vt:lpwstr>_Toc394052810</vt:lpwstr>
      </vt:variant>
      <vt:variant>
        <vt:i4>1835066</vt:i4>
      </vt:variant>
      <vt:variant>
        <vt:i4>260</vt:i4>
      </vt:variant>
      <vt:variant>
        <vt:i4>0</vt:i4>
      </vt:variant>
      <vt:variant>
        <vt:i4>5</vt:i4>
      </vt:variant>
      <vt:variant>
        <vt:lpwstr/>
      </vt:variant>
      <vt:variant>
        <vt:lpwstr>_Toc394052809</vt:lpwstr>
      </vt:variant>
      <vt:variant>
        <vt:i4>1835066</vt:i4>
      </vt:variant>
      <vt:variant>
        <vt:i4>254</vt:i4>
      </vt:variant>
      <vt:variant>
        <vt:i4>0</vt:i4>
      </vt:variant>
      <vt:variant>
        <vt:i4>5</vt:i4>
      </vt:variant>
      <vt:variant>
        <vt:lpwstr/>
      </vt:variant>
      <vt:variant>
        <vt:lpwstr>_Toc394052808</vt:lpwstr>
      </vt:variant>
      <vt:variant>
        <vt:i4>1835066</vt:i4>
      </vt:variant>
      <vt:variant>
        <vt:i4>248</vt:i4>
      </vt:variant>
      <vt:variant>
        <vt:i4>0</vt:i4>
      </vt:variant>
      <vt:variant>
        <vt:i4>5</vt:i4>
      </vt:variant>
      <vt:variant>
        <vt:lpwstr/>
      </vt:variant>
      <vt:variant>
        <vt:lpwstr>_Toc394052807</vt:lpwstr>
      </vt:variant>
      <vt:variant>
        <vt:i4>1835066</vt:i4>
      </vt:variant>
      <vt:variant>
        <vt:i4>242</vt:i4>
      </vt:variant>
      <vt:variant>
        <vt:i4>0</vt:i4>
      </vt:variant>
      <vt:variant>
        <vt:i4>5</vt:i4>
      </vt:variant>
      <vt:variant>
        <vt:lpwstr/>
      </vt:variant>
      <vt:variant>
        <vt:lpwstr>_Toc394052806</vt:lpwstr>
      </vt:variant>
      <vt:variant>
        <vt:i4>1835066</vt:i4>
      </vt:variant>
      <vt:variant>
        <vt:i4>236</vt:i4>
      </vt:variant>
      <vt:variant>
        <vt:i4>0</vt:i4>
      </vt:variant>
      <vt:variant>
        <vt:i4>5</vt:i4>
      </vt:variant>
      <vt:variant>
        <vt:lpwstr/>
      </vt:variant>
      <vt:variant>
        <vt:lpwstr>_Toc394052805</vt:lpwstr>
      </vt:variant>
      <vt:variant>
        <vt:i4>1835066</vt:i4>
      </vt:variant>
      <vt:variant>
        <vt:i4>230</vt:i4>
      </vt:variant>
      <vt:variant>
        <vt:i4>0</vt:i4>
      </vt:variant>
      <vt:variant>
        <vt:i4>5</vt:i4>
      </vt:variant>
      <vt:variant>
        <vt:lpwstr/>
      </vt:variant>
      <vt:variant>
        <vt:lpwstr>_Toc394052804</vt:lpwstr>
      </vt:variant>
      <vt:variant>
        <vt:i4>1835066</vt:i4>
      </vt:variant>
      <vt:variant>
        <vt:i4>224</vt:i4>
      </vt:variant>
      <vt:variant>
        <vt:i4>0</vt:i4>
      </vt:variant>
      <vt:variant>
        <vt:i4>5</vt:i4>
      </vt:variant>
      <vt:variant>
        <vt:lpwstr/>
      </vt:variant>
      <vt:variant>
        <vt:lpwstr>_Toc394052803</vt:lpwstr>
      </vt:variant>
      <vt:variant>
        <vt:i4>1835066</vt:i4>
      </vt:variant>
      <vt:variant>
        <vt:i4>218</vt:i4>
      </vt:variant>
      <vt:variant>
        <vt:i4>0</vt:i4>
      </vt:variant>
      <vt:variant>
        <vt:i4>5</vt:i4>
      </vt:variant>
      <vt:variant>
        <vt:lpwstr/>
      </vt:variant>
      <vt:variant>
        <vt:lpwstr>_Toc394052802</vt:lpwstr>
      </vt:variant>
      <vt:variant>
        <vt:i4>1835066</vt:i4>
      </vt:variant>
      <vt:variant>
        <vt:i4>212</vt:i4>
      </vt:variant>
      <vt:variant>
        <vt:i4>0</vt:i4>
      </vt:variant>
      <vt:variant>
        <vt:i4>5</vt:i4>
      </vt:variant>
      <vt:variant>
        <vt:lpwstr/>
      </vt:variant>
      <vt:variant>
        <vt:lpwstr>_Toc394052801</vt:lpwstr>
      </vt:variant>
      <vt:variant>
        <vt:i4>1835066</vt:i4>
      </vt:variant>
      <vt:variant>
        <vt:i4>206</vt:i4>
      </vt:variant>
      <vt:variant>
        <vt:i4>0</vt:i4>
      </vt:variant>
      <vt:variant>
        <vt:i4>5</vt:i4>
      </vt:variant>
      <vt:variant>
        <vt:lpwstr/>
      </vt:variant>
      <vt:variant>
        <vt:lpwstr>_Toc394052800</vt:lpwstr>
      </vt:variant>
      <vt:variant>
        <vt:i4>1376309</vt:i4>
      </vt:variant>
      <vt:variant>
        <vt:i4>200</vt:i4>
      </vt:variant>
      <vt:variant>
        <vt:i4>0</vt:i4>
      </vt:variant>
      <vt:variant>
        <vt:i4>5</vt:i4>
      </vt:variant>
      <vt:variant>
        <vt:lpwstr/>
      </vt:variant>
      <vt:variant>
        <vt:lpwstr>_Toc394052799</vt:lpwstr>
      </vt:variant>
      <vt:variant>
        <vt:i4>1376309</vt:i4>
      </vt:variant>
      <vt:variant>
        <vt:i4>194</vt:i4>
      </vt:variant>
      <vt:variant>
        <vt:i4>0</vt:i4>
      </vt:variant>
      <vt:variant>
        <vt:i4>5</vt:i4>
      </vt:variant>
      <vt:variant>
        <vt:lpwstr/>
      </vt:variant>
      <vt:variant>
        <vt:lpwstr>_Toc394052798</vt:lpwstr>
      </vt:variant>
      <vt:variant>
        <vt:i4>1376309</vt:i4>
      </vt:variant>
      <vt:variant>
        <vt:i4>188</vt:i4>
      </vt:variant>
      <vt:variant>
        <vt:i4>0</vt:i4>
      </vt:variant>
      <vt:variant>
        <vt:i4>5</vt:i4>
      </vt:variant>
      <vt:variant>
        <vt:lpwstr/>
      </vt:variant>
      <vt:variant>
        <vt:lpwstr>_Toc394052797</vt:lpwstr>
      </vt:variant>
      <vt:variant>
        <vt:i4>1376309</vt:i4>
      </vt:variant>
      <vt:variant>
        <vt:i4>182</vt:i4>
      </vt:variant>
      <vt:variant>
        <vt:i4>0</vt:i4>
      </vt:variant>
      <vt:variant>
        <vt:i4>5</vt:i4>
      </vt:variant>
      <vt:variant>
        <vt:lpwstr/>
      </vt:variant>
      <vt:variant>
        <vt:lpwstr>_Toc394052796</vt:lpwstr>
      </vt:variant>
      <vt:variant>
        <vt:i4>1376309</vt:i4>
      </vt:variant>
      <vt:variant>
        <vt:i4>176</vt:i4>
      </vt:variant>
      <vt:variant>
        <vt:i4>0</vt:i4>
      </vt:variant>
      <vt:variant>
        <vt:i4>5</vt:i4>
      </vt:variant>
      <vt:variant>
        <vt:lpwstr/>
      </vt:variant>
      <vt:variant>
        <vt:lpwstr>_Toc394052795</vt:lpwstr>
      </vt:variant>
      <vt:variant>
        <vt:i4>1376309</vt:i4>
      </vt:variant>
      <vt:variant>
        <vt:i4>170</vt:i4>
      </vt:variant>
      <vt:variant>
        <vt:i4>0</vt:i4>
      </vt:variant>
      <vt:variant>
        <vt:i4>5</vt:i4>
      </vt:variant>
      <vt:variant>
        <vt:lpwstr/>
      </vt:variant>
      <vt:variant>
        <vt:lpwstr>_Toc394052794</vt:lpwstr>
      </vt:variant>
      <vt:variant>
        <vt:i4>1376309</vt:i4>
      </vt:variant>
      <vt:variant>
        <vt:i4>164</vt:i4>
      </vt:variant>
      <vt:variant>
        <vt:i4>0</vt:i4>
      </vt:variant>
      <vt:variant>
        <vt:i4>5</vt:i4>
      </vt:variant>
      <vt:variant>
        <vt:lpwstr/>
      </vt:variant>
      <vt:variant>
        <vt:lpwstr>_Toc394052793</vt:lpwstr>
      </vt:variant>
      <vt:variant>
        <vt:i4>1376309</vt:i4>
      </vt:variant>
      <vt:variant>
        <vt:i4>158</vt:i4>
      </vt:variant>
      <vt:variant>
        <vt:i4>0</vt:i4>
      </vt:variant>
      <vt:variant>
        <vt:i4>5</vt:i4>
      </vt:variant>
      <vt:variant>
        <vt:lpwstr/>
      </vt:variant>
      <vt:variant>
        <vt:lpwstr>_Toc394052792</vt:lpwstr>
      </vt:variant>
      <vt:variant>
        <vt:i4>1376309</vt:i4>
      </vt:variant>
      <vt:variant>
        <vt:i4>152</vt:i4>
      </vt:variant>
      <vt:variant>
        <vt:i4>0</vt:i4>
      </vt:variant>
      <vt:variant>
        <vt:i4>5</vt:i4>
      </vt:variant>
      <vt:variant>
        <vt:lpwstr/>
      </vt:variant>
      <vt:variant>
        <vt:lpwstr>_Toc394052791</vt:lpwstr>
      </vt:variant>
      <vt:variant>
        <vt:i4>1376309</vt:i4>
      </vt:variant>
      <vt:variant>
        <vt:i4>146</vt:i4>
      </vt:variant>
      <vt:variant>
        <vt:i4>0</vt:i4>
      </vt:variant>
      <vt:variant>
        <vt:i4>5</vt:i4>
      </vt:variant>
      <vt:variant>
        <vt:lpwstr/>
      </vt:variant>
      <vt:variant>
        <vt:lpwstr>_Toc394052790</vt:lpwstr>
      </vt:variant>
      <vt:variant>
        <vt:i4>1310773</vt:i4>
      </vt:variant>
      <vt:variant>
        <vt:i4>140</vt:i4>
      </vt:variant>
      <vt:variant>
        <vt:i4>0</vt:i4>
      </vt:variant>
      <vt:variant>
        <vt:i4>5</vt:i4>
      </vt:variant>
      <vt:variant>
        <vt:lpwstr/>
      </vt:variant>
      <vt:variant>
        <vt:lpwstr>_Toc394052789</vt:lpwstr>
      </vt:variant>
      <vt:variant>
        <vt:i4>1310773</vt:i4>
      </vt:variant>
      <vt:variant>
        <vt:i4>134</vt:i4>
      </vt:variant>
      <vt:variant>
        <vt:i4>0</vt:i4>
      </vt:variant>
      <vt:variant>
        <vt:i4>5</vt:i4>
      </vt:variant>
      <vt:variant>
        <vt:lpwstr/>
      </vt:variant>
      <vt:variant>
        <vt:lpwstr>_Toc394052788</vt:lpwstr>
      </vt:variant>
      <vt:variant>
        <vt:i4>1310773</vt:i4>
      </vt:variant>
      <vt:variant>
        <vt:i4>128</vt:i4>
      </vt:variant>
      <vt:variant>
        <vt:i4>0</vt:i4>
      </vt:variant>
      <vt:variant>
        <vt:i4>5</vt:i4>
      </vt:variant>
      <vt:variant>
        <vt:lpwstr/>
      </vt:variant>
      <vt:variant>
        <vt:lpwstr>_Toc394052787</vt:lpwstr>
      </vt:variant>
      <vt:variant>
        <vt:i4>1310773</vt:i4>
      </vt:variant>
      <vt:variant>
        <vt:i4>122</vt:i4>
      </vt:variant>
      <vt:variant>
        <vt:i4>0</vt:i4>
      </vt:variant>
      <vt:variant>
        <vt:i4>5</vt:i4>
      </vt:variant>
      <vt:variant>
        <vt:lpwstr/>
      </vt:variant>
      <vt:variant>
        <vt:lpwstr>_Toc394052786</vt:lpwstr>
      </vt:variant>
      <vt:variant>
        <vt:i4>1310773</vt:i4>
      </vt:variant>
      <vt:variant>
        <vt:i4>116</vt:i4>
      </vt:variant>
      <vt:variant>
        <vt:i4>0</vt:i4>
      </vt:variant>
      <vt:variant>
        <vt:i4>5</vt:i4>
      </vt:variant>
      <vt:variant>
        <vt:lpwstr/>
      </vt:variant>
      <vt:variant>
        <vt:lpwstr>_Toc394052785</vt:lpwstr>
      </vt:variant>
      <vt:variant>
        <vt:i4>1310773</vt:i4>
      </vt:variant>
      <vt:variant>
        <vt:i4>110</vt:i4>
      </vt:variant>
      <vt:variant>
        <vt:i4>0</vt:i4>
      </vt:variant>
      <vt:variant>
        <vt:i4>5</vt:i4>
      </vt:variant>
      <vt:variant>
        <vt:lpwstr/>
      </vt:variant>
      <vt:variant>
        <vt:lpwstr>_Toc394052784</vt:lpwstr>
      </vt:variant>
      <vt:variant>
        <vt:i4>1310773</vt:i4>
      </vt:variant>
      <vt:variant>
        <vt:i4>104</vt:i4>
      </vt:variant>
      <vt:variant>
        <vt:i4>0</vt:i4>
      </vt:variant>
      <vt:variant>
        <vt:i4>5</vt:i4>
      </vt:variant>
      <vt:variant>
        <vt:lpwstr/>
      </vt:variant>
      <vt:variant>
        <vt:lpwstr>_Toc394052783</vt:lpwstr>
      </vt:variant>
      <vt:variant>
        <vt:i4>1310773</vt:i4>
      </vt:variant>
      <vt:variant>
        <vt:i4>98</vt:i4>
      </vt:variant>
      <vt:variant>
        <vt:i4>0</vt:i4>
      </vt:variant>
      <vt:variant>
        <vt:i4>5</vt:i4>
      </vt:variant>
      <vt:variant>
        <vt:lpwstr/>
      </vt:variant>
      <vt:variant>
        <vt:lpwstr>_Toc394052782</vt:lpwstr>
      </vt:variant>
      <vt:variant>
        <vt:i4>1310773</vt:i4>
      </vt:variant>
      <vt:variant>
        <vt:i4>92</vt:i4>
      </vt:variant>
      <vt:variant>
        <vt:i4>0</vt:i4>
      </vt:variant>
      <vt:variant>
        <vt:i4>5</vt:i4>
      </vt:variant>
      <vt:variant>
        <vt:lpwstr/>
      </vt:variant>
      <vt:variant>
        <vt:lpwstr>_Toc394052781</vt:lpwstr>
      </vt:variant>
      <vt:variant>
        <vt:i4>1310773</vt:i4>
      </vt:variant>
      <vt:variant>
        <vt:i4>86</vt:i4>
      </vt:variant>
      <vt:variant>
        <vt:i4>0</vt:i4>
      </vt:variant>
      <vt:variant>
        <vt:i4>5</vt:i4>
      </vt:variant>
      <vt:variant>
        <vt:lpwstr/>
      </vt:variant>
      <vt:variant>
        <vt:lpwstr>_Toc394052780</vt:lpwstr>
      </vt:variant>
      <vt:variant>
        <vt:i4>1769525</vt:i4>
      </vt:variant>
      <vt:variant>
        <vt:i4>80</vt:i4>
      </vt:variant>
      <vt:variant>
        <vt:i4>0</vt:i4>
      </vt:variant>
      <vt:variant>
        <vt:i4>5</vt:i4>
      </vt:variant>
      <vt:variant>
        <vt:lpwstr/>
      </vt:variant>
      <vt:variant>
        <vt:lpwstr>_Toc394052779</vt:lpwstr>
      </vt:variant>
      <vt:variant>
        <vt:i4>1769525</vt:i4>
      </vt:variant>
      <vt:variant>
        <vt:i4>74</vt:i4>
      </vt:variant>
      <vt:variant>
        <vt:i4>0</vt:i4>
      </vt:variant>
      <vt:variant>
        <vt:i4>5</vt:i4>
      </vt:variant>
      <vt:variant>
        <vt:lpwstr/>
      </vt:variant>
      <vt:variant>
        <vt:lpwstr>_Toc394052778</vt:lpwstr>
      </vt:variant>
      <vt:variant>
        <vt:i4>1769525</vt:i4>
      </vt:variant>
      <vt:variant>
        <vt:i4>68</vt:i4>
      </vt:variant>
      <vt:variant>
        <vt:i4>0</vt:i4>
      </vt:variant>
      <vt:variant>
        <vt:i4>5</vt:i4>
      </vt:variant>
      <vt:variant>
        <vt:lpwstr/>
      </vt:variant>
      <vt:variant>
        <vt:lpwstr>_Toc394052777</vt:lpwstr>
      </vt:variant>
      <vt:variant>
        <vt:i4>1769525</vt:i4>
      </vt:variant>
      <vt:variant>
        <vt:i4>62</vt:i4>
      </vt:variant>
      <vt:variant>
        <vt:i4>0</vt:i4>
      </vt:variant>
      <vt:variant>
        <vt:i4>5</vt:i4>
      </vt:variant>
      <vt:variant>
        <vt:lpwstr/>
      </vt:variant>
      <vt:variant>
        <vt:lpwstr>_Toc394052776</vt:lpwstr>
      </vt:variant>
      <vt:variant>
        <vt:i4>1769525</vt:i4>
      </vt:variant>
      <vt:variant>
        <vt:i4>56</vt:i4>
      </vt:variant>
      <vt:variant>
        <vt:i4>0</vt:i4>
      </vt:variant>
      <vt:variant>
        <vt:i4>5</vt:i4>
      </vt:variant>
      <vt:variant>
        <vt:lpwstr/>
      </vt:variant>
      <vt:variant>
        <vt:lpwstr>_Toc394052775</vt:lpwstr>
      </vt:variant>
      <vt:variant>
        <vt:i4>1769525</vt:i4>
      </vt:variant>
      <vt:variant>
        <vt:i4>50</vt:i4>
      </vt:variant>
      <vt:variant>
        <vt:i4>0</vt:i4>
      </vt:variant>
      <vt:variant>
        <vt:i4>5</vt:i4>
      </vt:variant>
      <vt:variant>
        <vt:lpwstr/>
      </vt:variant>
      <vt:variant>
        <vt:lpwstr>_Toc394052774</vt:lpwstr>
      </vt:variant>
      <vt:variant>
        <vt:i4>1769525</vt:i4>
      </vt:variant>
      <vt:variant>
        <vt:i4>44</vt:i4>
      </vt:variant>
      <vt:variant>
        <vt:i4>0</vt:i4>
      </vt:variant>
      <vt:variant>
        <vt:i4>5</vt:i4>
      </vt:variant>
      <vt:variant>
        <vt:lpwstr/>
      </vt:variant>
      <vt:variant>
        <vt:lpwstr>_Toc394052773</vt:lpwstr>
      </vt:variant>
      <vt:variant>
        <vt:i4>1769525</vt:i4>
      </vt:variant>
      <vt:variant>
        <vt:i4>38</vt:i4>
      </vt:variant>
      <vt:variant>
        <vt:i4>0</vt:i4>
      </vt:variant>
      <vt:variant>
        <vt:i4>5</vt:i4>
      </vt:variant>
      <vt:variant>
        <vt:lpwstr/>
      </vt:variant>
      <vt:variant>
        <vt:lpwstr>_Toc394052772</vt:lpwstr>
      </vt:variant>
      <vt:variant>
        <vt:i4>1769525</vt:i4>
      </vt:variant>
      <vt:variant>
        <vt:i4>32</vt:i4>
      </vt:variant>
      <vt:variant>
        <vt:i4>0</vt:i4>
      </vt:variant>
      <vt:variant>
        <vt:i4>5</vt:i4>
      </vt:variant>
      <vt:variant>
        <vt:lpwstr/>
      </vt:variant>
      <vt:variant>
        <vt:lpwstr>_Toc394052771</vt:lpwstr>
      </vt:variant>
      <vt:variant>
        <vt:i4>1769525</vt:i4>
      </vt:variant>
      <vt:variant>
        <vt:i4>26</vt:i4>
      </vt:variant>
      <vt:variant>
        <vt:i4>0</vt:i4>
      </vt:variant>
      <vt:variant>
        <vt:i4>5</vt:i4>
      </vt:variant>
      <vt:variant>
        <vt:lpwstr/>
      </vt:variant>
      <vt:variant>
        <vt:lpwstr>_Toc394052770</vt:lpwstr>
      </vt:variant>
      <vt:variant>
        <vt:i4>1703989</vt:i4>
      </vt:variant>
      <vt:variant>
        <vt:i4>20</vt:i4>
      </vt:variant>
      <vt:variant>
        <vt:i4>0</vt:i4>
      </vt:variant>
      <vt:variant>
        <vt:i4>5</vt:i4>
      </vt:variant>
      <vt:variant>
        <vt:lpwstr/>
      </vt:variant>
      <vt:variant>
        <vt:lpwstr>_Toc394052769</vt:lpwstr>
      </vt:variant>
      <vt:variant>
        <vt:i4>1703989</vt:i4>
      </vt:variant>
      <vt:variant>
        <vt:i4>14</vt:i4>
      </vt:variant>
      <vt:variant>
        <vt:i4>0</vt:i4>
      </vt:variant>
      <vt:variant>
        <vt:i4>5</vt:i4>
      </vt:variant>
      <vt:variant>
        <vt:lpwstr/>
      </vt:variant>
      <vt:variant>
        <vt:lpwstr>_Toc394052768</vt:lpwstr>
      </vt:variant>
      <vt:variant>
        <vt:i4>1703989</vt:i4>
      </vt:variant>
      <vt:variant>
        <vt:i4>8</vt:i4>
      </vt:variant>
      <vt:variant>
        <vt:i4>0</vt:i4>
      </vt:variant>
      <vt:variant>
        <vt:i4>5</vt:i4>
      </vt:variant>
      <vt:variant>
        <vt:lpwstr/>
      </vt:variant>
      <vt:variant>
        <vt:lpwstr>_Toc394052767</vt:lpwstr>
      </vt:variant>
      <vt:variant>
        <vt:i4>1703989</vt:i4>
      </vt:variant>
      <vt:variant>
        <vt:i4>2</vt:i4>
      </vt:variant>
      <vt:variant>
        <vt:i4>0</vt:i4>
      </vt:variant>
      <vt:variant>
        <vt:i4>5</vt:i4>
      </vt:variant>
      <vt:variant>
        <vt:lpwstr/>
      </vt:variant>
      <vt:variant>
        <vt:lpwstr>_Toc394052766</vt:lpwstr>
      </vt:variant>
      <vt:variant>
        <vt:i4>3801150</vt:i4>
      </vt:variant>
      <vt:variant>
        <vt:i4>0</vt:i4>
      </vt:variant>
      <vt:variant>
        <vt:i4>0</vt:i4>
      </vt:variant>
      <vt:variant>
        <vt:i4>5</vt:i4>
      </vt:variant>
      <vt:variant>
        <vt:lpwstr>http://www.deseco.admin.ch/</vt:lpwstr>
      </vt:variant>
      <vt:variant>
        <vt:lpwstr/>
      </vt:variant>
      <vt:variant>
        <vt:i4>6684693</vt:i4>
      </vt:variant>
      <vt:variant>
        <vt:i4>467018</vt:i4>
      </vt:variant>
      <vt:variant>
        <vt:i4>1043</vt:i4>
      </vt:variant>
      <vt:variant>
        <vt:i4>1</vt:i4>
      </vt:variant>
      <vt:variant>
        <vt:lpwstr>https://www.bifie.at/public/users/s.terler/5_BiSt_Ueberpr_Rueckm_150_b.png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Masarykova univerzita v Brně</dc:title>
  <dc:subject/>
  <dc:creator>Janko</dc:creator>
  <cp:keywords/>
  <dc:description/>
  <cp:lastModifiedBy>Hofmann</cp:lastModifiedBy>
  <cp:revision>2</cp:revision>
  <cp:lastPrinted>2014-09-19T14:56:00Z</cp:lastPrinted>
  <dcterms:created xsi:type="dcterms:W3CDTF">2015-04-01T07:33:00Z</dcterms:created>
  <dcterms:modified xsi:type="dcterms:W3CDTF">2015-04-01T07:33:00Z</dcterms:modified>
</cp:coreProperties>
</file>