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5B" w:rsidRPr="004A5C22" w:rsidRDefault="001121D7" w:rsidP="002231CD">
      <w:pPr>
        <w:pStyle w:val="Nadpis1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4A5C22" w:rsidRPr="004A5C2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EF0C5B" w:rsidRPr="004A5C22">
        <w:rPr>
          <w:rFonts w:ascii="Times New Roman" w:hAnsi="Times New Roman" w:cs="Times New Roman"/>
          <w:sz w:val="28"/>
          <w:szCs w:val="28"/>
          <w:lang w:val="en-US"/>
        </w:rPr>
        <w:t xml:space="preserve">Photon up-conversion </w:t>
      </w:r>
      <w:proofErr w:type="spellStart"/>
      <w:r w:rsidR="00EF0C5B" w:rsidRPr="004A5C22">
        <w:rPr>
          <w:rFonts w:ascii="Times New Roman" w:hAnsi="Times New Roman" w:cs="Times New Roman"/>
          <w:sz w:val="28"/>
          <w:szCs w:val="28"/>
          <w:lang w:val="en-US"/>
        </w:rPr>
        <w:t>nanoparticles</w:t>
      </w:r>
      <w:proofErr w:type="spellEnd"/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EF0C5B" w:rsidRPr="00E24A3A" w:rsidRDefault="00EF0C5B" w:rsidP="002231CD">
      <w:pPr>
        <w:spacing w:line="360" w:lineRule="auto"/>
        <w:ind w:firstLine="708"/>
        <w:rPr>
          <w:lang w:val="en-US"/>
        </w:rPr>
      </w:pPr>
      <w:r w:rsidRPr="00E24A3A">
        <w:rPr>
          <w:lang w:val="en-US"/>
        </w:rPr>
        <w:t xml:space="preserve">The last type of </w:t>
      </w:r>
      <w:proofErr w:type="spellStart"/>
      <w:r w:rsidRPr="00E24A3A">
        <w:rPr>
          <w:lang w:val="en-US"/>
        </w:rPr>
        <w:t>nanomaterial</w:t>
      </w:r>
      <w:proofErr w:type="spellEnd"/>
      <w:r w:rsidRPr="00E24A3A">
        <w:rPr>
          <w:lang w:val="en-US"/>
        </w:rPr>
        <w:t xml:space="preserve"> herein mentioned exhibits the so called photon up-conversion. Anti-Stokes luminescence, especially photon up-conversion attracts a growing interest.</w:t>
      </w:r>
      <w:r>
        <w:rPr>
          <w:lang w:val="en-US"/>
        </w:rPr>
        <w:t xml:space="preserve"> It is expected that </w:t>
      </w:r>
      <w:r w:rsidRPr="00E24A3A">
        <w:rPr>
          <w:lang w:val="en-US"/>
        </w:rPr>
        <w:t xml:space="preserve">the new generation of </w:t>
      </w:r>
      <w:proofErr w:type="spellStart"/>
      <w:r w:rsidRPr="00E24A3A">
        <w:rPr>
          <w:lang w:val="en-US"/>
        </w:rPr>
        <w:t>nanoparticles</w:t>
      </w:r>
      <w:proofErr w:type="spellEnd"/>
      <w:r w:rsidRPr="00E24A3A">
        <w:rPr>
          <w:lang w:val="en-US"/>
        </w:rPr>
        <w:t xml:space="preserve"> exhibiting photon up-conversion (</w:t>
      </w:r>
      <w:r>
        <w:rPr>
          <w:lang w:val="en-US"/>
        </w:rPr>
        <w:t>UCNP</w:t>
      </w:r>
      <w:r w:rsidRPr="00E24A3A">
        <w:rPr>
          <w:lang w:val="en-US"/>
        </w:rPr>
        <w:t xml:space="preserve">) will lead to the development of methods for biological imaging, targeted drug delivery and detection methods in </w:t>
      </w:r>
      <w:proofErr w:type="spellStart"/>
      <w:r w:rsidRPr="00E24A3A">
        <w:rPr>
          <w:lang w:val="en-US"/>
        </w:rPr>
        <w:t>bioanalytical</w:t>
      </w:r>
      <w:proofErr w:type="spellEnd"/>
      <w:r w:rsidRPr="00E24A3A">
        <w:rPr>
          <w:lang w:val="en-US"/>
        </w:rPr>
        <w:t xml:space="preserve"> chemistry. </w:t>
      </w:r>
      <w:r>
        <w:rPr>
          <w:lang w:val="en-US"/>
        </w:rPr>
        <w:t>UCNPs also</w:t>
      </w:r>
      <w:r w:rsidRPr="00E24A3A">
        <w:rPr>
          <w:lang w:val="en-US"/>
        </w:rPr>
        <w:t xml:space="preserve"> represent a new generation of luminescence labels for microscopy. The recent results suggest an excellent applicability for single molecule detection.</w:t>
      </w:r>
      <w:r w:rsidR="009761ED">
        <w:rPr>
          <w:vertAlign w:val="superscript"/>
          <w:lang w:val="en-US"/>
        </w:rPr>
        <w:t>13–</w:t>
      </w:r>
      <w:r>
        <w:rPr>
          <w:vertAlign w:val="superscript"/>
          <w:lang w:val="en-US"/>
        </w:rPr>
        <w:t>16</w:t>
      </w:r>
    </w:p>
    <w:p w:rsidR="008550D6" w:rsidRDefault="008550D6" w:rsidP="008550D6">
      <w:pPr>
        <w:spacing w:line="360" w:lineRule="auto"/>
        <w:rPr>
          <w:lang w:val="en-US"/>
        </w:rPr>
      </w:pPr>
    </w:p>
    <w:p w:rsidR="008550D6" w:rsidRDefault="00EF0C5B" w:rsidP="008550D6">
      <w:pPr>
        <w:spacing w:line="360" w:lineRule="auto"/>
        <w:ind w:firstLine="708"/>
        <w:rPr>
          <w:lang w:val="en-US"/>
        </w:rPr>
      </w:pPr>
      <w:r>
        <w:rPr>
          <w:lang w:val="en-US"/>
        </w:rPr>
        <w:t>P</w:t>
      </w:r>
      <w:r w:rsidRPr="00E24A3A">
        <w:rPr>
          <w:lang w:val="en-US"/>
        </w:rPr>
        <w:t xml:space="preserve">hoton up-conversion is a type of anti-Stokes luminescence, which is a conversion of long wavelength electromagnetic radiation into a radiation with a shorter wavelength. </w:t>
      </w:r>
      <w:r>
        <w:rPr>
          <w:lang w:val="en-US"/>
        </w:rPr>
        <w:t>P</w:t>
      </w:r>
      <w:r w:rsidRPr="00E24A3A">
        <w:rPr>
          <w:lang w:val="en-US"/>
        </w:rPr>
        <w:t xml:space="preserve">hoton up-conversion </w:t>
      </w:r>
      <w:r>
        <w:rPr>
          <w:lang w:val="en-US"/>
        </w:rPr>
        <w:t>reveal</w:t>
      </w:r>
      <w:r w:rsidRPr="00E24A3A">
        <w:rPr>
          <w:lang w:val="en-US"/>
        </w:rPr>
        <w:t>s crystalline materials doped with the ions of d and f elements (</w:t>
      </w:r>
      <w:proofErr w:type="spellStart"/>
      <w:r w:rsidRPr="00E24A3A">
        <w:rPr>
          <w:lang w:val="en-US"/>
        </w:rPr>
        <w:t>lanthanoids</w:t>
      </w:r>
      <w:proofErr w:type="spellEnd"/>
      <w:r w:rsidRPr="00E24A3A">
        <w:rPr>
          <w:lang w:val="en-US"/>
        </w:rPr>
        <w:t>).</w:t>
      </w:r>
      <w:r>
        <w:rPr>
          <w:vertAlign w:val="superscript"/>
          <w:lang w:val="en-US"/>
        </w:rPr>
        <w:t>14</w:t>
      </w:r>
      <w:r w:rsidRPr="00E24A3A">
        <w:rPr>
          <w:lang w:val="en-US"/>
        </w:rPr>
        <w:t xml:space="preserve"> </w:t>
      </w:r>
      <w:proofErr w:type="gramStart"/>
      <w:r w:rsidRPr="00E24A3A">
        <w:rPr>
          <w:lang w:val="en-US"/>
        </w:rPr>
        <w:t>These</w:t>
      </w:r>
      <w:proofErr w:type="gramEnd"/>
      <w:r w:rsidRPr="00E24A3A">
        <w:rPr>
          <w:lang w:val="en-US"/>
        </w:rPr>
        <w:t xml:space="preserve"> materials are </w:t>
      </w:r>
      <w:r>
        <w:rPr>
          <w:lang w:val="en-US"/>
        </w:rPr>
        <w:t>able</w:t>
      </w:r>
      <w:r w:rsidRPr="00E24A3A">
        <w:rPr>
          <w:lang w:val="en-US"/>
        </w:rPr>
        <w:t xml:space="preserve"> to absorb infrared radiation and emit visible light. Currently, the most studied and used </w:t>
      </w:r>
      <w:r>
        <w:rPr>
          <w:lang w:val="en-US"/>
        </w:rPr>
        <w:t>UCNP</w:t>
      </w:r>
      <w:r w:rsidRPr="00E24A3A">
        <w:rPr>
          <w:lang w:val="en-US"/>
        </w:rPr>
        <w:t xml:space="preserve"> consist of NaYF</w:t>
      </w:r>
      <w:r w:rsidRPr="00E24A3A">
        <w:rPr>
          <w:vertAlign w:val="subscript"/>
          <w:lang w:val="en-US"/>
        </w:rPr>
        <w:t>4</w:t>
      </w:r>
      <w:r w:rsidRPr="00E24A3A">
        <w:rPr>
          <w:lang w:val="en-US"/>
        </w:rPr>
        <w:t xml:space="preserve"> </w:t>
      </w:r>
      <w:proofErr w:type="spellStart"/>
      <w:r w:rsidRPr="00E24A3A">
        <w:rPr>
          <w:lang w:val="en-US"/>
        </w:rPr>
        <w:t>nanocrystals</w:t>
      </w:r>
      <w:proofErr w:type="spellEnd"/>
      <w:r w:rsidRPr="00E24A3A">
        <w:rPr>
          <w:lang w:val="en-US"/>
        </w:rPr>
        <w:t>, which are doped with Yb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and Er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(NaYF</w:t>
      </w:r>
      <w:r w:rsidRPr="00E24A3A">
        <w:rPr>
          <w:vertAlign w:val="subscript"/>
          <w:lang w:val="en-US"/>
        </w:rPr>
        <w:t>4</w:t>
      </w:r>
      <w:r w:rsidRPr="00E24A3A">
        <w:rPr>
          <w:lang w:val="en-US"/>
        </w:rPr>
        <w:t>: Yb</w:t>
      </w:r>
      <w:r w:rsidRPr="00E24A3A">
        <w:rPr>
          <w:vertAlign w:val="superscript"/>
          <w:lang w:val="en-US"/>
        </w:rPr>
        <w:t>3 +</w:t>
      </w:r>
      <w:r w:rsidRPr="00E24A3A">
        <w:rPr>
          <w:lang w:val="en-US"/>
        </w:rPr>
        <w:t>/Er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>).</w:t>
      </w:r>
      <w:r>
        <w:rPr>
          <w:vertAlign w:val="superscript"/>
          <w:lang w:val="en-US"/>
        </w:rPr>
        <w:t>14</w:t>
      </w:r>
      <w:proofErr w:type="gramStart"/>
      <w:r>
        <w:rPr>
          <w:vertAlign w:val="superscript"/>
          <w:lang w:val="en-US"/>
        </w:rPr>
        <w:t>,17</w:t>
      </w:r>
      <w:proofErr w:type="gramEnd"/>
      <w:r w:rsidRPr="00E24A3A">
        <w:rPr>
          <w:lang w:val="en-US"/>
        </w:rPr>
        <w:t xml:space="preserve"> The mechanism of photon up-conversion in NaYF</w:t>
      </w:r>
      <w:r w:rsidRPr="00E24A3A">
        <w:rPr>
          <w:vertAlign w:val="subscript"/>
          <w:lang w:val="en-US"/>
        </w:rPr>
        <w:t>4</w:t>
      </w:r>
      <w:r w:rsidRPr="00E24A3A">
        <w:rPr>
          <w:lang w:val="en-US"/>
        </w:rPr>
        <w:t>: Yb</w:t>
      </w:r>
      <w:r w:rsidRPr="00E24A3A">
        <w:rPr>
          <w:vertAlign w:val="superscript"/>
          <w:lang w:val="en-US"/>
        </w:rPr>
        <w:t>3 +</w:t>
      </w:r>
      <w:r w:rsidRPr="00E24A3A">
        <w:rPr>
          <w:lang w:val="en-US"/>
        </w:rPr>
        <w:t>/Er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may be described by the diagram in the Figure 3</w:t>
      </w:r>
      <w:r w:rsidR="008550D6">
        <w:rPr>
          <w:lang w:val="en-US"/>
        </w:rPr>
        <w:t>A</w:t>
      </w:r>
      <w:r w:rsidRPr="00E24A3A">
        <w:rPr>
          <w:lang w:val="en-US"/>
        </w:rPr>
        <w:t xml:space="preserve">. </w:t>
      </w: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862C5" w:rsidP="008550D6">
      <w:pPr>
        <w:spacing w:line="360" w:lineRule="auto"/>
        <w:ind w:firstLine="0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57.2pt;margin-top:.55pt;width:137.2pt;height:262pt;z-index:2">
            <v:imagedata r:id="rId7" o:title=""/>
          </v:shape>
        </w:pict>
      </w: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lang w:val="en-US"/>
        </w:rPr>
      </w:pPr>
    </w:p>
    <w:p w:rsidR="008550D6" w:rsidRDefault="008550D6" w:rsidP="008550D6">
      <w:pPr>
        <w:spacing w:line="360" w:lineRule="auto"/>
        <w:ind w:firstLine="0"/>
        <w:rPr>
          <w:i/>
          <w:lang w:val="en-US"/>
        </w:rPr>
      </w:pPr>
      <w:r w:rsidRPr="00E24A3A">
        <w:rPr>
          <w:i/>
          <w:lang w:val="en-US"/>
        </w:rPr>
        <w:t>Figure 3:</w:t>
      </w:r>
    </w:p>
    <w:p w:rsidR="008550D6" w:rsidRDefault="008550D6" w:rsidP="008550D6">
      <w:pPr>
        <w:spacing w:line="360" w:lineRule="auto"/>
        <w:ind w:firstLine="0"/>
        <w:rPr>
          <w:lang w:val="en-US"/>
        </w:rPr>
      </w:pPr>
      <w:r w:rsidRPr="00E24A3A">
        <w:rPr>
          <w:i/>
          <w:lang w:val="en-US"/>
        </w:rPr>
        <w:t xml:space="preserve">Photon up-conversion in </w:t>
      </w:r>
      <w:proofErr w:type="spellStart"/>
      <w:r w:rsidRPr="00E24A3A">
        <w:rPr>
          <w:i/>
          <w:lang w:val="en-US"/>
        </w:rPr>
        <w:t>nanocrystals</w:t>
      </w:r>
      <w:proofErr w:type="spellEnd"/>
      <w:r w:rsidRPr="00E24A3A">
        <w:rPr>
          <w:i/>
          <w:lang w:val="en-US"/>
        </w:rPr>
        <w:t xml:space="preserve"> of NaYF</w:t>
      </w:r>
      <w:r w:rsidRPr="00E24A3A">
        <w:rPr>
          <w:i/>
          <w:vertAlign w:val="subscript"/>
          <w:lang w:val="en-US"/>
        </w:rPr>
        <w:t>4</w:t>
      </w:r>
      <w:r w:rsidRPr="00E24A3A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E24A3A">
        <w:rPr>
          <w:i/>
          <w:lang w:val="en-US"/>
        </w:rPr>
        <w:t>Yb</w:t>
      </w:r>
      <w:r w:rsidRPr="00E24A3A">
        <w:rPr>
          <w:i/>
          <w:vertAlign w:val="superscript"/>
          <w:lang w:val="en-US"/>
        </w:rPr>
        <w:t>3+</w:t>
      </w:r>
      <w:r w:rsidRPr="00E24A3A">
        <w:rPr>
          <w:i/>
          <w:lang w:val="en-US"/>
        </w:rPr>
        <w:t>/Er</w:t>
      </w:r>
      <w:r w:rsidRPr="00E24A3A">
        <w:rPr>
          <w:i/>
          <w:vertAlign w:val="superscript"/>
          <w:lang w:val="en-US"/>
        </w:rPr>
        <w:t>3+</w:t>
      </w:r>
      <w:r w:rsidRPr="00E24A3A">
        <w:rPr>
          <w:i/>
          <w:lang w:val="en-US"/>
        </w:rPr>
        <w:t>.</w:t>
      </w:r>
      <w:r w:rsidRPr="001D460B">
        <w:rPr>
          <w:i/>
          <w:vertAlign w:val="superscript"/>
          <w:lang w:val="en-US"/>
        </w:rPr>
        <w:t>17</w:t>
      </w:r>
    </w:p>
    <w:p w:rsidR="00EF0C5B" w:rsidRDefault="00EF0C5B" w:rsidP="008550D6">
      <w:pPr>
        <w:spacing w:line="360" w:lineRule="auto"/>
        <w:ind w:firstLine="708"/>
        <w:rPr>
          <w:lang w:val="en-US"/>
        </w:rPr>
      </w:pPr>
      <w:r w:rsidRPr="00E24A3A">
        <w:rPr>
          <w:lang w:val="en-US"/>
        </w:rPr>
        <w:lastRenderedPageBreak/>
        <w:t>Yb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in the </w:t>
      </w:r>
      <w:r>
        <w:rPr>
          <w:lang w:val="en-US"/>
        </w:rPr>
        <w:t>UCNP</w:t>
      </w:r>
      <w:r w:rsidRPr="00E24A3A">
        <w:rPr>
          <w:lang w:val="en-US"/>
        </w:rPr>
        <w:t xml:space="preserve"> absorbs one photon </w:t>
      </w:r>
      <w:r>
        <w:rPr>
          <w:lang w:val="en-US"/>
        </w:rPr>
        <w:t>of</w:t>
      </w:r>
      <w:r w:rsidRPr="00E24A3A">
        <w:rPr>
          <w:lang w:val="en-US"/>
        </w:rPr>
        <w:t xml:space="preserve"> 980 nm </w:t>
      </w:r>
      <w:r>
        <w:rPr>
          <w:lang w:val="en-US"/>
        </w:rPr>
        <w:t xml:space="preserve">laser </w:t>
      </w:r>
      <w:r w:rsidRPr="00E24A3A">
        <w:rPr>
          <w:lang w:val="en-US"/>
        </w:rPr>
        <w:t xml:space="preserve">and </w:t>
      </w:r>
      <w:r>
        <w:rPr>
          <w:lang w:val="en-US"/>
        </w:rPr>
        <w:t>is</w:t>
      </w:r>
      <w:r w:rsidRPr="00E24A3A">
        <w:rPr>
          <w:lang w:val="en-US"/>
        </w:rPr>
        <w:t xml:space="preserve"> excited into the state 2F5/2. Subsequently, the energy is transferred to the state 4I11/2 of Er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ion, which is in the vicinity of the excited Yb</w:t>
      </w:r>
      <w:r w:rsidRPr="00E24A3A">
        <w:rPr>
          <w:vertAlign w:val="superscript"/>
          <w:lang w:val="en-US"/>
        </w:rPr>
        <w:t>3+</w:t>
      </w:r>
      <w:r>
        <w:rPr>
          <w:lang w:val="en-US"/>
        </w:rPr>
        <w:t>,</w:t>
      </w:r>
      <w:r w:rsidRPr="00E24A3A">
        <w:rPr>
          <w:lang w:val="en-US"/>
        </w:rPr>
        <w:t xml:space="preserve"> </w:t>
      </w:r>
      <w:r>
        <w:rPr>
          <w:lang w:val="en-US"/>
        </w:rPr>
        <w:t>and</w:t>
      </w:r>
      <w:r w:rsidRPr="00E24A3A">
        <w:rPr>
          <w:lang w:val="en-US"/>
        </w:rPr>
        <w:t xml:space="preserve"> gradual</w:t>
      </w:r>
      <w:r>
        <w:rPr>
          <w:lang w:val="en-US"/>
        </w:rPr>
        <w:t>ly</w:t>
      </w:r>
      <w:r w:rsidRPr="00E24A3A">
        <w:rPr>
          <w:lang w:val="en-US"/>
        </w:rPr>
        <w:t xml:space="preserve"> excit</w:t>
      </w:r>
      <w:r>
        <w:rPr>
          <w:lang w:val="en-US"/>
        </w:rPr>
        <w:t>es</w:t>
      </w:r>
      <w:r w:rsidRPr="00E24A3A">
        <w:rPr>
          <w:lang w:val="en-US"/>
        </w:rPr>
        <w:t xml:space="preserve"> Er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to the state 4F7/2. Accumulated energy may be emitted with a wavelength of approximately 525 nm, 550 nm (green) and 660 nm (red) after </w:t>
      </w:r>
      <w:proofErr w:type="spellStart"/>
      <w:r w:rsidRPr="00E24A3A">
        <w:rPr>
          <w:lang w:val="en-US"/>
        </w:rPr>
        <w:t>nonradiative</w:t>
      </w:r>
      <w:proofErr w:type="spellEnd"/>
      <w:r w:rsidRPr="00E24A3A">
        <w:rPr>
          <w:lang w:val="en-US"/>
        </w:rPr>
        <w:t xml:space="preserve"> relaxation in one of three states with slightly lower energy. Peaks that correspond to these transitions are found in emission spectrum (Figure 3</w:t>
      </w:r>
      <w:r w:rsidR="008550D6">
        <w:rPr>
          <w:lang w:val="en-US"/>
        </w:rPr>
        <w:t>B</w:t>
      </w:r>
      <w:r w:rsidRPr="00E24A3A">
        <w:rPr>
          <w:lang w:val="en-US"/>
        </w:rPr>
        <w:t xml:space="preserve">). Similarly, photon up-conversion in </w:t>
      </w:r>
      <w:proofErr w:type="spellStart"/>
      <w:r w:rsidRPr="00E24A3A">
        <w:rPr>
          <w:lang w:val="en-US"/>
        </w:rPr>
        <w:t>nanocrystals</w:t>
      </w:r>
      <w:proofErr w:type="spellEnd"/>
      <w:r w:rsidRPr="00E24A3A">
        <w:rPr>
          <w:lang w:val="en-US"/>
        </w:rPr>
        <w:t xml:space="preserve"> of NaYF</w:t>
      </w:r>
      <w:r w:rsidRPr="00E24A3A">
        <w:rPr>
          <w:vertAlign w:val="subscript"/>
          <w:lang w:val="en-US"/>
        </w:rPr>
        <w:t>4</w:t>
      </w:r>
      <w:r w:rsidRPr="00E24A3A">
        <w:rPr>
          <w:lang w:val="en-US"/>
        </w:rPr>
        <w:t>:</w:t>
      </w:r>
      <w:r w:rsidR="009761ED">
        <w:rPr>
          <w:lang w:val="en-US"/>
        </w:rPr>
        <w:t xml:space="preserve"> </w:t>
      </w:r>
      <w:r w:rsidRPr="00E24A3A">
        <w:rPr>
          <w:lang w:val="en-US"/>
        </w:rPr>
        <w:t>Yb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>/Tm</w:t>
      </w:r>
      <w:r w:rsidRPr="00E24A3A">
        <w:rPr>
          <w:vertAlign w:val="superscript"/>
          <w:lang w:val="en-US"/>
        </w:rPr>
        <w:t>3+</w:t>
      </w:r>
      <w:r w:rsidRPr="00E24A3A">
        <w:rPr>
          <w:lang w:val="en-US"/>
        </w:rPr>
        <w:t xml:space="preserve"> leads to the emission at 450 nm, 475 nm (blue) and 800 nm (infrared).</w:t>
      </w:r>
    </w:p>
    <w:p w:rsidR="008550D6" w:rsidRDefault="008550D6" w:rsidP="008550D6">
      <w:pPr>
        <w:spacing w:line="360" w:lineRule="auto"/>
        <w:ind w:firstLine="708"/>
        <w:rPr>
          <w:lang w:val="en-US"/>
        </w:rPr>
      </w:pPr>
    </w:p>
    <w:p w:rsidR="00EF0C5B" w:rsidRPr="00E24A3A" w:rsidRDefault="00EF0C5B" w:rsidP="002231CD">
      <w:pPr>
        <w:spacing w:line="360" w:lineRule="auto"/>
        <w:ind w:firstLine="708"/>
        <w:rPr>
          <w:lang w:val="en-US"/>
        </w:rPr>
      </w:pPr>
      <w:r w:rsidRPr="00E24A3A">
        <w:rPr>
          <w:lang w:val="en-US"/>
        </w:rPr>
        <w:t xml:space="preserve">In a comparison with other anti-Stokes processes, </w:t>
      </w:r>
      <w:r w:rsidRPr="00E24A3A">
        <w:rPr>
          <w:i/>
          <w:lang w:val="en-US"/>
        </w:rPr>
        <w:t>e.g.</w:t>
      </w:r>
      <w:r w:rsidRPr="00E24A3A">
        <w:rPr>
          <w:lang w:val="en-US"/>
        </w:rPr>
        <w:t xml:space="preserve"> with two-photon luminescence, </w:t>
      </w:r>
      <w:r>
        <w:rPr>
          <w:lang w:val="en-US"/>
        </w:rPr>
        <w:t>UCNP</w:t>
      </w:r>
      <w:r w:rsidRPr="00E24A3A">
        <w:rPr>
          <w:lang w:val="en-US"/>
        </w:rPr>
        <w:t xml:space="preserve"> can be excited by infrared radiation with a million times lower intensity. This eliminates the need fo</w:t>
      </w:r>
      <w:r>
        <w:rPr>
          <w:lang w:val="en-US"/>
        </w:rPr>
        <w:t>r</w:t>
      </w:r>
      <w:r w:rsidRPr="00E24A3A">
        <w:rPr>
          <w:lang w:val="en-US"/>
        </w:rPr>
        <w:t xml:space="preserve"> expensive </w:t>
      </w:r>
      <w:proofErr w:type="spellStart"/>
      <w:r w:rsidRPr="00E24A3A">
        <w:rPr>
          <w:lang w:val="en-US"/>
        </w:rPr>
        <w:t>femtosecond</w:t>
      </w:r>
      <w:proofErr w:type="spellEnd"/>
      <w:r w:rsidRPr="00E24A3A">
        <w:rPr>
          <w:lang w:val="en-US"/>
        </w:rPr>
        <w:t xml:space="preserve"> lasers. </w:t>
      </w:r>
      <w:r>
        <w:rPr>
          <w:lang w:val="en-US"/>
        </w:rPr>
        <w:t>Also o</w:t>
      </w:r>
      <w:r w:rsidRPr="00E24A3A">
        <w:rPr>
          <w:lang w:val="en-US"/>
        </w:rPr>
        <w:t xml:space="preserve">ther advantages are characteristic for </w:t>
      </w:r>
      <w:r>
        <w:rPr>
          <w:lang w:val="en-US"/>
        </w:rPr>
        <w:t>UCNPs</w:t>
      </w:r>
      <w:r w:rsidRPr="00E24A3A">
        <w:rPr>
          <w:lang w:val="en-US"/>
        </w:rPr>
        <w:t xml:space="preserve">. (A) </w:t>
      </w:r>
      <w:proofErr w:type="gramStart"/>
      <w:r w:rsidRPr="00E24A3A">
        <w:rPr>
          <w:lang w:val="en-US"/>
        </w:rPr>
        <w:t>large</w:t>
      </w:r>
      <w:proofErr w:type="gramEnd"/>
      <w:r w:rsidRPr="00E24A3A">
        <w:rPr>
          <w:lang w:val="en-US"/>
        </w:rPr>
        <w:t xml:space="preserve"> anti-Stokes shift (B) the ability to set emission maxima of </w:t>
      </w:r>
      <w:r>
        <w:rPr>
          <w:lang w:val="en-US"/>
        </w:rPr>
        <w:t>UCNP</w:t>
      </w:r>
      <w:r w:rsidRPr="00E24A3A">
        <w:rPr>
          <w:lang w:val="en-US"/>
        </w:rPr>
        <w:t xml:space="preserve"> </w:t>
      </w:r>
      <w:r>
        <w:rPr>
          <w:lang w:val="en-US"/>
        </w:rPr>
        <w:t>by varying</w:t>
      </w:r>
      <w:r w:rsidRPr="00E24A3A">
        <w:rPr>
          <w:lang w:val="en-US"/>
        </w:rPr>
        <w:t xml:space="preserve"> chemical composition. Other benefits of </w:t>
      </w:r>
      <w:r>
        <w:rPr>
          <w:lang w:val="en-US"/>
        </w:rPr>
        <w:t>UCNP</w:t>
      </w:r>
      <w:r w:rsidRPr="00E24A3A">
        <w:rPr>
          <w:lang w:val="en-US"/>
        </w:rPr>
        <w:t xml:space="preserve">s include negligible </w:t>
      </w:r>
      <w:proofErr w:type="spellStart"/>
      <w:r w:rsidRPr="00E24A3A">
        <w:rPr>
          <w:lang w:val="en-US"/>
        </w:rPr>
        <w:t>autofluorescence</w:t>
      </w:r>
      <w:proofErr w:type="spellEnd"/>
      <w:r w:rsidRPr="00E24A3A">
        <w:rPr>
          <w:lang w:val="en-US"/>
        </w:rPr>
        <w:t xml:space="preserve"> of biological s</w:t>
      </w:r>
      <w:r>
        <w:rPr>
          <w:lang w:val="en-US"/>
        </w:rPr>
        <w:t>a</w:t>
      </w:r>
      <w:r w:rsidRPr="00E24A3A">
        <w:rPr>
          <w:lang w:val="en-US"/>
        </w:rPr>
        <w:t>mples, low scattering of long</w:t>
      </w:r>
      <w:r>
        <w:rPr>
          <w:lang w:val="en-US"/>
        </w:rPr>
        <w:t xml:space="preserve"> </w:t>
      </w:r>
      <w:r w:rsidRPr="00E24A3A">
        <w:rPr>
          <w:lang w:val="en-US"/>
        </w:rPr>
        <w:t>wave</w:t>
      </w:r>
      <w:r>
        <w:rPr>
          <w:lang w:val="en-US"/>
        </w:rPr>
        <w:t>length</w:t>
      </w:r>
      <w:r w:rsidRPr="00E24A3A">
        <w:rPr>
          <w:lang w:val="en-US"/>
        </w:rPr>
        <w:t xml:space="preserve"> excitation light, low photochemical damage to </w:t>
      </w:r>
      <w:proofErr w:type="spellStart"/>
      <w:r w:rsidRPr="00E24A3A">
        <w:rPr>
          <w:lang w:val="en-US"/>
        </w:rPr>
        <w:t>biomolecules</w:t>
      </w:r>
      <w:proofErr w:type="spellEnd"/>
      <w:r w:rsidRPr="00E24A3A">
        <w:rPr>
          <w:lang w:val="en-US"/>
        </w:rPr>
        <w:t xml:space="preserve">, which otherwise occurs by treatment with short wavelength radiation, the deeper penetration of the excitation light into biological material, high </w:t>
      </w:r>
      <w:proofErr w:type="spellStart"/>
      <w:r w:rsidRPr="00E24A3A">
        <w:rPr>
          <w:lang w:val="en-US"/>
        </w:rPr>
        <w:t>photostability</w:t>
      </w:r>
      <w:proofErr w:type="spellEnd"/>
      <w:r w:rsidRPr="00E24A3A">
        <w:rPr>
          <w:lang w:val="en-US"/>
        </w:rPr>
        <w:t>, and the absence of blinking.</w:t>
      </w:r>
      <w:r>
        <w:rPr>
          <w:vertAlign w:val="superscript"/>
          <w:lang w:val="en-US"/>
        </w:rPr>
        <w:t>14</w:t>
      </w: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 w:rsidRPr="00E24A3A">
        <w:rPr>
          <w:lang w:val="en-US"/>
        </w:rPr>
        <w:t xml:space="preserve">The properties of these new </w:t>
      </w:r>
      <w:proofErr w:type="spellStart"/>
      <w:r w:rsidRPr="00E24A3A">
        <w:rPr>
          <w:lang w:val="en-US"/>
        </w:rPr>
        <w:t>nanomaterials</w:t>
      </w:r>
      <w:proofErr w:type="spellEnd"/>
      <w:r w:rsidRPr="00E24A3A">
        <w:rPr>
          <w:lang w:val="en-US"/>
        </w:rPr>
        <w:t xml:space="preserve"> in biology can be especially useful for </w:t>
      </w:r>
      <w:proofErr w:type="spellStart"/>
      <w:r>
        <w:rPr>
          <w:lang w:val="en-US"/>
        </w:rPr>
        <w:t>biomolecule</w:t>
      </w:r>
      <w:proofErr w:type="spellEnd"/>
      <w:r>
        <w:rPr>
          <w:lang w:val="en-US"/>
        </w:rPr>
        <w:t xml:space="preserve"> </w:t>
      </w:r>
      <w:r w:rsidRPr="00E24A3A">
        <w:rPr>
          <w:lang w:val="en-US"/>
        </w:rPr>
        <w:t>detecti</w:t>
      </w:r>
      <w:r>
        <w:rPr>
          <w:lang w:val="en-US"/>
        </w:rPr>
        <w:t>on</w:t>
      </w:r>
      <w:r w:rsidRPr="00E24A3A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E24A3A">
        <w:rPr>
          <w:lang w:val="en-US"/>
        </w:rPr>
        <w:t>biological imaging.</w:t>
      </w:r>
      <w:r>
        <w:rPr>
          <w:vertAlign w:val="superscript"/>
          <w:lang w:val="en-US"/>
        </w:rPr>
        <w:t>14</w:t>
      </w:r>
      <w:r w:rsidRPr="00E24A3A">
        <w:rPr>
          <w:lang w:val="en-US"/>
        </w:rPr>
        <w:t xml:space="preserve"> Thanks to the specific luminescence properties of </w:t>
      </w:r>
      <w:proofErr w:type="gramStart"/>
      <w:r>
        <w:rPr>
          <w:lang w:val="en-US"/>
        </w:rPr>
        <w:t>UCNP</w:t>
      </w:r>
      <w:r w:rsidRPr="00E24A3A">
        <w:rPr>
          <w:lang w:val="en-US"/>
        </w:rPr>
        <w:t>,</w:t>
      </w:r>
      <w:proofErr w:type="gramEnd"/>
      <w:r w:rsidRPr="00E24A3A">
        <w:rPr>
          <w:lang w:val="en-US"/>
        </w:rPr>
        <w:t xml:space="preserve"> it is possible to bypass the need for sophisticated imaging techniques, such X-rays or nuclear magnetic resonance imaging (Figure 4). Imaging is also possible to combine with the targeted transport of drugs into the affected tissue</w:t>
      </w:r>
      <w:r>
        <w:rPr>
          <w:lang w:val="en-US"/>
        </w:rPr>
        <w:t>s</w:t>
      </w:r>
      <w:r w:rsidRPr="00E24A3A">
        <w:rPr>
          <w:lang w:val="en-US"/>
        </w:rPr>
        <w:t xml:space="preserve">. In this case, it is possible to monitor the whole process of transfer of the drug from the bloodstream to the target site such as a tumor tissue. </w:t>
      </w:r>
      <w:r>
        <w:rPr>
          <w:lang w:val="en-US"/>
        </w:rPr>
        <w:t>UCNP</w:t>
      </w:r>
      <w:r w:rsidRPr="00E24A3A">
        <w:rPr>
          <w:lang w:val="en-US"/>
        </w:rPr>
        <w:t xml:space="preserve">s provide excellent properties when combined with microscopy. In comparison with two-photon microscopy, microscopy utilizing photon up-conversion is less instrumentally demanding. It is not necessary to use a narrowly focused beam of </w:t>
      </w:r>
      <w:proofErr w:type="spellStart"/>
      <w:r w:rsidRPr="00E24A3A">
        <w:rPr>
          <w:lang w:val="en-US"/>
        </w:rPr>
        <w:t>femtosecond</w:t>
      </w:r>
      <w:proofErr w:type="spellEnd"/>
      <w:r w:rsidRPr="00E24A3A">
        <w:rPr>
          <w:lang w:val="en-US"/>
        </w:rPr>
        <w:t xml:space="preserve"> laser. Therefore, there is no limitation to a </w:t>
      </w:r>
      <w:proofErr w:type="spellStart"/>
      <w:r w:rsidRPr="00E24A3A">
        <w:rPr>
          <w:lang w:val="en-US"/>
        </w:rPr>
        <w:t>confocal</w:t>
      </w:r>
      <w:proofErr w:type="spellEnd"/>
      <w:r w:rsidRPr="00E24A3A">
        <w:rPr>
          <w:lang w:val="en-US"/>
        </w:rPr>
        <w:t xml:space="preserve"> scanning arrangement. As an excitation source suffices continuous wave semiconductor lasers, whose intensity is constant in time. </w:t>
      </w:r>
      <w:r>
        <w:rPr>
          <w:lang w:val="en-US"/>
        </w:rPr>
        <w:t>UCNP</w:t>
      </w:r>
      <w:r w:rsidRPr="00E24A3A">
        <w:rPr>
          <w:lang w:val="en-US"/>
        </w:rPr>
        <w:t xml:space="preserve">s are therefore suitable also for </w:t>
      </w:r>
      <w:proofErr w:type="spellStart"/>
      <w:r w:rsidRPr="00E24A3A">
        <w:rPr>
          <w:lang w:val="en-US"/>
        </w:rPr>
        <w:t>epifluorescence</w:t>
      </w:r>
      <w:proofErr w:type="spellEnd"/>
      <w:r w:rsidRPr="00E24A3A">
        <w:rPr>
          <w:lang w:val="en-US"/>
        </w:rPr>
        <w:t xml:space="preserve"> and total internal reflection microscopy.</w:t>
      </w:r>
      <w:r>
        <w:rPr>
          <w:vertAlign w:val="superscript"/>
          <w:lang w:val="en-US"/>
        </w:rPr>
        <w:t>1</w:t>
      </w:r>
      <w:r w:rsidRPr="00E24A3A">
        <w:rPr>
          <w:vertAlign w:val="superscript"/>
          <w:lang w:val="en-US"/>
        </w:rPr>
        <w:t>3</w:t>
      </w:r>
    </w:p>
    <w:p w:rsidR="00900979" w:rsidRDefault="00900979" w:rsidP="002231CD">
      <w:pPr>
        <w:spacing w:line="360" w:lineRule="auto"/>
        <w:ind w:firstLine="0"/>
        <w:rPr>
          <w:lang w:val="en-US"/>
        </w:rPr>
      </w:pPr>
    </w:p>
    <w:p w:rsidR="00900979" w:rsidRDefault="00900979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8862C5" w:rsidP="002231CD">
      <w:pPr>
        <w:spacing w:line="360" w:lineRule="auto"/>
        <w:ind w:firstLine="0"/>
        <w:rPr>
          <w:lang w:val="en-US"/>
        </w:rPr>
      </w:pPr>
      <w:r>
        <w:rPr>
          <w:noProof/>
        </w:rPr>
        <w:pict>
          <v:shape id="Picture 3" o:spid="_x0000_s1032" type="#_x0000_t75" style="position:absolute;left:0;text-align:left;margin-left:-.3pt;margin-top:.3pt;width:438.55pt;height:157.45pt;z-index:1;visibility:visible">
            <v:imagedata r:id="rId8" o:title=""/>
          </v:shape>
        </w:pict>
      </w: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4A5C22" w:rsidRDefault="004A5C22" w:rsidP="002231CD">
      <w:pPr>
        <w:spacing w:line="360" w:lineRule="auto"/>
        <w:ind w:firstLine="0"/>
        <w:rPr>
          <w:lang w:val="en-US"/>
        </w:rPr>
      </w:pPr>
    </w:p>
    <w:p w:rsidR="008550D6" w:rsidRPr="008550D6" w:rsidRDefault="008550D6" w:rsidP="002231CD">
      <w:pPr>
        <w:spacing w:line="360" w:lineRule="auto"/>
        <w:ind w:firstLine="0"/>
        <w:rPr>
          <w:lang w:val="en-US"/>
        </w:rPr>
      </w:pPr>
    </w:p>
    <w:p w:rsidR="008550D6" w:rsidRDefault="008550D6" w:rsidP="002231CD">
      <w:pPr>
        <w:spacing w:line="360" w:lineRule="auto"/>
        <w:ind w:firstLine="0"/>
        <w:rPr>
          <w:i/>
          <w:lang w:val="en-US"/>
        </w:rPr>
      </w:pPr>
      <w:proofErr w:type="gramStart"/>
      <w:r>
        <w:rPr>
          <w:i/>
          <w:lang w:val="en-US"/>
        </w:rPr>
        <w:t>Figure 4.</w:t>
      </w:r>
      <w:proofErr w:type="gramEnd"/>
    </w:p>
    <w:p w:rsidR="00900979" w:rsidRDefault="001400FA" w:rsidP="002231CD">
      <w:pPr>
        <w:spacing w:line="360" w:lineRule="auto"/>
        <w:ind w:firstLine="0"/>
      </w:pPr>
      <w:r w:rsidRPr="00E24A3A">
        <w:rPr>
          <w:i/>
          <w:lang w:val="en-US"/>
        </w:rPr>
        <w:t xml:space="preserve">Biological imaging using photon up-conversion; accumulation of photon up-converting </w:t>
      </w:r>
      <w:proofErr w:type="spellStart"/>
      <w:r w:rsidRPr="00E24A3A">
        <w:rPr>
          <w:i/>
          <w:lang w:val="en-US"/>
        </w:rPr>
        <w:t>nanoparticles</w:t>
      </w:r>
      <w:proofErr w:type="spellEnd"/>
      <w:r w:rsidRPr="00E24A3A">
        <w:rPr>
          <w:i/>
          <w:lang w:val="en-US"/>
        </w:rPr>
        <w:t xml:space="preserve"> in liver tissue of mice.</w:t>
      </w:r>
      <w:r>
        <w:rPr>
          <w:i/>
          <w:vertAlign w:val="superscript"/>
          <w:lang w:val="en-US"/>
        </w:rPr>
        <w:t>17</w:t>
      </w:r>
    </w:p>
    <w:p w:rsidR="009761ED" w:rsidRPr="001D460B" w:rsidRDefault="009761ED" w:rsidP="002231CD">
      <w:pPr>
        <w:spacing w:line="360" w:lineRule="auto"/>
        <w:ind w:firstLine="0"/>
      </w:pPr>
    </w:p>
    <w:sectPr w:rsidR="009761ED" w:rsidRPr="001D460B" w:rsidSect="00DE6AE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E45" w:rsidRDefault="000E3E45" w:rsidP="00E86AF5">
      <w:r>
        <w:separator/>
      </w:r>
    </w:p>
  </w:endnote>
  <w:endnote w:type="continuationSeparator" w:id="0">
    <w:p w:rsidR="000E3E45" w:rsidRDefault="000E3E45" w:rsidP="00E8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E45" w:rsidRDefault="000E3E45" w:rsidP="00E86AF5">
      <w:r>
        <w:separator/>
      </w:r>
    </w:p>
  </w:footnote>
  <w:footnote w:type="continuationSeparator" w:id="0">
    <w:p w:rsidR="000E3E45" w:rsidRDefault="000E3E45" w:rsidP="00E8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945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B8A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FA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EE4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D48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87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1A2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9E6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48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AF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304CE"/>
    <w:multiLevelType w:val="hybridMultilevel"/>
    <w:tmpl w:val="E3F274E4"/>
    <w:lvl w:ilvl="0" w:tplc="0405000F">
      <w:start w:val="1"/>
      <w:numFmt w:val="decimal"/>
      <w:lvlText w:val="%1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191"/>
        </w:tabs>
        <w:ind w:left="619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911"/>
        </w:tabs>
        <w:ind w:left="691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631"/>
        </w:tabs>
        <w:ind w:left="763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351"/>
        </w:tabs>
        <w:ind w:left="8351" w:hanging="180"/>
      </w:pPr>
      <w:rPr>
        <w:rFonts w:cs="Times New Roman"/>
      </w:rPr>
    </w:lvl>
  </w:abstractNum>
  <w:abstractNum w:abstractNumId="11">
    <w:nsid w:val="3B0021A2"/>
    <w:multiLevelType w:val="hybridMultilevel"/>
    <w:tmpl w:val="FE245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33F7"/>
    <w:multiLevelType w:val="hybridMultilevel"/>
    <w:tmpl w:val="9014BA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86A"/>
    <w:rsid w:val="00002F8C"/>
    <w:rsid w:val="00004A90"/>
    <w:rsid w:val="00005E8F"/>
    <w:rsid w:val="00011CF8"/>
    <w:rsid w:val="00020307"/>
    <w:rsid w:val="00020DE2"/>
    <w:rsid w:val="000222CD"/>
    <w:rsid w:val="00025EC8"/>
    <w:rsid w:val="00030EBF"/>
    <w:rsid w:val="00034155"/>
    <w:rsid w:val="00040D18"/>
    <w:rsid w:val="00041271"/>
    <w:rsid w:val="000564DF"/>
    <w:rsid w:val="00057E1A"/>
    <w:rsid w:val="000610D3"/>
    <w:rsid w:val="000618D4"/>
    <w:rsid w:val="000744CC"/>
    <w:rsid w:val="00075145"/>
    <w:rsid w:val="00075954"/>
    <w:rsid w:val="000805EC"/>
    <w:rsid w:val="00080BDD"/>
    <w:rsid w:val="00081649"/>
    <w:rsid w:val="00082FEF"/>
    <w:rsid w:val="00083784"/>
    <w:rsid w:val="000871E2"/>
    <w:rsid w:val="000976E7"/>
    <w:rsid w:val="00097C49"/>
    <w:rsid w:val="000A676E"/>
    <w:rsid w:val="000A739F"/>
    <w:rsid w:val="000A7959"/>
    <w:rsid w:val="000B1893"/>
    <w:rsid w:val="000B25E2"/>
    <w:rsid w:val="000B3A43"/>
    <w:rsid w:val="000B4949"/>
    <w:rsid w:val="000B558F"/>
    <w:rsid w:val="000B5899"/>
    <w:rsid w:val="000B69A8"/>
    <w:rsid w:val="000B717C"/>
    <w:rsid w:val="000C32DC"/>
    <w:rsid w:val="000C3571"/>
    <w:rsid w:val="000C4129"/>
    <w:rsid w:val="000C5868"/>
    <w:rsid w:val="000C6FB9"/>
    <w:rsid w:val="000C7980"/>
    <w:rsid w:val="000E1981"/>
    <w:rsid w:val="000E22C2"/>
    <w:rsid w:val="000E2C16"/>
    <w:rsid w:val="000E35A3"/>
    <w:rsid w:val="000E3E45"/>
    <w:rsid w:val="000E7A46"/>
    <w:rsid w:val="000E7B6F"/>
    <w:rsid w:val="000F00DE"/>
    <w:rsid w:val="000F56B2"/>
    <w:rsid w:val="000F75C8"/>
    <w:rsid w:val="001024B7"/>
    <w:rsid w:val="001062EA"/>
    <w:rsid w:val="001071D8"/>
    <w:rsid w:val="00107C60"/>
    <w:rsid w:val="0011005C"/>
    <w:rsid w:val="001121D7"/>
    <w:rsid w:val="00123403"/>
    <w:rsid w:val="001250D1"/>
    <w:rsid w:val="00126C87"/>
    <w:rsid w:val="00133E28"/>
    <w:rsid w:val="0013639C"/>
    <w:rsid w:val="00136E46"/>
    <w:rsid w:val="00136F03"/>
    <w:rsid w:val="00137100"/>
    <w:rsid w:val="001400FA"/>
    <w:rsid w:val="00141262"/>
    <w:rsid w:val="00143134"/>
    <w:rsid w:val="00143481"/>
    <w:rsid w:val="001505C1"/>
    <w:rsid w:val="00152511"/>
    <w:rsid w:val="00152C93"/>
    <w:rsid w:val="001535C1"/>
    <w:rsid w:val="0015429D"/>
    <w:rsid w:val="0015737C"/>
    <w:rsid w:val="0016271B"/>
    <w:rsid w:val="0017083A"/>
    <w:rsid w:val="0018177F"/>
    <w:rsid w:val="00183373"/>
    <w:rsid w:val="00183675"/>
    <w:rsid w:val="00183872"/>
    <w:rsid w:val="00183F09"/>
    <w:rsid w:val="0018573E"/>
    <w:rsid w:val="00190D3B"/>
    <w:rsid w:val="00191AC8"/>
    <w:rsid w:val="0019288A"/>
    <w:rsid w:val="00196367"/>
    <w:rsid w:val="001A23D3"/>
    <w:rsid w:val="001A3247"/>
    <w:rsid w:val="001B16CB"/>
    <w:rsid w:val="001B201D"/>
    <w:rsid w:val="001B3971"/>
    <w:rsid w:val="001B69BA"/>
    <w:rsid w:val="001B6F98"/>
    <w:rsid w:val="001C0B9F"/>
    <w:rsid w:val="001D1B12"/>
    <w:rsid w:val="001D1C1E"/>
    <w:rsid w:val="001D460B"/>
    <w:rsid w:val="001E00E1"/>
    <w:rsid w:val="001E16AA"/>
    <w:rsid w:val="001E2911"/>
    <w:rsid w:val="001E374E"/>
    <w:rsid w:val="001E6483"/>
    <w:rsid w:val="001E74E4"/>
    <w:rsid w:val="001F5457"/>
    <w:rsid w:val="001F6548"/>
    <w:rsid w:val="001F66DB"/>
    <w:rsid w:val="002003F1"/>
    <w:rsid w:val="00204CCB"/>
    <w:rsid w:val="00207AE2"/>
    <w:rsid w:val="00207B8C"/>
    <w:rsid w:val="00207D38"/>
    <w:rsid w:val="00210670"/>
    <w:rsid w:val="00211162"/>
    <w:rsid w:val="00212023"/>
    <w:rsid w:val="0021349A"/>
    <w:rsid w:val="00214EE9"/>
    <w:rsid w:val="0022039E"/>
    <w:rsid w:val="00220761"/>
    <w:rsid w:val="002231CD"/>
    <w:rsid w:val="002242B7"/>
    <w:rsid w:val="00225941"/>
    <w:rsid w:val="00225A88"/>
    <w:rsid w:val="00226D1A"/>
    <w:rsid w:val="00235645"/>
    <w:rsid w:val="0024617C"/>
    <w:rsid w:val="00250477"/>
    <w:rsid w:val="0025372E"/>
    <w:rsid w:val="00254CE6"/>
    <w:rsid w:val="0025700F"/>
    <w:rsid w:val="002610C6"/>
    <w:rsid w:val="0026302A"/>
    <w:rsid w:val="00265DE0"/>
    <w:rsid w:val="0026768C"/>
    <w:rsid w:val="00271640"/>
    <w:rsid w:val="00272A63"/>
    <w:rsid w:val="002758F3"/>
    <w:rsid w:val="00282E51"/>
    <w:rsid w:val="002837A3"/>
    <w:rsid w:val="002837B4"/>
    <w:rsid w:val="00286825"/>
    <w:rsid w:val="00287F17"/>
    <w:rsid w:val="00291CBA"/>
    <w:rsid w:val="00292130"/>
    <w:rsid w:val="00294660"/>
    <w:rsid w:val="00295254"/>
    <w:rsid w:val="00295BB8"/>
    <w:rsid w:val="002A17D2"/>
    <w:rsid w:val="002A1973"/>
    <w:rsid w:val="002A3EDA"/>
    <w:rsid w:val="002A6F1B"/>
    <w:rsid w:val="002A6F7F"/>
    <w:rsid w:val="002B3F08"/>
    <w:rsid w:val="002B4958"/>
    <w:rsid w:val="002B7992"/>
    <w:rsid w:val="002C0E95"/>
    <w:rsid w:val="002C728B"/>
    <w:rsid w:val="002C7988"/>
    <w:rsid w:val="002C7F32"/>
    <w:rsid w:val="002D1A9B"/>
    <w:rsid w:val="002D414D"/>
    <w:rsid w:val="002D4E66"/>
    <w:rsid w:val="002E2EE9"/>
    <w:rsid w:val="002E3888"/>
    <w:rsid w:val="002E4D47"/>
    <w:rsid w:val="002E556E"/>
    <w:rsid w:val="002E5B88"/>
    <w:rsid w:val="002E61C1"/>
    <w:rsid w:val="002E653C"/>
    <w:rsid w:val="002F00FC"/>
    <w:rsid w:val="002F2274"/>
    <w:rsid w:val="002F2ED8"/>
    <w:rsid w:val="002F4114"/>
    <w:rsid w:val="002F49A9"/>
    <w:rsid w:val="003019D6"/>
    <w:rsid w:val="00304A4D"/>
    <w:rsid w:val="0030555B"/>
    <w:rsid w:val="003104E9"/>
    <w:rsid w:val="003118D5"/>
    <w:rsid w:val="00312F11"/>
    <w:rsid w:val="0031480B"/>
    <w:rsid w:val="00317CBB"/>
    <w:rsid w:val="00320188"/>
    <w:rsid w:val="00322E41"/>
    <w:rsid w:val="003233AB"/>
    <w:rsid w:val="00326FF0"/>
    <w:rsid w:val="0033415F"/>
    <w:rsid w:val="00334946"/>
    <w:rsid w:val="003458E0"/>
    <w:rsid w:val="00351E3C"/>
    <w:rsid w:val="00354A74"/>
    <w:rsid w:val="0036174F"/>
    <w:rsid w:val="00361AED"/>
    <w:rsid w:val="00363377"/>
    <w:rsid w:val="00364878"/>
    <w:rsid w:val="00364C74"/>
    <w:rsid w:val="00365688"/>
    <w:rsid w:val="003706C5"/>
    <w:rsid w:val="00373B6B"/>
    <w:rsid w:val="0037505A"/>
    <w:rsid w:val="003839EB"/>
    <w:rsid w:val="003863F5"/>
    <w:rsid w:val="00393898"/>
    <w:rsid w:val="003950AA"/>
    <w:rsid w:val="00397172"/>
    <w:rsid w:val="00397DE9"/>
    <w:rsid w:val="003A66F6"/>
    <w:rsid w:val="003A7544"/>
    <w:rsid w:val="003B0D5A"/>
    <w:rsid w:val="003B64CD"/>
    <w:rsid w:val="003B7A7E"/>
    <w:rsid w:val="003C2F73"/>
    <w:rsid w:val="003C3702"/>
    <w:rsid w:val="003C6DF2"/>
    <w:rsid w:val="003D33EA"/>
    <w:rsid w:val="003D3A61"/>
    <w:rsid w:val="003E1612"/>
    <w:rsid w:val="003E201A"/>
    <w:rsid w:val="003E25F5"/>
    <w:rsid w:val="003E526C"/>
    <w:rsid w:val="003F498E"/>
    <w:rsid w:val="003F4F94"/>
    <w:rsid w:val="003F59C8"/>
    <w:rsid w:val="00403F05"/>
    <w:rsid w:val="00406614"/>
    <w:rsid w:val="00412D13"/>
    <w:rsid w:val="004154AF"/>
    <w:rsid w:val="00415E23"/>
    <w:rsid w:val="00420552"/>
    <w:rsid w:val="00420FD6"/>
    <w:rsid w:val="00424B14"/>
    <w:rsid w:val="00430561"/>
    <w:rsid w:val="00430A37"/>
    <w:rsid w:val="00430EDA"/>
    <w:rsid w:val="0043394F"/>
    <w:rsid w:val="00434272"/>
    <w:rsid w:val="00435F79"/>
    <w:rsid w:val="004373B1"/>
    <w:rsid w:val="00437C51"/>
    <w:rsid w:val="00452822"/>
    <w:rsid w:val="0045431C"/>
    <w:rsid w:val="0045790A"/>
    <w:rsid w:val="004606AC"/>
    <w:rsid w:val="00461B7E"/>
    <w:rsid w:val="004623EA"/>
    <w:rsid w:val="004637DC"/>
    <w:rsid w:val="00463E7A"/>
    <w:rsid w:val="004665EF"/>
    <w:rsid w:val="0047095C"/>
    <w:rsid w:val="0047147D"/>
    <w:rsid w:val="0048655C"/>
    <w:rsid w:val="00491AC7"/>
    <w:rsid w:val="0049430E"/>
    <w:rsid w:val="00496EFA"/>
    <w:rsid w:val="00496F91"/>
    <w:rsid w:val="004A1F3E"/>
    <w:rsid w:val="004A2B5B"/>
    <w:rsid w:val="004A2E0E"/>
    <w:rsid w:val="004A4D39"/>
    <w:rsid w:val="004A4E9F"/>
    <w:rsid w:val="004A5769"/>
    <w:rsid w:val="004A5C22"/>
    <w:rsid w:val="004B1F26"/>
    <w:rsid w:val="004B2224"/>
    <w:rsid w:val="004B29EC"/>
    <w:rsid w:val="004B4591"/>
    <w:rsid w:val="004B728A"/>
    <w:rsid w:val="004B73EB"/>
    <w:rsid w:val="004B7611"/>
    <w:rsid w:val="004C248C"/>
    <w:rsid w:val="004D176D"/>
    <w:rsid w:val="004D22B8"/>
    <w:rsid w:val="004D2FC3"/>
    <w:rsid w:val="004D586C"/>
    <w:rsid w:val="004D63CB"/>
    <w:rsid w:val="004D711F"/>
    <w:rsid w:val="004E23A5"/>
    <w:rsid w:val="004E3411"/>
    <w:rsid w:val="004E4669"/>
    <w:rsid w:val="004F0D31"/>
    <w:rsid w:val="004F1630"/>
    <w:rsid w:val="004F28F9"/>
    <w:rsid w:val="004F6471"/>
    <w:rsid w:val="004F7C74"/>
    <w:rsid w:val="005066B9"/>
    <w:rsid w:val="005078E9"/>
    <w:rsid w:val="00513077"/>
    <w:rsid w:val="0052264E"/>
    <w:rsid w:val="00523882"/>
    <w:rsid w:val="00524653"/>
    <w:rsid w:val="0053227D"/>
    <w:rsid w:val="0054556E"/>
    <w:rsid w:val="00545982"/>
    <w:rsid w:val="00545A61"/>
    <w:rsid w:val="00546715"/>
    <w:rsid w:val="005508B1"/>
    <w:rsid w:val="00551F5E"/>
    <w:rsid w:val="00555121"/>
    <w:rsid w:val="005616DE"/>
    <w:rsid w:val="00562F65"/>
    <w:rsid w:val="00563612"/>
    <w:rsid w:val="005705BA"/>
    <w:rsid w:val="00575E50"/>
    <w:rsid w:val="00582BA2"/>
    <w:rsid w:val="005930E9"/>
    <w:rsid w:val="00593B67"/>
    <w:rsid w:val="00594D2B"/>
    <w:rsid w:val="005A2604"/>
    <w:rsid w:val="005A3D49"/>
    <w:rsid w:val="005A5049"/>
    <w:rsid w:val="005B038E"/>
    <w:rsid w:val="005B0ADC"/>
    <w:rsid w:val="005B0CBF"/>
    <w:rsid w:val="005B4CF8"/>
    <w:rsid w:val="005C0751"/>
    <w:rsid w:val="005C2B6E"/>
    <w:rsid w:val="005C338E"/>
    <w:rsid w:val="005C607F"/>
    <w:rsid w:val="005C64DD"/>
    <w:rsid w:val="005C6C02"/>
    <w:rsid w:val="005D0053"/>
    <w:rsid w:val="005E1285"/>
    <w:rsid w:val="005E189E"/>
    <w:rsid w:val="005E4C32"/>
    <w:rsid w:val="005E6493"/>
    <w:rsid w:val="005F03EA"/>
    <w:rsid w:val="005F2268"/>
    <w:rsid w:val="005F2EC1"/>
    <w:rsid w:val="005F66DB"/>
    <w:rsid w:val="006006DC"/>
    <w:rsid w:val="00601C14"/>
    <w:rsid w:val="00603D98"/>
    <w:rsid w:val="00604A3B"/>
    <w:rsid w:val="00607245"/>
    <w:rsid w:val="00615BB9"/>
    <w:rsid w:val="00624DA3"/>
    <w:rsid w:val="006258DE"/>
    <w:rsid w:val="00625F7E"/>
    <w:rsid w:val="006271B0"/>
    <w:rsid w:val="00630103"/>
    <w:rsid w:val="00635030"/>
    <w:rsid w:val="00636B64"/>
    <w:rsid w:val="006370FD"/>
    <w:rsid w:val="00637120"/>
    <w:rsid w:val="006424A0"/>
    <w:rsid w:val="00642BEE"/>
    <w:rsid w:val="00643CA6"/>
    <w:rsid w:val="006454C1"/>
    <w:rsid w:val="00661BEE"/>
    <w:rsid w:val="00662C1A"/>
    <w:rsid w:val="00666699"/>
    <w:rsid w:val="00667664"/>
    <w:rsid w:val="00673063"/>
    <w:rsid w:val="00680E01"/>
    <w:rsid w:val="00686A07"/>
    <w:rsid w:val="00691C06"/>
    <w:rsid w:val="006924BF"/>
    <w:rsid w:val="00692F0D"/>
    <w:rsid w:val="006C1097"/>
    <w:rsid w:val="006C11CF"/>
    <w:rsid w:val="006C177C"/>
    <w:rsid w:val="006C1B0C"/>
    <w:rsid w:val="006C59F9"/>
    <w:rsid w:val="006C5D34"/>
    <w:rsid w:val="006C7384"/>
    <w:rsid w:val="006D5143"/>
    <w:rsid w:val="006F0EE9"/>
    <w:rsid w:val="006F7693"/>
    <w:rsid w:val="006F793F"/>
    <w:rsid w:val="007035DB"/>
    <w:rsid w:val="00705639"/>
    <w:rsid w:val="0070659B"/>
    <w:rsid w:val="007125C2"/>
    <w:rsid w:val="007161AC"/>
    <w:rsid w:val="00721FA3"/>
    <w:rsid w:val="00723918"/>
    <w:rsid w:val="007271BD"/>
    <w:rsid w:val="00731725"/>
    <w:rsid w:val="00740B4C"/>
    <w:rsid w:val="00741198"/>
    <w:rsid w:val="0074236C"/>
    <w:rsid w:val="0074386F"/>
    <w:rsid w:val="007445DF"/>
    <w:rsid w:val="007450A8"/>
    <w:rsid w:val="00746AF4"/>
    <w:rsid w:val="00750D60"/>
    <w:rsid w:val="0075177F"/>
    <w:rsid w:val="007545FE"/>
    <w:rsid w:val="007552F2"/>
    <w:rsid w:val="00764C49"/>
    <w:rsid w:val="00765A21"/>
    <w:rsid w:val="00771E8F"/>
    <w:rsid w:val="0077261A"/>
    <w:rsid w:val="00773A94"/>
    <w:rsid w:val="007742D7"/>
    <w:rsid w:val="00774FF2"/>
    <w:rsid w:val="00780D35"/>
    <w:rsid w:val="00782196"/>
    <w:rsid w:val="00783388"/>
    <w:rsid w:val="00784E10"/>
    <w:rsid w:val="00785E39"/>
    <w:rsid w:val="00787B75"/>
    <w:rsid w:val="0079056D"/>
    <w:rsid w:val="00790AEC"/>
    <w:rsid w:val="0079371F"/>
    <w:rsid w:val="00794165"/>
    <w:rsid w:val="007A0CF4"/>
    <w:rsid w:val="007A4A3F"/>
    <w:rsid w:val="007A6BD2"/>
    <w:rsid w:val="007B05F2"/>
    <w:rsid w:val="007B0EB6"/>
    <w:rsid w:val="007B1D17"/>
    <w:rsid w:val="007B2208"/>
    <w:rsid w:val="007B239F"/>
    <w:rsid w:val="007C08B5"/>
    <w:rsid w:val="007C0FA3"/>
    <w:rsid w:val="007C4258"/>
    <w:rsid w:val="007D1432"/>
    <w:rsid w:val="007D1C90"/>
    <w:rsid w:val="007D2016"/>
    <w:rsid w:val="007D5274"/>
    <w:rsid w:val="007D6B60"/>
    <w:rsid w:val="007E0626"/>
    <w:rsid w:val="007E101B"/>
    <w:rsid w:val="007E2B85"/>
    <w:rsid w:val="007E3827"/>
    <w:rsid w:val="007F6DFA"/>
    <w:rsid w:val="008034A0"/>
    <w:rsid w:val="008070D2"/>
    <w:rsid w:val="008145FA"/>
    <w:rsid w:val="008168AC"/>
    <w:rsid w:val="00821F89"/>
    <w:rsid w:val="008225C8"/>
    <w:rsid w:val="00822FF4"/>
    <w:rsid w:val="00834482"/>
    <w:rsid w:val="008363A5"/>
    <w:rsid w:val="0083765A"/>
    <w:rsid w:val="00841AF2"/>
    <w:rsid w:val="008439F8"/>
    <w:rsid w:val="008442F7"/>
    <w:rsid w:val="00844EA9"/>
    <w:rsid w:val="008466B6"/>
    <w:rsid w:val="0084676C"/>
    <w:rsid w:val="00847CDC"/>
    <w:rsid w:val="00853872"/>
    <w:rsid w:val="008550D6"/>
    <w:rsid w:val="0086020F"/>
    <w:rsid w:val="00863E53"/>
    <w:rsid w:val="0087195B"/>
    <w:rsid w:val="00872697"/>
    <w:rsid w:val="008818DC"/>
    <w:rsid w:val="00885ADC"/>
    <w:rsid w:val="008862C5"/>
    <w:rsid w:val="00886884"/>
    <w:rsid w:val="00890A7F"/>
    <w:rsid w:val="0089134D"/>
    <w:rsid w:val="008A1975"/>
    <w:rsid w:val="008A54C9"/>
    <w:rsid w:val="008B2C01"/>
    <w:rsid w:val="008B2C09"/>
    <w:rsid w:val="008B2C76"/>
    <w:rsid w:val="008B4793"/>
    <w:rsid w:val="008B66C0"/>
    <w:rsid w:val="008C2DA1"/>
    <w:rsid w:val="008C5F4D"/>
    <w:rsid w:val="008C6287"/>
    <w:rsid w:val="008C77D6"/>
    <w:rsid w:val="008C7F2A"/>
    <w:rsid w:val="008D074D"/>
    <w:rsid w:val="008D1DF3"/>
    <w:rsid w:val="008D2A2B"/>
    <w:rsid w:val="008D2DD2"/>
    <w:rsid w:val="008D2F4D"/>
    <w:rsid w:val="008D53B6"/>
    <w:rsid w:val="008D7088"/>
    <w:rsid w:val="008E021F"/>
    <w:rsid w:val="008E2CF9"/>
    <w:rsid w:val="008E3364"/>
    <w:rsid w:val="008E436F"/>
    <w:rsid w:val="008E756A"/>
    <w:rsid w:val="008E7DD8"/>
    <w:rsid w:val="008F2606"/>
    <w:rsid w:val="008F3249"/>
    <w:rsid w:val="00900979"/>
    <w:rsid w:val="00907683"/>
    <w:rsid w:val="009170CF"/>
    <w:rsid w:val="00921536"/>
    <w:rsid w:val="00923CD0"/>
    <w:rsid w:val="00927632"/>
    <w:rsid w:val="0093351D"/>
    <w:rsid w:val="009407DC"/>
    <w:rsid w:val="00944BF3"/>
    <w:rsid w:val="0094585D"/>
    <w:rsid w:val="00945CFE"/>
    <w:rsid w:val="00951C9F"/>
    <w:rsid w:val="00951EAE"/>
    <w:rsid w:val="0095508D"/>
    <w:rsid w:val="009551BA"/>
    <w:rsid w:val="00956E49"/>
    <w:rsid w:val="00962AB4"/>
    <w:rsid w:val="00963C66"/>
    <w:rsid w:val="00967D9D"/>
    <w:rsid w:val="009739E0"/>
    <w:rsid w:val="009761ED"/>
    <w:rsid w:val="0098163F"/>
    <w:rsid w:val="009853A7"/>
    <w:rsid w:val="009927BA"/>
    <w:rsid w:val="0099688A"/>
    <w:rsid w:val="0099734D"/>
    <w:rsid w:val="00997E2B"/>
    <w:rsid w:val="009A20F0"/>
    <w:rsid w:val="009A2251"/>
    <w:rsid w:val="009A257F"/>
    <w:rsid w:val="009A4D6D"/>
    <w:rsid w:val="009A50D9"/>
    <w:rsid w:val="009A5BE8"/>
    <w:rsid w:val="009B3472"/>
    <w:rsid w:val="009B76D1"/>
    <w:rsid w:val="009B7794"/>
    <w:rsid w:val="009C2C6C"/>
    <w:rsid w:val="009C4F2E"/>
    <w:rsid w:val="009C5EB4"/>
    <w:rsid w:val="009D0564"/>
    <w:rsid w:val="009D1BC1"/>
    <w:rsid w:val="009D2A54"/>
    <w:rsid w:val="009D39F9"/>
    <w:rsid w:val="009D4525"/>
    <w:rsid w:val="009D492F"/>
    <w:rsid w:val="009E1CC6"/>
    <w:rsid w:val="009E3066"/>
    <w:rsid w:val="009E3B97"/>
    <w:rsid w:val="009E5CE6"/>
    <w:rsid w:val="009E66EF"/>
    <w:rsid w:val="009F15C6"/>
    <w:rsid w:val="009F1A10"/>
    <w:rsid w:val="009F218C"/>
    <w:rsid w:val="009F3355"/>
    <w:rsid w:val="009F7DD2"/>
    <w:rsid w:val="00A02C6A"/>
    <w:rsid w:val="00A04749"/>
    <w:rsid w:val="00A0545C"/>
    <w:rsid w:val="00A05A92"/>
    <w:rsid w:val="00A071E6"/>
    <w:rsid w:val="00A106B9"/>
    <w:rsid w:val="00A10845"/>
    <w:rsid w:val="00A10E09"/>
    <w:rsid w:val="00A15BD8"/>
    <w:rsid w:val="00A20EE7"/>
    <w:rsid w:val="00A20F53"/>
    <w:rsid w:val="00A2560B"/>
    <w:rsid w:val="00A26537"/>
    <w:rsid w:val="00A26A2F"/>
    <w:rsid w:val="00A412E9"/>
    <w:rsid w:val="00A42B51"/>
    <w:rsid w:val="00A440FF"/>
    <w:rsid w:val="00A53BBC"/>
    <w:rsid w:val="00A53D8F"/>
    <w:rsid w:val="00A54D60"/>
    <w:rsid w:val="00A65877"/>
    <w:rsid w:val="00A7124F"/>
    <w:rsid w:val="00A73DF6"/>
    <w:rsid w:val="00A7405B"/>
    <w:rsid w:val="00A81F79"/>
    <w:rsid w:val="00A83A07"/>
    <w:rsid w:val="00A84975"/>
    <w:rsid w:val="00A86E24"/>
    <w:rsid w:val="00A905C4"/>
    <w:rsid w:val="00A91427"/>
    <w:rsid w:val="00A95CE3"/>
    <w:rsid w:val="00A9696D"/>
    <w:rsid w:val="00A96C7C"/>
    <w:rsid w:val="00A96EB5"/>
    <w:rsid w:val="00AA07F8"/>
    <w:rsid w:val="00AA674A"/>
    <w:rsid w:val="00AA73CC"/>
    <w:rsid w:val="00AA7D7B"/>
    <w:rsid w:val="00AB2173"/>
    <w:rsid w:val="00AB3C3F"/>
    <w:rsid w:val="00AC0E8A"/>
    <w:rsid w:val="00AC1DCC"/>
    <w:rsid w:val="00AC3BA4"/>
    <w:rsid w:val="00AE2BA7"/>
    <w:rsid w:val="00AF09C8"/>
    <w:rsid w:val="00AF223F"/>
    <w:rsid w:val="00AF6832"/>
    <w:rsid w:val="00B028ED"/>
    <w:rsid w:val="00B05CD4"/>
    <w:rsid w:val="00B06A89"/>
    <w:rsid w:val="00B13365"/>
    <w:rsid w:val="00B169F9"/>
    <w:rsid w:val="00B175AF"/>
    <w:rsid w:val="00B20C0E"/>
    <w:rsid w:val="00B233EC"/>
    <w:rsid w:val="00B23D26"/>
    <w:rsid w:val="00B23F01"/>
    <w:rsid w:val="00B26A85"/>
    <w:rsid w:val="00B26DC9"/>
    <w:rsid w:val="00B274D7"/>
    <w:rsid w:val="00B27B52"/>
    <w:rsid w:val="00B33555"/>
    <w:rsid w:val="00B3511A"/>
    <w:rsid w:val="00B358E3"/>
    <w:rsid w:val="00B417DF"/>
    <w:rsid w:val="00B43439"/>
    <w:rsid w:val="00B458F5"/>
    <w:rsid w:val="00B4694A"/>
    <w:rsid w:val="00B524A5"/>
    <w:rsid w:val="00B5308A"/>
    <w:rsid w:val="00B53098"/>
    <w:rsid w:val="00B53E0F"/>
    <w:rsid w:val="00B54596"/>
    <w:rsid w:val="00B56688"/>
    <w:rsid w:val="00B56987"/>
    <w:rsid w:val="00B57872"/>
    <w:rsid w:val="00B60FC0"/>
    <w:rsid w:val="00B6428E"/>
    <w:rsid w:val="00B645FB"/>
    <w:rsid w:val="00B64721"/>
    <w:rsid w:val="00B65382"/>
    <w:rsid w:val="00B65473"/>
    <w:rsid w:val="00B655A6"/>
    <w:rsid w:val="00B70A1C"/>
    <w:rsid w:val="00B70CF7"/>
    <w:rsid w:val="00B7120E"/>
    <w:rsid w:val="00B722D1"/>
    <w:rsid w:val="00B72649"/>
    <w:rsid w:val="00B727A8"/>
    <w:rsid w:val="00B75BEB"/>
    <w:rsid w:val="00B76DDA"/>
    <w:rsid w:val="00B77E8A"/>
    <w:rsid w:val="00B80B35"/>
    <w:rsid w:val="00B82D2A"/>
    <w:rsid w:val="00B835A7"/>
    <w:rsid w:val="00B84019"/>
    <w:rsid w:val="00B8675E"/>
    <w:rsid w:val="00B90427"/>
    <w:rsid w:val="00B91F46"/>
    <w:rsid w:val="00BA1F04"/>
    <w:rsid w:val="00BB374C"/>
    <w:rsid w:val="00BB3E24"/>
    <w:rsid w:val="00BB4F42"/>
    <w:rsid w:val="00BB5BB4"/>
    <w:rsid w:val="00BB64DA"/>
    <w:rsid w:val="00BC23B6"/>
    <w:rsid w:val="00BC3937"/>
    <w:rsid w:val="00BC4920"/>
    <w:rsid w:val="00BC716C"/>
    <w:rsid w:val="00BC77A0"/>
    <w:rsid w:val="00BD0A0C"/>
    <w:rsid w:val="00BD17B0"/>
    <w:rsid w:val="00BD2C3C"/>
    <w:rsid w:val="00BD3480"/>
    <w:rsid w:val="00BD4955"/>
    <w:rsid w:val="00BD4DDE"/>
    <w:rsid w:val="00BD648F"/>
    <w:rsid w:val="00BE17F2"/>
    <w:rsid w:val="00BF46FB"/>
    <w:rsid w:val="00BF4802"/>
    <w:rsid w:val="00C01410"/>
    <w:rsid w:val="00C0141C"/>
    <w:rsid w:val="00C028FF"/>
    <w:rsid w:val="00C04135"/>
    <w:rsid w:val="00C12127"/>
    <w:rsid w:val="00C126FE"/>
    <w:rsid w:val="00C1619F"/>
    <w:rsid w:val="00C22481"/>
    <w:rsid w:val="00C24ACF"/>
    <w:rsid w:val="00C26223"/>
    <w:rsid w:val="00C26A0C"/>
    <w:rsid w:val="00C26CCF"/>
    <w:rsid w:val="00C330CB"/>
    <w:rsid w:val="00C35006"/>
    <w:rsid w:val="00C36D6F"/>
    <w:rsid w:val="00C36DAE"/>
    <w:rsid w:val="00C3793D"/>
    <w:rsid w:val="00C4003A"/>
    <w:rsid w:val="00C40835"/>
    <w:rsid w:val="00C40B4E"/>
    <w:rsid w:val="00C470A8"/>
    <w:rsid w:val="00C51379"/>
    <w:rsid w:val="00C53245"/>
    <w:rsid w:val="00C54372"/>
    <w:rsid w:val="00C57475"/>
    <w:rsid w:val="00C6095B"/>
    <w:rsid w:val="00C6334E"/>
    <w:rsid w:val="00C661C7"/>
    <w:rsid w:val="00C707AD"/>
    <w:rsid w:val="00C71343"/>
    <w:rsid w:val="00C73365"/>
    <w:rsid w:val="00C75251"/>
    <w:rsid w:val="00C7563F"/>
    <w:rsid w:val="00C80DAD"/>
    <w:rsid w:val="00C825DF"/>
    <w:rsid w:val="00C8319A"/>
    <w:rsid w:val="00C8471B"/>
    <w:rsid w:val="00C90D89"/>
    <w:rsid w:val="00C9243D"/>
    <w:rsid w:val="00C92714"/>
    <w:rsid w:val="00C948F7"/>
    <w:rsid w:val="00CA2948"/>
    <w:rsid w:val="00CA2A91"/>
    <w:rsid w:val="00CA3426"/>
    <w:rsid w:val="00CA6544"/>
    <w:rsid w:val="00CB540A"/>
    <w:rsid w:val="00CB6D99"/>
    <w:rsid w:val="00CC3D51"/>
    <w:rsid w:val="00CC48B7"/>
    <w:rsid w:val="00CD03A4"/>
    <w:rsid w:val="00CD35A5"/>
    <w:rsid w:val="00CD5FA9"/>
    <w:rsid w:val="00CD7C75"/>
    <w:rsid w:val="00CE030A"/>
    <w:rsid w:val="00CE151E"/>
    <w:rsid w:val="00CE418D"/>
    <w:rsid w:val="00CF0E13"/>
    <w:rsid w:val="00CF218D"/>
    <w:rsid w:val="00CF241D"/>
    <w:rsid w:val="00CF34EF"/>
    <w:rsid w:val="00CF3866"/>
    <w:rsid w:val="00CF4333"/>
    <w:rsid w:val="00CF52F1"/>
    <w:rsid w:val="00CF7D1E"/>
    <w:rsid w:val="00D0063A"/>
    <w:rsid w:val="00D016F0"/>
    <w:rsid w:val="00D027E7"/>
    <w:rsid w:val="00D03ECA"/>
    <w:rsid w:val="00D0705E"/>
    <w:rsid w:val="00D11B30"/>
    <w:rsid w:val="00D1641A"/>
    <w:rsid w:val="00D202D4"/>
    <w:rsid w:val="00D31AF7"/>
    <w:rsid w:val="00D41289"/>
    <w:rsid w:val="00D42AD9"/>
    <w:rsid w:val="00D50BD6"/>
    <w:rsid w:val="00D5686A"/>
    <w:rsid w:val="00D573B6"/>
    <w:rsid w:val="00D5753D"/>
    <w:rsid w:val="00D61CCB"/>
    <w:rsid w:val="00D64499"/>
    <w:rsid w:val="00D64EE9"/>
    <w:rsid w:val="00D66499"/>
    <w:rsid w:val="00D71B87"/>
    <w:rsid w:val="00D724E3"/>
    <w:rsid w:val="00D744B2"/>
    <w:rsid w:val="00D75797"/>
    <w:rsid w:val="00D80DE8"/>
    <w:rsid w:val="00D81D15"/>
    <w:rsid w:val="00D830AC"/>
    <w:rsid w:val="00D839EF"/>
    <w:rsid w:val="00D8671B"/>
    <w:rsid w:val="00DA4EA4"/>
    <w:rsid w:val="00DB151A"/>
    <w:rsid w:val="00DB506A"/>
    <w:rsid w:val="00DC0244"/>
    <w:rsid w:val="00DC19B2"/>
    <w:rsid w:val="00DC75A8"/>
    <w:rsid w:val="00DD1462"/>
    <w:rsid w:val="00DD56E9"/>
    <w:rsid w:val="00DE11F9"/>
    <w:rsid w:val="00DE1394"/>
    <w:rsid w:val="00DE284C"/>
    <w:rsid w:val="00DE6AEE"/>
    <w:rsid w:val="00DF0FC6"/>
    <w:rsid w:val="00DF535C"/>
    <w:rsid w:val="00DF58FC"/>
    <w:rsid w:val="00DF7ABB"/>
    <w:rsid w:val="00E17155"/>
    <w:rsid w:val="00E23F61"/>
    <w:rsid w:val="00E24A3A"/>
    <w:rsid w:val="00E2517A"/>
    <w:rsid w:val="00E302E2"/>
    <w:rsid w:val="00E30A9C"/>
    <w:rsid w:val="00E30EFD"/>
    <w:rsid w:val="00E33B07"/>
    <w:rsid w:val="00E40090"/>
    <w:rsid w:val="00E42CCA"/>
    <w:rsid w:val="00E460C3"/>
    <w:rsid w:val="00E46B13"/>
    <w:rsid w:val="00E46B7B"/>
    <w:rsid w:val="00E509D9"/>
    <w:rsid w:val="00E50CBA"/>
    <w:rsid w:val="00E53A83"/>
    <w:rsid w:val="00E53BA2"/>
    <w:rsid w:val="00E53EC4"/>
    <w:rsid w:val="00E55D0D"/>
    <w:rsid w:val="00E60145"/>
    <w:rsid w:val="00E60381"/>
    <w:rsid w:val="00E651DB"/>
    <w:rsid w:val="00E677EC"/>
    <w:rsid w:val="00E67A12"/>
    <w:rsid w:val="00E70B03"/>
    <w:rsid w:val="00E718E6"/>
    <w:rsid w:val="00E75DAB"/>
    <w:rsid w:val="00E821BB"/>
    <w:rsid w:val="00E8247F"/>
    <w:rsid w:val="00E829A8"/>
    <w:rsid w:val="00E82D3F"/>
    <w:rsid w:val="00E8350C"/>
    <w:rsid w:val="00E86AF5"/>
    <w:rsid w:val="00E874E4"/>
    <w:rsid w:val="00E87B71"/>
    <w:rsid w:val="00E96623"/>
    <w:rsid w:val="00EA1E27"/>
    <w:rsid w:val="00EA7380"/>
    <w:rsid w:val="00EB47A9"/>
    <w:rsid w:val="00EB5D26"/>
    <w:rsid w:val="00EB7747"/>
    <w:rsid w:val="00EB78E4"/>
    <w:rsid w:val="00EC2191"/>
    <w:rsid w:val="00ED15EF"/>
    <w:rsid w:val="00ED234A"/>
    <w:rsid w:val="00ED7E51"/>
    <w:rsid w:val="00EE37B7"/>
    <w:rsid w:val="00EE4C5D"/>
    <w:rsid w:val="00EE6DF2"/>
    <w:rsid w:val="00EF0C5B"/>
    <w:rsid w:val="00EF28CD"/>
    <w:rsid w:val="00F10D7E"/>
    <w:rsid w:val="00F11F3A"/>
    <w:rsid w:val="00F13BD9"/>
    <w:rsid w:val="00F147C0"/>
    <w:rsid w:val="00F165F9"/>
    <w:rsid w:val="00F16858"/>
    <w:rsid w:val="00F21F44"/>
    <w:rsid w:val="00F22F3C"/>
    <w:rsid w:val="00F2449D"/>
    <w:rsid w:val="00F301FC"/>
    <w:rsid w:val="00F40F06"/>
    <w:rsid w:val="00F41C7C"/>
    <w:rsid w:val="00F50026"/>
    <w:rsid w:val="00F500B6"/>
    <w:rsid w:val="00F505F0"/>
    <w:rsid w:val="00F51CD2"/>
    <w:rsid w:val="00F522E5"/>
    <w:rsid w:val="00F53FD0"/>
    <w:rsid w:val="00F55AB3"/>
    <w:rsid w:val="00F57AAC"/>
    <w:rsid w:val="00F60F35"/>
    <w:rsid w:val="00F61726"/>
    <w:rsid w:val="00F640AD"/>
    <w:rsid w:val="00F70637"/>
    <w:rsid w:val="00F70FD5"/>
    <w:rsid w:val="00F71425"/>
    <w:rsid w:val="00F773FF"/>
    <w:rsid w:val="00F819BA"/>
    <w:rsid w:val="00F875D0"/>
    <w:rsid w:val="00F90ECF"/>
    <w:rsid w:val="00F92253"/>
    <w:rsid w:val="00F932E1"/>
    <w:rsid w:val="00F93E74"/>
    <w:rsid w:val="00F95BA1"/>
    <w:rsid w:val="00F95FD8"/>
    <w:rsid w:val="00F96ABE"/>
    <w:rsid w:val="00F9720C"/>
    <w:rsid w:val="00F972BD"/>
    <w:rsid w:val="00FA00A8"/>
    <w:rsid w:val="00FA46C7"/>
    <w:rsid w:val="00FA72C5"/>
    <w:rsid w:val="00FA777C"/>
    <w:rsid w:val="00FB0AB3"/>
    <w:rsid w:val="00FB0CE3"/>
    <w:rsid w:val="00FB1042"/>
    <w:rsid w:val="00FB6D34"/>
    <w:rsid w:val="00FB7847"/>
    <w:rsid w:val="00FC3FE8"/>
    <w:rsid w:val="00FC4243"/>
    <w:rsid w:val="00FD49D0"/>
    <w:rsid w:val="00FD57E6"/>
    <w:rsid w:val="00FD5ED2"/>
    <w:rsid w:val="00FD77A9"/>
    <w:rsid w:val="00FD7C3E"/>
    <w:rsid w:val="00FF30B7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F04"/>
    <w:pPr>
      <w:ind w:firstLine="170"/>
      <w:jc w:val="both"/>
    </w:pPr>
    <w:rPr>
      <w:rFonts w:ascii="Times New Roman" w:eastAsia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028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151A"/>
    <w:rPr>
      <w:rFonts w:ascii="Cambria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rsid w:val="00625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625F7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39389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Hypertextovodkaz">
    <w:name w:val="Hyperlink"/>
    <w:basedOn w:val="Standardnpsmoodstavce"/>
    <w:uiPriority w:val="99"/>
    <w:rsid w:val="00183F09"/>
    <w:rPr>
      <w:rFonts w:cs="Times New Roman"/>
      <w:color w:val="0000FF"/>
      <w:u w:val="single"/>
    </w:rPr>
  </w:style>
  <w:style w:type="paragraph" w:customStyle="1" w:styleId="Fig">
    <w:name w:val="Fig"/>
    <w:uiPriority w:val="99"/>
    <w:rsid w:val="00BA1F04"/>
    <w:pPr>
      <w:jc w:val="both"/>
    </w:pPr>
    <w:rPr>
      <w:rFonts w:ascii="Times New Roman" w:eastAsia="Times New Roman" w:hAnsi="Times New Roman"/>
      <w:i/>
      <w:color w:val="000000"/>
      <w:szCs w:val="24"/>
      <w:lang w:val="en-US" w:eastAsia="en-US"/>
    </w:rPr>
  </w:style>
  <w:style w:type="table" w:styleId="Mkatabulky">
    <w:name w:val="Table Grid"/>
    <w:basedOn w:val="Normlntabulka"/>
    <w:uiPriority w:val="99"/>
    <w:rsid w:val="006C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C17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177C"/>
    <w:rPr>
      <w:rFonts w:ascii="Tahoma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E86AF5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E86AF5"/>
    <w:rPr>
      <w:rFonts w:ascii="Arial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E86AF5"/>
    <w:rPr>
      <w:rFonts w:cs="Times New Roman"/>
      <w:vertAlign w:val="superscript"/>
    </w:rPr>
  </w:style>
  <w:style w:type="paragraph" w:customStyle="1" w:styleId="Ref">
    <w:name w:val="Ref"/>
    <w:uiPriority w:val="99"/>
    <w:rsid w:val="00BA1F04"/>
    <w:rPr>
      <w:rFonts w:ascii="Times New Roman" w:eastAsia="Times New Roman" w:hAnsi="Times New Roman"/>
    </w:rPr>
  </w:style>
  <w:style w:type="character" w:styleId="CittHTML">
    <w:name w:val="HTML Cite"/>
    <w:basedOn w:val="Standardnpsmoodstavce"/>
    <w:uiPriority w:val="99"/>
    <w:rsid w:val="00424B14"/>
    <w:rPr>
      <w:rFonts w:cs="Times New Roman"/>
      <w:i/>
      <w:iCs/>
    </w:rPr>
  </w:style>
  <w:style w:type="paragraph" w:customStyle="1" w:styleId="Ref2">
    <w:name w:val="Ref2"/>
    <w:basedOn w:val="Ref"/>
    <w:uiPriority w:val="99"/>
    <w:rsid w:val="00642BEE"/>
    <w:pPr>
      <w:ind w:left="180" w:hanging="180"/>
    </w:pPr>
  </w:style>
  <w:style w:type="paragraph" w:styleId="Odstavecseseznamem">
    <w:name w:val="List Paragraph"/>
    <w:basedOn w:val="Normln"/>
    <w:uiPriority w:val="34"/>
    <w:qFormat/>
    <w:rsid w:val="001400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Nanočástice jsou velmi malé částice s rozměrem od 1 do 100 nanometrů</vt:lpstr>
    </vt:vector>
  </TitlesOfParts>
  <Company>Biochemie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Nanočástice jsou velmi malé částice s rozměrem od 1 do 100 nanometrů</dc:title>
  <dc:subject/>
  <dc:creator>Zdeniczka</dc:creator>
  <cp:keywords/>
  <dc:description/>
  <cp:lastModifiedBy>Uživatel</cp:lastModifiedBy>
  <cp:revision>24</cp:revision>
  <dcterms:created xsi:type="dcterms:W3CDTF">2016-12-04T17:22:00Z</dcterms:created>
  <dcterms:modified xsi:type="dcterms:W3CDTF">2017-01-18T09:38:00Z</dcterms:modified>
</cp:coreProperties>
</file>