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B" w:rsidRPr="00755F17" w:rsidRDefault="000627CB" w:rsidP="000627CB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3</w:t>
      </w:r>
      <w:r w:rsidRPr="00755F17">
        <w:rPr>
          <w:szCs w:val="32"/>
        </w:rPr>
        <w:t>.</w:t>
      </w:r>
      <w:r>
        <w:rPr>
          <w:szCs w:val="32"/>
        </w:rPr>
        <w:t>1.</w:t>
      </w:r>
      <w:r w:rsidRPr="00755F17">
        <w:rPr>
          <w:szCs w:val="32"/>
        </w:rPr>
        <w:t xml:space="preserve">  </w:t>
      </w:r>
      <w:r>
        <w:rPr>
          <w:szCs w:val="32"/>
        </w:rPr>
        <w:t>Historie</w:t>
      </w:r>
    </w:p>
    <w:p w:rsidR="000627CB" w:rsidRDefault="000627CB" w:rsidP="000627CB">
      <w:pPr>
        <w:ind w:firstLine="0"/>
        <w:jc w:val="both"/>
      </w:pPr>
    </w:p>
    <w:p w:rsidR="00090CCD" w:rsidRDefault="00090CCD" w:rsidP="00C11230">
      <w:pPr>
        <w:spacing w:before="120"/>
        <w:jc w:val="both"/>
        <w:rPr>
          <w:rFonts w:cs="Times New Roman"/>
          <w:szCs w:val="24"/>
        </w:rPr>
      </w:pPr>
      <w:r w:rsidRPr="00C11230">
        <w:t>První</w:t>
      </w:r>
      <w:r>
        <w:rPr>
          <w:rFonts w:cs="Times New Roman"/>
          <w:szCs w:val="24"/>
        </w:rPr>
        <w:t xml:space="preserve"> nanočástice se objevily již poměrně dávno – v dobách starého Egypta, mluvíme zde o přibližně čtvrtém, či pátém století př. n. l. Staří Egypťané uplatňovali nanočástice </w:t>
      </w:r>
      <w:r>
        <w:rPr>
          <w:rFonts w:cs="Times New Roman"/>
          <w:szCs w:val="24"/>
        </w:rPr>
        <w:br/>
        <w:t>při léčbě úplavice, epilepsie, srdečních nebo sexuálních problém</w:t>
      </w:r>
      <w:r w:rsidR="0020646C">
        <w:rPr>
          <w:rFonts w:cs="Times New Roman"/>
          <w:szCs w:val="24"/>
        </w:rPr>
        <w:t>ů</w:t>
      </w:r>
      <w:r>
        <w:rPr>
          <w:rFonts w:cs="Times New Roman"/>
          <w:szCs w:val="24"/>
        </w:rPr>
        <w:t xml:space="preserve"> nebo při diagnostice nemoci syfi</w:t>
      </w:r>
      <w:r w:rsidR="0020646C">
        <w:rPr>
          <w:rFonts w:cs="Times New Roman"/>
          <w:szCs w:val="24"/>
        </w:rPr>
        <w:t xml:space="preserve">lis. Druhým odvětvím, kde v </w:t>
      </w:r>
      <w:r>
        <w:rPr>
          <w:rFonts w:cs="Times New Roman"/>
          <w:szCs w:val="24"/>
        </w:rPr>
        <w:t xml:space="preserve">těchto dobách nanočástice nalezly využití, byly estetické účely – konkrétně ve formě „rozpustného zlata“ při barvení keramiky nebo výroba rubínového skla. </w:t>
      </w:r>
      <w:r>
        <w:rPr>
          <w:rFonts w:cs="Times New Roman"/>
          <w:szCs w:val="24"/>
        </w:rPr>
        <w:tab/>
      </w:r>
    </w:p>
    <w:p w:rsidR="00090CCD" w:rsidRDefault="00090CCD" w:rsidP="000627CB">
      <w:pPr>
        <w:spacing w:before="120"/>
        <w:jc w:val="both"/>
        <w:rPr>
          <w:rFonts w:cs="Times New Roman"/>
          <w:szCs w:val="24"/>
        </w:rPr>
      </w:pPr>
      <w:r w:rsidRPr="000627CB">
        <w:t>Známé</w:t>
      </w:r>
      <w:r>
        <w:rPr>
          <w:rFonts w:cs="Times New Roman"/>
          <w:szCs w:val="24"/>
        </w:rPr>
        <w:t xml:space="preserve"> jsou také tzv. </w:t>
      </w:r>
      <w:proofErr w:type="spellStart"/>
      <w:r>
        <w:rPr>
          <w:rFonts w:cs="Times New Roman"/>
          <w:szCs w:val="24"/>
        </w:rPr>
        <w:t>Lykurgovy</w:t>
      </w:r>
      <w:proofErr w:type="spellEnd"/>
      <w:r>
        <w:rPr>
          <w:rFonts w:cs="Times New Roman"/>
          <w:szCs w:val="24"/>
        </w:rPr>
        <w:t xml:space="preserve"> poháry pocházející ze čtvrtého století n. l. Předměty podobné těmt</w:t>
      </w:r>
      <w:r w:rsidR="0020646C">
        <w:rPr>
          <w:rFonts w:cs="Times New Roman"/>
          <w:szCs w:val="24"/>
        </w:rPr>
        <w:t xml:space="preserve">o pohárům byly často vyráběny v </w:t>
      </w:r>
      <w:r>
        <w:rPr>
          <w:rFonts w:cs="Times New Roman"/>
          <w:szCs w:val="24"/>
        </w:rPr>
        <w:t xml:space="preserve">období Římské říše. </w:t>
      </w:r>
      <w:proofErr w:type="spellStart"/>
      <w:r>
        <w:rPr>
          <w:rFonts w:cs="Times New Roman"/>
          <w:szCs w:val="24"/>
        </w:rPr>
        <w:t>Lykurg</w:t>
      </w:r>
      <w:r w:rsidR="0020646C">
        <w:rPr>
          <w:rFonts w:cs="Times New Roman"/>
          <w:szCs w:val="24"/>
        </w:rPr>
        <w:t>ovy</w:t>
      </w:r>
      <w:proofErr w:type="spellEnd"/>
      <w:r w:rsidR="0020646C">
        <w:rPr>
          <w:rFonts w:cs="Times New Roman"/>
          <w:szCs w:val="24"/>
        </w:rPr>
        <w:t xml:space="preserve"> poháry jsou v souvislosti s </w:t>
      </w:r>
      <w:r>
        <w:rPr>
          <w:rFonts w:cs="Times New Roman"/>
          <w:szCs w:val="24"/>
        </w:rPr>
        <w:t xml:space="preserve">problematikou nanočástic zmiňovány díky jevu různobarevnosti pohárů. Tento jev je pozorovatelný při různém umístění zdroje světla. Při umístění zdroje dovnitř poháru, </w:t>
      </w:r>
      <w:r>
        <w:rPr>
          <w:rFonts w:cs="Times New Roman"/>
          <w:szCs w:val="24"/>
        </w:rPr>
        <w:br/>
        <w:t xml:space="preserve">se pohár jeví jako červený, zatímco při umístění zdroje vně poháru (tedy odrazu světla </w:t>
      </w:r>
      <w:r>
        <w:rPr>
          <w:rFonts w:cs="Times New Roman"/>
          <w:szCs w:val="24"/>
        </w:rPr>
        <w:br/>
        <w:t>od vnějších stěn)</w:t>
      </w:r>
      <w:r w:rsidR="0020646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pohár vypadá jako zelený</w:t>
      </w:r>
      <w:r w:rsidR="0013167D">
        <w:rPr>
          <w:rFonts w:cs="Times New Roman"/>
          <w:szCs w:val="24"/>
        </w:rPr>
        <w:t xml:space="preserve"> (obrázek 1)</w:t>
      </w:r>
      <w:r>
        <w:rPr>
          <w:rFonts w:cs="Times New Roman"/>
          <w:szCs w:val="24"/>
        </w:rPr>
        <w:t xml:space="preserve">. Studie prokázaly přítomnost malého množství zlatých a stříbrných částic přítomných ve formě </w:t>
      </w:r>
      <w:proofErr w:type="spellStart"/>
      <w:r>
        <w:rPr>
          <w:rFonts w:cs="Times New Roman"/>
          <w:szCs w:val="24"/>
        </w:rPr>
        <w:t>nanokrystalů</w:t>
      </w:r>
      <w:proofErr w:type="spellEnd"/>
      <w:r>
        <w:rPr>
          <w:rFonts w:cs="Times New Roman"/>
          <w:szCs w:val="24"/>
        </w:rPr>
        <w:t xml:space="preserve"> o rozměrech okolo </w:t>
      </w:r>
      <w:r w:rsidR="0013167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70 </w:t>
      </w:r>
      <w:proofErr w:type="spellStart"/>
      <w:r>
        <w:rPr>
          <w:rFonts w:cs="Times New Roman"/>
          <w:szCs w:val="24"/>
        </w:rPr>
        <w:t>nm</w:t>
      </w:r>
      <w:proofErr w:type="spellEnd"/>
      <w:r>
        <w:rPr>
          <w:rFonts w:cs="Times New Roman"/>
          <w:szCs w:val="24"/>
        </w:rPr>
        <w:t xml:space="preserve">. Technologie, pomocí níž byly tyto poháry vyráběny, však není známa </w:t>
      </w:r>
      <w:r w:rsidRPr="00175C07">
        <w:rPr>
          <w:rFonts w:cs="Times New Roman"/>
          <w:szCs w:val="24"/>
        </w:rPr>
        <w:t>[1]</w:t>
      </w:r>
      <w:r>
        <w:rPr>
          <w:rFonts w:cs="Times New Roman"/>
          <w:szCs w:val="24"/>
        </w:rPr>
        <w:t>.</w:t>
      </w:r>
    </w:p>
    <w:p w:rsidR="00090CCD" w:rsidRDefault="006162C9" w:rsidP="006162C9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93345</wp:posOffset>
            </wp:positionV>
            <wp:extent cx="3019425" cy="1638300"/>
            <wp:effectExtent l="19050" t="0" r="9525" b="0"/>
            <wp:wrapNone/>
            <wp:docPr id="3" name="obrázek 5" descr="poh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h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2C9" w:rsidRDefault="006162C9" w:rsidP="006162C9">
      <w:pPr>
        <w:ind w:firstLine="0"/>
        <w:jc w:val="both"/>
        <w:rPr>
          <w:rFonts w:cs="Times New Roman"/>
          <w:szCs w:val="24"/>
        </w:rPr>
      </w:pPr>
    </w:p>
    <w:p w:rsidR="006162C9" w:rsidRDefault="006162C9" w:rsidP="006162C9">
      <w:pPr>
        <w:ind w:firstLine="0"/>
        <w:jc w:val="both"/>
        <w:rPr>
          <w:rFonts w:cs="Times New Roman"/>
          <w:szCs w:val="24"/>
        </w:rPr>
      </w:pPr>
    </w:p>
    <w:p w:rsidR="006162C9" w:rsidRDefault="006162C9" w:rsidP="006162C9">
      <w:pPr>
        <w:ind w:firstLine="0"/>
        <w:jc w:val="both"/>
        <w:rPr>
          <w:rFonts w:cs="Times New Roman"/>
          <w:szCs w:val="24"/>
        </w:rPr>
      </w:pPr>
    </w:p>
    <w:p w:rsidR="006162C9" w:rsidRDefault="006162C9" w:rsidP="006162C9">
      <w:pPr>
        <w:ind w:firstLine="0"/>
        <w:jc w:val="both"/>
        <w:rPr>
          <w:rFonts w:cs="Times New Roman"/>
          <w:szCs w:val="24"/>
        </w:rPr>
      </w:pPr>
    </w:p>
    <w:p w:rsidR="006162C9" w:rsidRDefault="006162C9" w:rsidP="006162C9">
      <w:pPr>
        <w:ind w:firstLine="0"/>
        <w:jc w:val="both"/>
        <w:rPr>
          <w:rFonts w:cs="Times New Roman"/>
          <w:szCs w:val="24"/>
        </w:rPr>
      </w:pPr>
    </w:p>
    <w:p w:rsidR="006162C9" w:rsidRDefault="006162C9" w:rsidP="006162C9">
      <w:pPr>
        <w:ind w:firstLine="0"/>
        <w:jc w:val="both"/>
        <w:rPr>
          <w:rFonts w:cs="Times New Roman"/>
          <w:szCs w:val="24"/>
        </w:rPr>
      </w:pPr>
    </w:p>
    <w:p w:rsidR="00090CCD" w:rsidRPr="00453A17" w:rsidRDefault="00090CCD" w:rsidP="00CE3EBD">
      <w:pPr>
        <w:ind w:firstLine="0"/>
        <w:jc w:val="center"/>
        <w:rPr>
          <w:rFonts w:cs="Times New Roman"/>
          <w:szCs w:val="24"/>
        </w:rPr>
      </w:pPr>
      <w:r w:rsidRPr="00453A17">
        <w:rPr>
          <w:rFonts w:cs="Times New Roman"/>
          <w:szCs w:val="24"/>
        </w:rPr>
        <w:t>Obr</w:t>
      </w:r>
      <w:r w:rsidR="00453A17" w:rsidRPr="00453A17">
        <w:rPr>
          <w:rFonts w:cs="Times New Roman"/>
          <w:szCs w:val="24"/>
        </w:rPr>
        <w:t>ázek</w:t>
      </w:r>
      <w:r w:rsidRPr="00453A17">
        <w:rPr>
          <w:rFonts w:cs="Times New Roman"/>
          <w:szCs w:val="24"/>
        </w:rPr>
        <w:t xml:space="preserve"> 1:  </w:t>
      </w:r>
      <w:proofErr w:type="spellStart"/>
      <w:r w:rsidRPr="00453A17">
        <w:rPr>
          <w:rFonts w:cs="Times New Roman"/>
          <w:szCs w:val="24"/>
        </w:rPr>
        <w:t>Lykurgovy</w:t>
      </w:r>
      <w:proofErr w:type="spellEnd"/>
      <w:r w:rsidRPr="00453A17">
        <w:rPr>
          <w:rFonts w:cs="Times New Roman"/>
          <w:szCs w:val="24"/>
        </w:rPr>
        <w:t xml:space="preserve"> poháry </w:t>
      </w:r>
      <w:r w:rsidRPr="00175C07">
        <w:rPr>
          <w:rFonts w:cs="Times New Roman"/>
          <w:szCs w:val="24"/>
        </w:rPr>
        <w:t>[1]</w:t>
      </w:r>
    </w:p>
    <w:p w:rsidR="00090CCD" w:rsidRPr="00175C07" w:rsidRDefault="00090CCD" w:rsidP="000627CB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</w:t>
      </w:r>
      <w:r w:rsidRPr="000627CB">
        <w:t>roce</w:t>
      </w:r>
      <w:r>
        <w:rPr>
          <w:rFonts w:cs="Times New Roman"/>
          <w:szCs w:val="24"/>
        </w:rPr>
        <w:t xml:space="preserve"> 1857 byl Faradayem oznámen zisk koloidního zlata redukcí roztoku </w:t>
      </w:r>
      <w:proofErr w:type="spellStart"/>
      <w:r>
        <w:rPr>
          <w:rFonts w:cs="Times New Roman"/>
          <w:szCs w:val="24"/>
        </w:rPr>
        <w:t>tetrachlorozlatitanu</w:t>
      </w:r>
      <w:proofErr w:type="spellEnd"/>
      <w:r>
        <w:rPr>
          <w:rFonts w:cs="Times New Roman"/>
          <w:szCs w:val="24"/>
        </w:rPr>
        <w:t xml:space="preserve">. V roce 1861 byly vytvořeny další koloidní kovy. Na rozkvět si oblast nanotechnologie musela počkat ještě sto let, kdy laureát Nobelovy ceny Richard </w:t>
      </w:r>
      <w:proofErr w:type="spellStart"/>
      <w:r>
        <w:rPr>
          <w:rFonts w:cs="Times New Roman"/>
          <w:szCs w:val="24"/>
        </w:rPr>
        <w:t>Feynman</w:t>
      </w:r>
      <w:proofErr w:type="spellEnd"/>
      <w:r>
        <w:rPr>
          <w:rFonts w:cs="Times New Roman"/>
          <w:szCs w:val="24"/>
        </w:rPr>
        <w:t xml:space="preserve"> navrhl směr pro rychle se vyvíjející oblast nanočástic a nanotechnologie. Vědci, kteří </w:t>
      </w:r>
      <w:r w:rsidR="0020646C">
        <w:rPr>
          <w:rFonts w:cs="Times New Roman"/>
          <w:szCs w:val="24"/>
        </w:rPr>
        <w:br/>
        <w:t xml:space="preserve">v </w:t>
      </w:r>
      <w:r>
        <w:rPr>
          <w:rFonts w:cs="Times New Roman"/>
          <w:szCs w:val="24"/>
        </w:rPr>
        <w:t xml:space="preserve">té době již uměli pracovat s atomy, klastry a molekulami, použili atomy a molekuly jako stavební jednotky pro struktury v řádech nanometrů. </w:t>
      </w:r>
      <w:r w:rsidRPr="00175C07">
        <w:rPr>
          <w:rFonts w:cs="Times New Roman"/>
          <w:szCs w:val="24"/>
        </w:rPr>
        <w:t>[2]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87" w:rsidRDefault="00810687" w:rsidP="00445089">
      <w:pPr>
        <w:spacing w:line="240" w:lineRule="auto"/>
      </w:pPr>
      <w:r>
        <w:separator/>
      </w:r>
    </w:p>
  </w:endnote>
  <w:endnote w:type="continuationSeparator" w:id="0">
    <w:p w:rsidR="00810687" w:rsidRDefault="00810687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1E05A6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796B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87" w:rsidRDefault="00810687" w:rsidP="00445089">
      <w:pPr>
        <w:spacing w:line="240" w:lineRule="auto"/>
      </w:pPr>
      <w:r>
        <w:separator/>
      </w:r>
    </w:p>
  </w:footnote>
  <w:footnote w:type="continuationSeparator" w:id="0">
    <w:p w:rsidR="00810687" w:rsidRDefault="00810687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05A6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9E2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96B91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0687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1D9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18B9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76F63F5-3992-4182-92EA-2727E7BD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2017-01-05T13:46:00Z</dcterms:modified>
</cp:coreProperties>
</file>