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40" w:rsidRPr="00123F40" w:rsidRDefault="00123F40" w:rsidP="00123F40">
      <w:pPr>
        <w:pStyle w:val="Nadpis1"/>
        <w:spacing w:before="0" w:after="0"/>
        <w:jc w:val="left"/>
        <w:rPr>
          <w:szCs w:val="32"/>
        </w:rPr>
      </w:pPr>
      <w:r w:rsidRPr="00123F40">
        <w:rPr>
          <w:szCs w:val="32"/>
        </w:rPr>
        <w:t>5.4.  Gelová elektroforéza</w:t>
      </w:r>
    </w:p>
    <w:p w:rsidR="00123F40" w:rsidRDefault="00123F40" w:rsidP="00123F40">
      <w:pPr>
        <w:ind w:firstLine="0"/>
        <w:jc w:val="both"/>
      </w:pPr>
    </w:p>
    <w:p w:rsidR="002B4CE9" w:rsidRDefault="002B4CE9" w:rsidP="00CD2CBF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Práce gelové elektroforézy byly prováděny ve dvou fázích. První, podstatně časově náročnější fází, byla příprava (syntéza) vzorku nanočástic pro fázi druhou a to analýzu získaných nanočástic.</w:t>
      </w:r>
    </w:p>
    <w:p w:rsidR="002B4CE9" w:rsidRDefault="002B4CE9" w:rsidP="00123F40">
      <w:pPr>
        <w:ind w:firstLine="0"/>
        <w:jc w:val="both"/>
        <w:rPr>
          <w:rFonts w:cs="Times New Roman"/>
          <w:szCs w:val="24"/>
        </w:rPr>
      </w:pPr>
    </w:p>
    <w:p w:rsidR="00EE3EC4" w:rsidRPr="00123F40" w:rsidRDefault="00EE3EC4" w:rsidP="00EE3EC4">
      <w:pPr>
        <w:pStyle w:val="Nadpis1"/>
        <w:spacing w:before="0" w:after="0"/>
        <w:jc w:val="left"/>
        <w:rPr>
          <w:sz w:val="28"/>
        </w:rPr>
      </w:pPr>
      <w:r w:rsidRPr="00123F40">
        <w:rPr>
          <w:sz w:val="28"/>
        </w:rPr>
        <w:t>5.4.</w:t>
      </w:r>
      <w:r w:rsidR="00123F40" w:rsidRPr="00123F40">
        <w:rPr>
          <w:sz w:val="28"/>
        </w:rPr>
        <w:t>1.</w:t>
      </w:r>
      <w:r w:rsidRPr="00123F40">
        <w:rPr>
          <w:sz w:val="28"/>
        </w:rPr>
        <w:t xml:space="preserve">  Tvorba gelu</w:t>
      </w:r>
    </w:p>
    <w:p w:rsidR="00F004C3" w:rsidRDefault="00F004C3" w:rsidP="00F004C3">
      <w:pPr>
        <w:spacing w:before="12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 rychlosti pohybu částic rozhoduje schopnost pronikat v pórech gelu za působení elektrického napětí. </w:t>
      </w:r>
      <w:r w:rsidR="00DA693F">
        <w:rPr>
          <w:rFonts w:cs="Times New Roman"/>
          <w:szCs w:val="24"/>
        </w:rPr>
        <w:t xml:space="preserve">Pro experimenty </w:t>
      </w:r>
      <w:r w:rsidR="00F4383F">
        <w:rPr>
          <w:rFonts w:cs="Times New Roman"/>
          <w:szCs w:val="24"/>
        </w:rPr>
        <w:t>bylo</w:t>
      </w:r>
      <w:r w:rsidR="00DA693F">
        <w:rPr>
          <w:rFonts w:cs="Times New Roman"/>
          <w:szCs w:val="24"/>
        </w:rPr>
        <w:t xml:space="preserve"> </w:t>
      </w:r>
      <w:r w:rsidR="000A0132">
        <w:rPr>
          <w:rFonts w:cs="Times New Roman"/>
          <w:szCs w:val="24"/>
        </w:rPr>
        <w:t>vybr</w:t>
      </w:r>
      <w:r w:rsidR="00F4383F">
        <w:rPr>
          <w:rFonts w:cs="Times New Roman"/>
          <w:szCs w:val="24"/>
        </w:rPr>
        <w:t>áno</w:t>
      </w:r>
      <w:r w:rsidR="00DA693F">
        <w:rPr>
          <w:rFonts w:cs="Times New Roman"/>
          <w:szCs w:val="24"/>
        </w:rPr>
        <w:t xml:space="preserve"> použití </w:t>
      </w:r>
      <w:proofErr w:type="spellStart"/>
      <w:r w:rsidR="00DA693F">
        <w:rPr>
          <w:rFonts w:cs="Times New Roman"/>
          <w:szCs w:val="24"/>
        </w:rPr>
        <w:t>agarózového</w:t>
      </w:r>
      <w:proofErr w:type="spellEnd"/>
      <w:r w:rsidR="00DA693F">
        <w:rPr>
          <w:rFonts w:cs="Times New Roman"/>
          <w:szCs w:val="24"/>
        </w:rPr>
        <w:t xml:space="preserve"> gelu. </w:t>
      </w:r>
      <w:r w:rsidR="00F4383F">
        <w:rPr>
          <w:rFonts w:cs="Times New Roman"/>
          <w:szCs w:val="24"/>
        </w:rPr>
        <w:t>Byla z</w:t>
      </w:r>
      <w:r w:rsidR="00DA693F">
        <w:rPr>
          <w:rFonts w:cs="Times New Roman"/>
          <w:szCs w:val="24"/>
        </w:rPr>
        <w:t>vol</w:t>
      </w:r>
      <w:r w:rsidR="00F4383F">
        <w:rPr>
          <w:rFonts w:cs="Times New Roman"/>
          <w:szCs w:val="24"/>
        </w:rPr>
        <w:t>ena</w:t>
      </w:r>
      <w:r w:rsidR="00DA693F">
        <w:rPr>
          <w:rFonts w:cs="Times New Roman"/>
          <w:szCs w:val="24"/>
        </w:rPr>
        <w:t xml:space="preserve"> obvykl</w:t>
      </w:r>
      <w:r w:rsidR="00F4383F">
        <w:rPr>
          <w:rFonts w:cs="Times New Roman"/>
          <w:szCs w:val="24"/>
        </w:rPr>
        <w:t>e používaná</w:t>
      </w:r>
      <w:r w:rsidR="00DA693F">
        <w:rPr>
          <w:rFonts w:cs="Times New Roman"/>
          <w:szCs w:val="24"/>
        </w:rPr>
        <w:t xml:space="preserve"> procentuální koncentrac</w:t>
      </w:r>
      <w:r w:rsidR="00F4383F">
        <w:rPr>
          <w:rFonts w:cs="Times New Roman"/>
          <w:szCs w:val="24"/>
        </w:rPr>
        <w:t>e</w:t>
      </w:r>
      <w:r w:rsidR="00DA693F">
        <w:rPr>
          <w:rFonts w:cs="Times New Roman"/>
          <w:szCs w:val="24"/>
        </w:rPr>
        <w:t xml:space="preserve"> gelového nosiče – </w:t>
      </w:r>
      <w:r>
        <w:rPr>
          <w:rFonts w:cs="Times New Roman"/>
          <w:szCs w:val="24"/>
        </w:rPr>
        <w:t>w</w:t>
      </w:r>
      <w:r>
        <w:rPr>
          <w:rFonts w:cs="Times New Roman"/>
          <w:szCs w:val="24"/>
          <w:vertAlign w:val="subscript"/>
        </w:rPr>
        <w:t>%</w:t>
      </w:r>
      <w:r>
        <w:rPr>
          <w:rFonts w:cs="Times New Roman"/>
          <w:szCs w:val="24"/>
        </w:rPr>
        <w:t xml:space="preserve"> = </w:t>
      </w:r>
      <w:r w:rsidR="00DA693F">
        <w:rPr>
          <w:rFonts w:cs="Times New Roman"/>
          <w:szCs w:val="24"/>
        </w:rPr>
        <w:t xml:space="preserve">1% roztok </w:t>
      </w:r>
      <w:proofErr w:type="spellStart"/>
      <w:r w:rsidR="00DA693F">
        <w:rPr>
          <w:rFonts w:cs="Times New Roman"/>
          <w:szCs w:val="24"/>
        </w:rPr>
        <w:t>agarózy</w:t>
      </w:r>
      <w:proofErr w:type="spellEnd"/>
      <w:r w:rsidR="00DA693F">
        <w:rPr>
          <w:rFonts w:cs="Times New Roman"/>
          <w:szCs w:val="24"/>
        </w:rPr>
        <w:t xml:space="preserve">. </w:t>
      </w:r>
    </w:p>
    <w:p w:rsidR="000A0132" w:rsidRDefault="00C25527" w:rsidP="00316980">
      <w:pPr>
        <w:spacing w:before="120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P</w:t>
      </w:r>
      <w:r w:rsidR="00DA693F">
        <w:rPr>
          <w:rFonts w:eastAsiaTheme="minorEastAsia" w:cs="Times New Roman"/>
          <w:szCs w:val="24"/>
        </w:rPr>
        <w:t xml:space="preserve">otřebné množství </w:t>
      </w:r>
      <w:proofErr w:type="spellStart"/>
      <w:r w:rsidR="00F4383F">
        <w:rPr>
          <w:rFonts w:eastAsiaTheme="minorEastAsia" w:cs="Times New Roman"/>
          <w:szCs w:val="24"/>
        </w:rPr>
        <w:t>agarózy</w:t>
      </w:r>
      <w:proofErr w:type="spellEnd"/>
      <w:r w:rsidR="00F4383F">
        <w:rPr>
          <w:rFonts w:eastAsiaTheme="minorEastAsia" w:cs="Times New Roman"/>
          <w:szCs w:val="24"/>
        </w:rPr>
        <w:t xml:space="preserve"> (250 mg) </w:t>
      </w:r>
      <w:r w:rsidR="00DA693F">
        <w:rPr>
          <w:rFonts w:eastAsiaTheme="minorEastAsia" w:cs="Times New Roman"/>
          <w:szCs w:val="24"/>
        </w:rPr>
        <w:t xml:space="preserve">pro výrobu gelu </w:t>
      </w:r>
      <w:r w:rsidR="000A0132">
        <w:rPr>
          <w:rFonts w:eastAsiaTheme="minorEastAsia" w:cs="Times New Roman"/>
          <w:szCs w:val="24"/>
        </w:rPr>
        <w:t xml:space="preserve">je nutné rozpustit v </w:t>
      </w:r>
      <w:r w:rsidR="00DA693F">
        <w:rPr>
          <w:rFonts w:eastAsiaTheme="minorEastAsia" w:cs="Times New Roman"/>
          <w:szCs w:val="24"/>
        </w:rPr>
        <w:t xml:space="preserve">tlumivém roztoku, který bude později použit při samotné </w:t>
      </w:r>
      <w:r w:rsidR="00F4383F">
        <w:rPr>
          <w:rFonts w:eastAsiaTheme="minorEastAsia" w:cs="Times New Roman"/>
          <w:szCs w:val="24"/>
        </w:rPr>
        <w:t xml:space="preserve">elektroforéze, v </w:t>
      </w:r>
      <w:r w:rsidR="00316980">
        <w:rPr>
          <w:rFonts w:eastAsiaTheme="minorEastAsia" w:cs="Times New Roman"/>
          <w:szCs w:val="24"/>
        </w:rPr>
        <w:t xml:space="preserve">tomto případě </w:t>
      </w:r>
      <w:r w:rsidR="00DA693F">
        <w:rPr>
          <w:rFonts w:eastAsiaTheme="minorEastAsia" w:cs="Times New Roman"/>
          <w:szCs w:val="24"/>
        </w:rPr>
        <w:t xml:space="preserve">se jedná </w:t>
      </w:r>
      <w:r>
        <w:rPr>
          <w:rFonts w:eastAsiaTheme="minorEastAsia" w:cs="Times New Roman"/>
          <w:szCs w:val="24"/>
        </w:rPr>
        <w:br/>
      </w:r>
      <w:r w:rsidR="00DA693F">
        <w:rPr>
          <w:rFonts w:eastAsiaTheme="minorEastAsia" w:cs="Times New Roman"/>
          <w:szCs w:val="24"/>
        </w:rPr>
        <w:t>o tlumivý roz</w:t>
      </w:r>
      <w:r w:rsidR="000A0132">
        <w:rPr>
          <w:rFonts w:eastAsiaTheme="minorEastAsia" w:cs="Times New Roman"/>
          <w:szCs w:val="24"/>
        </w:rPr>
        <w:t xml:space="preserve">tok TRIS. </w:t>
      </w:r>
      <w:proofErr w:type="spellStart"/>
      <w:r w:rsidR="000A0132">
        <w:rPr>
          <w:rFonts w:eastAsiaTheme="minorEastAsia" w:cs="Times New Roman"/>
          <w:szCs w:val="24"/>
        </w:rPr>
        <w:t>Agarózový</w:t>
      </w:r>
      <w:proofErr w:type="spellEnd"/>
      <w:r w:rsidR="000A0132">
        <w:rPr>
          <w:rFonts w:eastAsiaTheme="minorEastAsia" w:cs="Times New Roman"/>
          <w:szCs w:val="24"/>
        </w:rPr>
        <w:t xml:space="preserve"> prášek se v </w:t>
      </w:r>
      <w:r w:rsidR="00DA693F">
        <w:rPr>
          <w:rFonts w:eastAsiaTheme="minorEastAsia" w:cs="Times New Roman"/>
          <w:szCs w:val="24"/>
        </w:rPr>
        <w:t xml:space="preserve">tlumivém roztoku velmi špatně rozpouští, </w:t>
      </w:r>
      <w:r>
        <w:rPr>
          <w:rFonts w:eastAsiaTheme="minorEastAsia" w:cs="Times New Roman"/>
          <w:szCs w:val="24"/>
        </w:rPr>
        <w:br/>
      </w:r>
      <w:r w:rsidR="00DA693F">
        <w:rPr>
          <w:rFonts w:eastAsiaTheme="minorEastAsia" w:cs="Times New Roman"/>
          <w:szCs w:val="24"/>
        </w:rPr>
        <w:t>je tedy nutné zvýšení teploty a zapojení mechanické síly. Obojího docílíme</w:t>
      </w:r>
      <w:r w:rsidR="003B13A6">
        <w:rPr>
          <w:rFonts w:eastAsiaTheme="minorEastAsia" w:cs="Times New Roman"/>
          <w:szCs w:val="24"/>
        </w:rPr>
        <w:t xml:space="preserve"> použitím magnetické míchačky s </w:t>
      </w:r>
      <w:r w:rsidR="00DA693F">
        <w:rPr>
          <w:rFonts w:eastAsiaTheme="minorEastAsia" w:cs="Times New Roman"/>
          <w:szCs w:val="24"/>
        </w:rPr>
        <w:t>topným zařízením a magnetického</w:t>
      </w:r>
      <w:r w:rsidR="00EE3EC4">
        <w:rPr>
          <w:rFonts w:eastAsiaTheme="minorEastAsia" w:cs="Times New Roman"/>
          <w:szCs w:val="24"/>
        </w:rPr>
        <w:t xml:space="preserve"> </w:t>
      </w:r>
      <w:proofErr w:type="spellStart"/>
      <w:r w:rsidR="00EE3EC4">
        <w:rPr>
          <w:rFonts w:eastAsiaTheme="minorEastAsia" w:cs="Times New Roman"/>
          <w:szCs w:val="24"/>
        </w:rPr>
        <w:t>mích</w:t>
      </w:r>
      <w:r w:rsidR="002E13DB">
        <w:rPr>
          <w:rFonts w:eastAsiaTheme="minorEastAsia" w:cs="Times New Roman"/>
          <w:szCs w:val="24"/>
        </w:rPr>
        <w:t>adélka</w:t>
      </w:r>
      <w:proofErr w:type="spellEnd"/>
      <w:r w:rsidR="00EE3EC4">
        <w:rPr>
          <w:rFonts w:eastAsiaTheme="minorEastAsia" w:cs="Times New Roman"/>
          <w:szCs w:val="24"/>
        </w:rPr>
        <w:t xml:space="preserve">. V procesu zahřívání </w:t>
      </w:r>
      <w:r>
        <w:rPr>
          <w:rFonts w:eastAsiaTheme="minorEastAsia" w:cs="Times New Roman"/>
          <w:szCs w:val="24"/>
        </w:rPr>
        <w:br/>
      </w:r>
      <w:r w:rsidR="00DA693F">
        <w:rPr>
          <w:rFonts w:eastAsiaTheme="minorEastAsia" w:cs="Times New Roman"/>
          <w:szCs w:val="24"/>
        </w:rPr>
        <w:t>a mích</w:t>
      </w:r>
      <w:r w:rsidR="000A0132">
        <w:rPr>
          <w:rFonts w:eastAsiaTheme="minorEastAsia" w:cs="Times New Roman"/>
          <w:szCs w:val="24"/>
        </w:rPr>
        <w:t>á</w:t>
      </w:r>
      <w:r w:rsidR="00DA693F">
        <w:rPr>
          <w:rFonts w:eastAsiaTheme="minorEastAsia" w:cs="Times New Roman"/>
          <w:szCs w:val="24"/>
        </w:rPr>
        <w:t xml:space="preserve">ní je nezbytné ponechat směs alespoň 20 minut, aby bylo zabráněno nedostatečnému promíchání směsi a tím špatně vyrobenému gelu. Po ukončení zahřívání směsi </w:t>
      </w:r>
      <w:r w:rsidR="009C2815">
        <w:rPr>
          <w:rFonts w:eastAsiaTheme="minorEastAsia" w:cs="Times New Roman"/>
          <w:szCs w:val="24"/>
        </w:rPr>
        <w:t xml:space="preserve">se nechá kádinka s </w:t>
      </w:r>
      <w:r w:rsidR="00DA693F">
        <w:rPr>
          <w:rFonts w:eastAsiaTheme="minorEastAsia" w:cs="Times New Roman"/>
          <w:szCs w:val="24"/>
        </w:rPr>
        <w:t xml:space="preserve">obsahem velmi krátce zchladnout a poté je obsah kádinky přelit </w:t>
      </w:r>
      <w:r w:rsidR="00DC7904">
        <w:rPr>
          <w:rFonts w:eastAsiaTheme="minorEastAsia" w:cs="Times New Roman"/>
          <w:szCs w:val="24"/>
        </w:rPr>
        <w:t xml:space="preserve">do plastové nádobky s </w:t>
      </w:r>
      <w:r w:rsidR="00DA693F">
        <w:rPr>
          <w:rFonts w:eastAsiaTheme="minorEastAsia" w:cs="Times New Roman"/>
          <w:szCs w:val="24"/>
        </w:rPr>
        <w:t>gumovými zábranami,</w:t>
      </w:r>
      <w:r w:rsidR="00DC7904">
        <w:rPr>
          <w:rFonts w:eastAsiaTheme="minorEastAsia" w:cs="Times New Roman"/>
          <w:szCs w:val="24"/>
        </w:rPr>
        <w:t xml:space="preserve"> které zabraňují odtoku směsi z </w:t>
      </w:r>
      <w:r w:rsidR="00DA693F">
        <w:rPr>
          <w:rFonts w:eastAsiaTheme="minorEastAsia" w:cs="Times New Roman"/>
          <w:szCs w:val="24"/>
        </w:rPr>
        <w:t xml:space="preserve">nádobky. Po nalití směsi </w:t>
      </w:r>
      <w:r w:rsidR="00F4383F">
        <w:rPr>
          <w:rFonts w:eastAsiaTheme="minorEastAsia" w:cs="Times New Roman"/>
          <w:szCs w:val="24"/>
        </w:rPr>
        <w:br/>
      </w:r>
      <w:r w:rsidR="00DA693F">
        <w:rPr>
          <w:rFonts w:eastAsiaTheme="minorEastAsia" w:cs="Times New Roman"/>
          <w:szCs w:val="24"/>
        </w:rPr>
        <w:t xml:space="preserve">na plastovou nádobku </w:t>
      </w:r>
      <w:r w:rsidR="00DC7904">
        <w:rPr>
          <w:rFonts w:eastAsiaTheme="minorEastAsia" w:cs="Times New Roman"/>
          <w:szCs w:val="24"/>
        </w:rPr>
        <w:t xml:space="preserve">je třeba </w:t>
      </w:r>
      <w:r w:rsidR="00DA693F">
        <w:rPr>
          <w:rFonts w:eastAsiaTheme="minorEastAsia" w:cs="Times New Roman"/>
          <w:szCs w:val="24"/>
        </w:rPr>
        <w:t>vlož</w:t>
      </w:r>
      <w:r w:rsidR="00DC7904">
        <w:rPr>
          <w:rFonts w:eastAsiaTheme="minorEastAsia" w:cs="Times New Roman"/>
          <w:szCs w:val="24"/>
        </w:rPr>
        <w:t>it</w:t>
      </w:r>
      <w:r w:rsidR="00DA693F">
        <w:rPr>
          <w:rFonts w:eastAsiaTheme="minorEastAsia" w:cs="Times New Roman"/>
          <w:szCs w:val="24"/>
        </w:rPr>
        <w:t xml:space="preserve"> do požadované polohy tzv. hřebínek, který z</w:t>
      </w:r>
      <w:r w:rsidR="00823F21">
        <w:rPr>
          <w:rFonts w:eastAsiaTheme="minorEastAsia" w:cs="Times New Roman"/>
          <w:szCs w:val="24"/>
        </w:rPr>
        <w:t xml:space="preserve">ajišťuje vytvoření děr v </w:t>
      </w:r>
      <w:r w:rsidR="00304E5C">
        <w:rPr>
          <w:rFonts w:eastAsiaTheme="minorEastAsia" w:cs="Times New Roman"/>
          <w:szCs w:val="24"/>
        </w:rPr>
        <w:t xml:space="preserve">gelu, </w:t>
      </w:r>
      <w:r w:rsidR="00DA693F">
        <w:rPr>
          <w:rFonts w:eastAsiaTheme="minorEastAsia" w:cs="Times New Roman"/>
          <w:szCs w:val="24"/>
        </w:rPr>
        <w:t xml:space="preserve">do kterých bude poté za pomoci mikropipety nanesen analyzovaný vzorek. </w:t>
      </w:r>
    </w:p>
    <w:p w:rsidR="00DA693F" w:rsidRPr="006F302F" w:rsidRDefault="00DA693F" w:rsidP="00316980">
      <w:pPr>
        <w:spacing w:before="120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Nutnou podmínkou ke správně provedenému experimentu je také správné zatuhnutí gelu. Gel by měl tuhnout nejméně 30 minut, což je doba dostačující </w:t>
      </w:r>
      <w:r w:rsidR="00823F21">
        <w:rPr>
          <w:rFonts w:eastAsiaTheme="minorEastAsia" w:cs="Times New Roman"/>
          <w:szCs w:val="24"/>
        </w:rPr>
        <w:t xml:space="preserve">k potřebnému zatuhnutí </w:t>
      </w:r>
      <w:r w:rsidR="00DC7904">
        <w:rPr>
          <w:rFonts w:eastAsiaTheme="minorEastAsia" w:cs="Times New Roman"/>
          <w:szCs w:val="24"/>
        </w:rPr>
        <w:br/>
      </w:r>
      <w:r w:rsidR="00823F21">
        <w:rPr>
          <w:rFonts w:eastAsiaTheme="minorEastAsia" w:cs="Times New Roman"/>
          <w:szCs w:val="24"/>
        </w:rPr>
        <w:t xml:space="preserve">a také k </w:t>
      </w:r>
      <w:r>
        <w:rPr>
          <w:rFonts w:eastAsiaTheme="minorEastAsia" w:cs="Times New Roman"/>
          <w:szCs w:val="24"/>
        </w:rPr>
        <w:t>tvorbě pórů, jimiž poté</w:t>
      </w:r>
      <w:r w:rsidR="00DC7904">
        <w:rPr>
          <w:rFonts w:eastAsiaTheme="minorEastAsia" w:cs="Times New Roman"/>
          <w:szCs w:val="24"/>
        </w:rPr>
        <w:t>,</w:t>
      </w:r>
      <w:r>
        <w:rPr>
          <w:rFonts w:eastAsiaTheme="minorEastAsia" w:cs="Times New Roman"/>
          <w:szCs w:val="24"/>
        </w:rPr>
        <w:t xml:space="preserve"> pod vlive</w:t>
      </w:r>
      <w:r w:rsidR="000A0132">
        <w:rPr>
          <w:rFonts w:eastAsiaTheme="minorEastAsia" w:cs="Times New Roman"/>
          <w:szCs w:val="24"/>
        </w:rPr>
        <w:t>m konstantního napětí</w:t>
      </w:r>
      <w:r w:rsidR="00DC7904">
        <w:rPr>
          <w:rFonts w:eastAsiaTheme="minorEastAsia" w:cs="Times New Roman"/>
          <w:szCs w:val="24"/>
        </w:rPr>
        <w:t>,</w:t>
      </w:r>
      <w:r w:rsidR="000A0132">
        <w:rPr>
          <w:rFonts w:eastAsiaTheme="minorEastAsia" w:cs="Times New Roman"/>
          <w:szCs w:val="24"/>
        </w:rPr>
        <w:t xml:space="preserve"> migruje </w:t>
      </w:r>
      <w:r w:rsidR="00DC7904">
        <w:rPr>
          <w:rFonts w:eastAsiaTheme="minorEastAsia" w:cs="Times New Roman"/>
          <w:szCs w:val="24"/>
        </w:rPr>
        <w:t xml:space="preserve">vzorek z </w:t>
      </w:r>
      <w:r>
        <w:rPr>
          <w:rFonts w:eastAsiaTheme="minorEastAsia" w:cs="Times New Roman"/>
          <w:szCs w:val="24"/>
        </w:rPr>
        <w:t>hř</w:t>
      </w:r>
      <w:r w:rsidR="00304E5C">
        <w:rPr>
          <w:rFonts w:eastAsiaTheme="minorEastAsia" w:cs="Times New Roman"/>
          <w:szCs w:val="24"/>
        </w:rPr>
        <w:t xml:space="preserve">ebínkem vytvořené díry. </w:t>
      </w:r>
      <w:r>
        <w:rPr>
          <w:rFonts w:eastAsiaTheme="minorEastAsia" w:cs="Times New Roman"/>
          <w:szCs w:val="24"/>
        </w:rPr>
        <w:t xml:space="preserve">Po dostatečném zatuhnutí gelu jsou odejmuty gumové zábrany </w:t>
      </w:r>
      <w:r w:rsidR="00DC7904">
        <w:rPr>
          <w:rFonts w:eastAsiaTheme="minorEastAsia" w:cs="Times New Roman"/>
          <w:szCs w:val="24"/>
        </w:rPr>
        <w:t xml:space="preserve">a plastová nádobka je i s </w:t>
      </w:r>
      <w:r>
        <w:rPr>
          <w:rFonts w:eastAsiaTheme="minorEastAsia" w:cs="Times New Roman"/>
          <w:szCs w:val="24"/>
        </w:rPr>
        <w:t xml:space="preserve">gelem vložena do zbytku aparatury a zalita tlumivým roztokem, který </w:t>
      </w:r>
      <w:r w:rsidR="00DB6D31">
        <w:rPr>
          <w:rFonts w:eastAsiaTheme="minorEastAsia" w:cs="Times New Roman"/>
          <w:szCs w:val="24"/>
        </w:rPr>
        <w:br/>
      </w:r>
      <w:r>
        <w:rPr>
          <w:rFonts w:eastAsiaTheme="minorEastAsia" w:cs="Times New Roman"/>
          <w:szCs w:val="24"/>
        </w:rPr>
        <w:t xml:space="preserve">byl použit při rozpouštění </w:t>
      </w:r>
      <w:proofErr w:type="spellStart"/>
      <w:r>
        <w:rPr>
          <w:rFonts w:eastAsiaTheme="minorEastAsia" w:cs="Times New Roman"/>
          <w:szCs w:val="24"/>
        </w:rPr>
        <w:t>agarózy</w:t>
      </w:r>
      <w:proofErr w:type="spellEnd"/>
      <w:r>
        <w:rPr>
          <w:rFonts w:eastAsiaTheme="minorEastAsia" w:cs="Times New Roman"/>
          <w:szCs w:val="24"/>
        </w:rPr>
        <w:t xml:space="preserve">. Aparatura by měla být naplněna tak, aby </w:t>
      </w:r>
      <w:r w:rsidRPr="00316980">
        <w:rPr>
          <w:rFonts w:cs="Times New Roman"/>
          <w:szCs w:val="24"/>
        </w:rPr>
        <w:t>výška</w:t>
      </w:r>
      <w:r>
        <w:rPr>
          <w:rFonts w:eastAsiaTheme="minorEastAsia" w:cs="Times New Roman"/>
          <w:szCs w:val="24"/>
        </w:rPr>
        <w:t xml:space="preserve"> hladiny tlumivého roztoku nesahala výše než 1 cm nad gel</w:t>
      </w:r>
      <w:r w:rsidR="006C022F">
        <w:rPr>
          <w:rFonts w:eastAsiaTheme="minorEastAsia" w:cs="Times New Roman"/>
          <w:szCs w:val="24"/>
        </w:rPr>
        <w:t xml:space="preserve"> (viz obrázek 8)</w:t>
      </w:r>
      <w:r>
        <w:rPr>
          <w:rFonts w:eastAsiaTheme="minorEastAsia" w:cs="Times New Roman"/>
          <w:szCs w:val="24"/>
        </w:rPr>
        <w:t xml:space="preserve">. V závislosti </w:t>
      </w:r>
      <w:r w:rsidR="006C022F">
        <w:rPr>
          <w:rFonts w:eastAsiaTheme="minorEastAsia" w:cs="Times New Roman"/>
          <w:szCs w:val="24"/>
        </w:rPr>
        <w:br/>
      </w:r>
      <w:r>
        <w:rPr>
          <w:rFonts w:eastAsiaTheme="minorEastAsia" w:cs="Times New Roman"/>
          <w:szCs w:val="24"/>
        </w:rPr>
        <w:t>na velikosti aparatury je volen hřebínek a tím také</w:t>
      </w:r>
      <w:r w:rsidR="00DC7904">
        <w:rPr>
          <w:rFonts w:eastAsiaTheme="minorEastAsia" w:cs="Times New Roman"/>
          <w:szCs w:val="24"/>
        </w:rPr>
        <w:t xml:space="preserve"> odpovídající počet děr. Také s </w:t>
      </w:r>
      <w:r>
        <w:rPr>
          <w:rFonts w:eastAsiaTheme="minorEastAsia" w:cs="Times New Roman"/>
          <w:szCs w:val="24"/>
        </w:rPr>
        <w:t>tímto aspektem je třeba počítat</w:t>
      </w:r>
      <w:r w:rsidR="00DC7904">
        <w:rPr>
          <w:rFonts w:eastAsiaTheme="minorEastAsia" w:cs="Times New Roman"/>
          <w:szCs w:val="24"/>
        </w:rPr>
        <w:t xml:space="preserve"> a</w:t>
      </w:r>
      <w:r>
        <w:rPr>
          <w:rFonts w:eastAsiaTheme="minorEastAsia" w:cs="Times New Roman"/>
          <w:szCs w:val="24"/>
        </w:rPr>
        <w:t xml:space="preserve"> při analýze modifikovaného vzorku </w:t>
      </w:r>
      <w:r w:rsidR="00DC7904">
        <w:rPr>
          <w:rFonts w:eastAsiaTheme="minorEastAsia" w:cs="Times New Roman"/>
          <w:szCs w:val="24"/>
        </w:rPr>
        <w:t xml:space="preserve">uvážit přítomnost </w:t>
      </w:r>
      <w:r>
        <w:rPr>
          <w:rFonts w:eastAsiaTheme="minorEastAsia" w:cs="Times New Roman"/>
          <w:szCs w:val="24"/>
        </w:rPr>
        <w:lastRenderedPageBreak/>
        <w:t xml:space="preserve">standardního analytu. Standardní hřebínek </w:t>
      </w:r>
      <w:r w:rsidR="00304E5C">
        <w:rPr>
          <w:rFonts w:eastAsiaTheme="minorEastAsia" w:cs="Times New Roman"/>
          <w:szCs w:val="24"/>
        </w:rPr>
        <w:t xml:space="preserve">vytvoří 16 děr, </w:t>
      </w:r>
      <w:r>
        <w:rPr>
          <w:rFonts w:eastAsiaTheme="minorEastAsia" w:cs="Times New Roman"/>
          <w:szCs w:val="24"/>
        </w:rPr>
        <w:t>je tedy dobře možné rozvrhnout počet děr určených pro dávkování standardního analyt</w:t>
      </w:r>
      <w:r w:rsidR="00304E5C">
        <w:rPr>
          <w:rFonts w:eastAsiaTheme="minorEastAsia" w:cs="Times New Roman"/>
          <w:szCs w:val="24"/>
        </w:rPr>
        <w:t>u</w:t>
      </w:r>
      <w:r>
        <w:rPr>
          <w:rFonts w:eastAsiaTheme="minorEastAsia" w:cs="Times New Roman"/>
          <w:szCs w:val="24"/>
        </w:rPr>
        <w:t xml:space="preserve"> a jeho případných modifikací. </w:t>
      </w:r>
    </w:p>
    <w:p w:rsidR="00DA693F" w:rsidRDefault="00DC7904" w:rsidP="00316980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Jak j</w:t>
      </w:r>
      <w:r w:rsidR="00304E5C">
        <w:rPr>
          <w:rFonts w:cs="Times New Roman"/>
          <w:szCs w:val="24"/>
        </w:rPr>
        <w:t xml:space="preserve">iž bylo zmíněno, práce s </w:t>
      </w:r>
      <w:proofErr w:type="spellStart"/>
      <w:r w:rsidR="00DA693F">
        <w:rPr>
          <w:rFonts w:cs="Times New Roman"/>
          <w:szCs w:val="24"/>
        </w:rPr>
        <w:t>agarózovým</w:t>
      </w:r>
      <w:proofErr w:type="spellEnd"/>
      <w:r w:rsidR="00DA693F">
        <w:rPr>
          <w:rFonts w:cs="Times New Roman"/>
          <w:szCs w:val="24"/>
        </w:rPr>
        <w:t xml:space="preserve"> gelem není nebezpečná a není nutné </w:t>
      </w:r>
      <w:r w:rsidR="00304E5C">
        <w:rPr>
          <w:rFonts w:cs="Times New Roman"/>
          <w:szCs w:val="24"/>
        </w:rPr>
        <w:br/>
      </w:r>
      <w:r w:rsidR="00DA693F">
        <w:rPr>
          <w:rFonts w:cs="Times New Roman"/>
          <w:szCs w:val="24"/>
        </w:rPr>
        <w:t>ze zdravotního hlediska používat</w:t>
      </w:r>
      <w:r w:rsidR="00A031EE">
        <w:rPr>
          <w:rFonts w:cs="Times New Roman"/>
          <w:szCs w:val="24"/>
        </w:rPr>
        <w:t xml:space="preserve"> zvláštní bezpečnostní prvky</w:t>
      </w:r>
      <w:r>
        <w:rPr>
          <w:rFonts w:cs="Times New Roman"/>
          <w:szCs w:val="24"/>
        </w:rPr>
        <w:t>.</w:t>
      </w:r>
      <w:r w:rsidR="00A031E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</w:t>
      </w:r>
      <w:r w:rsidR="00A031EE">
        <w:rPr>
          <w:rFonts w:cs="Times New Roman"/>
          <w:szCs w:val="24"/>
        </w:rPr>
        <w:t xml:space="preserve"> </w:t>
      </w:r>
      <w:r w:rsidR="00DA693F">
        <w:rPr>
          <w:rFonts w:cs="Times New Roman"/>
          <w:szCs w:val="24"/>
        </w:rPr>
        <w:t>hlediska kvality anal</w:t>
      </w:r>
      <w:r w:rsidR="00304E5C">
        <w:rPr>
          <w:rFonts w:cs="Times New Roman"/>
          <w:szCs w:val="24"/>
        </w:rPr>
        <w:t xml:space="preserve">ýzy ovšem není možné pracovat s gelem po vyjmutí z </w:t>
      </w:r>
      <w:r w:rsidR="00DA693F">
        <w:rPr>
          <w:rFonts w:cs="Times New Roman"/>
          <w:szCs w:val="24"/>
        </w:rPr>
        <w:t xml:space="preserve">aparatury bez ochranných rukavic. </w:t>
      </w:r>
      <w:r w:rsidR="00304E5C">
        <w:rPr>
          <w:rFonts w:cs="Times New Roman"/>
          <w:szCs w:val="24"/>
        </w:rPr>
        <w:br/>
      </w:r>
      <w:r w:rsidR="00DA693F">
        <w:rPr>
          <w:rFonts w:cs="Times New Roman"/>
          <w:szCs w:val="24"/>
        </w:rPr>
        <w:t>Při velmi častých biologických analýzách nukleových kyselin, proteinů apo</w:t>
      </w:r>
      <w:r w:rsidR="00A11337">
        <w:rPr>
          <w:rFonts w:cs="Times New Roman"/>
          <w:szCs w:val="24"/>
        </w:rPr>
        <w:t xml:space="preserve">d. by kontaktem </w:t>
      </w:r>
      <w:r w:rsidR="00A11337">
        <w:rPr>
          <w:rFonts w:cs="Times New Roman"/>
          <w:szCs w:val="24"/>
        </w:rPr>
        <w:br/>
        <w:t>s</w:t>
      </w:r>
      <w:r w:rsidR="00823F21">
        <w:rPr>
          <w:rFonts w:cs="Times New Roman"/>
          <w:szCs w:val="24"/>
        </w:rPr>
        <w:t xml:space="preserve"> </w:t>
      </w:r>
      <w:r w:rsidR="00304E5C">
        <w:rPr>
          <w:rFonts w:cs="Times New Roman"/>
          <w:szCs w:val="24"/>
        </w:rPr>
        <w:t xml:space="preserve">lidskou kůží </w:t>
      </w:r>
      <w:r w:rsidR="00A031EE">
        <w:rPr>
          <w:rFonts w:cs="Times New Roman"/>
          <w:szCs w:val="24"/>
        </w:rPr>
        <w:t xml:space="preserve">a proteiny z </w:t>
      </w:r>
      <w:r>
        <w:rPr>
          <w:rFonts w:cs="Times New Roman"/>
          <w:szCs w:val="24"/>
        </w:rPr>
        <w:t xml:space="preserve">pokožky došlo k </w:t>
      </w:r>
      <w:r w:rsidR="00DA693F">
        <w:rPr>
          <w:rFonts w:cs="Times New Roman"/>
          <w:szCs w:val="24"/>
        </w:rPr>
        <w:t>poškození gelu, což by vedlo ke zkreslení výsledku při skenování.</w:t>
      </w:r>
    </w:p>
    <w:p w:rsidR="00EE3EC4" w:rsidRDefault="00EE3EC4" w:rsidP="00EE3EC4">
      <w:pPr>
        <w:ind w:firstLine="0"/>
        <w:jc w:val="both"/>
      </w:pPr>
    </w:p>
    <w:p w:rsidR="00EE3EC4" w:rsidRPr="00123F40" w:rsidRDefault="00EE3EC4" w:rsidP="00EE3EC4">
      <w:pPr>
        <w:pStyle w:val="Nadpis1"/>
        <w:spacing w:before="0" w:after="0"/>
        <w:jc w:val="left"/>
        <w:rPr>
          <w:sz w:val="28"/>
        </w:rPr>
      </w:pPr>
      <w:r w:rsidRPr="00123F40">
        <w:rPr>
          <w:sz w:val="28"/>
        </w:rPr>
        <w:t>5.</w:t>
      </w:r>
      <w:r w:rsidR="00455110">
        <w:rPr>
          <w:sz w:val="28"/>
        </w:rPr>
        <w:t>4</w:t>
      </w:r>
      <w:r w:rsidRPr="00123F40">
        <w:rPr>
          <w:sz w:val="28"/>
        </w:rPr>
        <w:t>.</w:t>
      </w:r>
      <w:r w:rsidR="00455110">
        <w:rPr>
          <w:sz w:val="28"/>
        </w:rPr>
        <w:t>2</w:t>
      </w:r>
      <w:r w:rsidR="00123F40" w:rsidRPr="00123F40">
        <w:rPr>
          <w:sz w:val="28"/>
        </w:rPr>
        <w:t>.</w:t>
      </w:r>
      <w:r w:rsidRPr="00123F40">
        <w:rPr>
          <w:sz w:val="28"/>
        </w:rPr>
        <w:t xml:space="preserve">  Příprava vzorku nanočástic</w:t>
      </w:r>
    </w:p>
    <w:p w:rsidR="00DA693F" w:rsidRDefault="00DA693F" w:rsidP="00316980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Vzorek nanočástic pro následn</w:t>
      </w:r>
      <w:r w:rsidR="00A11337">
        <w:rPr>
          <w:rFonts w:cs="Times New Roman"/>
          <w:szCs w:val="24"/>
        </w:rPr>
        <w:t>ou</w:t>
      </w:r>
      <w:r>
        <w:rPr>
          <w:rFonts w:cs="Times New Roman"/>
          <w:szCs w:val="24"/>
        </w:rPr>
        <w:t xml:space="preserve"> anal</w:t>
      </w:r>
      <w:r w:rsidR="00A11337">
        <w:rPr>
          <w:rFonts w:cs="Times New Roman"/>
          <w:szCs w:val="24"/>
        </w:rPr>
        <w:t>ýzu</w:t>
      </w:r>
      <w:r w:rsidR="00DC7904">
        <w:rPr>
          <w:rFonts w:cs="Times New Roman"/>
          <w:szCs w:val="24"/>
        </w:rPr>
        <w:t xml:space="preserve"> byl vyroben z </w:t>
      </w:r>
      <w:r>
        <w:rPr>
          <w:rFonts w:cs="Times New Roman"/>
          <w:szCs w:val="24"/>
        </w:rPr>
        <w:t>chemikálie dodané firmou Sigma-</w:t>
      </w:r>
      <w:proofErr w:type="spellStart"/>
      <w:r>
        <w:rPr>
          <w:rFonts w:cs="Times New Roman"/>
          <w:szCs w:val="24"/>
        </w:rPr>
        <w:t>Aldrich</w:t>
      </w:r>
      <w:proofErr w:type="spellEnd"/>
      <w:r>
        <w:rPr>
          <w:rFonts w:cs="Times New Roman"/>
          <w:szCs w:val="24"/>
        </w:rPr>
        <w:t xml:space="preserve">, Německo. Jednalo se o </w:t>
      </w:r>
      <w:proofErr w:type="spellStart"/>
      <w:r>
        <w:rPr>
          <w:rFonts w:cs="Times New Roman"/>
          <w:szCs w:val="24"/>
        </w:rPr>
        <w:t>hexahydrát</w:t>
      </w:r>
      <w:proofErr w:type="spellEnd"/>
      <w:r>
        <w:rPr>
          <w:rFonts w:cs="Times New Roman"/>
          <w:szCs w:val="24"/>
        </w:rPr>
        <w:t xml:space="preserve"> chloridu </w:t>
      </w:r>
      <w:proofErr w:type="spellStart"/>
      <w:r>
        <w:rPr>
          <w:rFonts w:cs="Times New Roman"/>
          <w:szCs w:val="24"/>
        </w:rPr>
        <w:t>tris</w:t>
      </w:r>
      <w:proofErr w:type="spellEnd"/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bipyridin</w:t>
      </w:r>
      <w:proofErr w:type="spellEnd"/>
      <w:r w:rsidR="00123F40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ruthenatého</w:t>
      </w:r>
      <w:proofErr w:type="spellEnd"/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br/>
        <w:t xml:space="preserve">zkráceně </w:t>
      </w:r>
      <w:proofErr w:type="spellStart"/>
      <w:r>
        <w:rPr>
          <w:rFonts w:cs="Times New Roman"/>
          <w:szCs w:val="24"/>
        </w:rPr>
        <w:t>Rubpy</w:t>
      </w:r>
      <w:proofErr w:type="spellEnd"/>
      <w:r w:rsidR="003E193A">
        <w:rPr>
          <w:rFonts w:cs="Times New Roman"/>
          <w:szCs w:val="24"/>
        </w:rPr>
        <w:t xml:space="preserve"> (obrázek 12)</w:t>
      </w:r>
      <w:r>
        <w:rPr>
          <w:rFonts w:cs="Times New Roman"/>
          <w:szCs w:val="24"/>
        </w:rPr>
        <w:t xml:space="preserve">. Cílem bylo připravit monodisperzní silikátové nanočástice, které by bylo možné modifikovat. Bylo zvoleno, že </w:t>
      </w:r>
      <w:proofErr w:type="spellStart"/>
      <w:r>
        <w:rPr>
          <w:rFonts w:cs="Times New Roman"/>
          <w:szCs w:val="24"/>
        </w:rPr>
        <w:t>Rubpy</w:t>
      </w:r>
      <w:proofErr w:type="spellEnd"/>
      <w:r>
        <w:rPr>
          <w:rFonts w:cs="Times New Roman"/>
          <w:szCs w:val="24"/>
        </w:rPr>
        <w:t xml:space="preserve"> bude modifikováno </w:t>
      </w:r>
      <w:r w:rsidR="00F004C3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na </w:t>
      </w:r>
      <w:proofErr w:type="spellStart"/>
      <w:proofErr w:type="gramStart"/>
      <w:r>
        <w:rPr>
          <w:rFonts w:cs="Times New Roman"/>
          <w:szCs w:val="24"/>
        </w:rPr>
        <w:t>Rubpy</w:t>
      </w:r>
      <w:r w:rsidR="00304E5C">
        <w:rPr>
          <w:rFonts w:cs="Times New Roman"/>
          <w:szCs w:val="24"/>
        </w:rPr>
        <w:softHyphen/>
      </w:r>
      <w:proofErr w:type="spellEnd"/>
      <w:proofErr w:type="gramEnd"/>
      <w:r w:rsidR="00A031EE">
        <w:rPr>
          <w:rFonts w:cs="Times New Roman"/>
          <w:szCs w:val="24"/>
        </w:rPr>
        <w:t>–</w:t>
      </w:r>
      <w:proofErr w:type="gramStart"/>
      <w:r>
        <w:rPr>
          <w:rFonts w:cs="Times New Roman"/>
          <w:szCs w:val="24"/>
        </w:rPr>
        <w:t>SiO</w:t>
      </w:r>
      <w:r>
        <w:rPr>
          <w:rFonts w:cs="Times New Roman"/>
          <w:szCs w:val="24"/>
          <w:vertAlign w:val="subscript"/>
        </w:rPr>
        <w:t>2</w:t>
      </w:r>
      <w:proofErr w:type="gramEnd"/>
      <w:r w:rsidR="00A031EE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>COOH tzv. karboxylací. Bylo by samozřejmě možné provést i jiné procesy jako například nitrifikace, nitridace či jiné úpravy.</w:t>
      </w:r>
    </w:p>
    <w:p w:rsidR="00DA693F" w:rsidRDefault="00575708" w:rsidP="001F77C7">
      <w:pPr>
        <w:ind w:firstLine="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213360</wp:posOffset>
            </wp:positionV>
            <wp:extent cx="1920875" cy="1400175"/>
            <wp:effectExtent l="19050" t="0" r="3175" b="0"/>
            <wp:wrapNone/>
            <wp:docPr id="11" name="Obrázek 11" descr="http://www.sigmaaldrich.com/content/dam/sigma-aldrich/structure9/185/mfcd00149670.eps/_jcr_content/renditions/mfcd00149670-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gmaaldrich.com/content/dam/sigma-aldrich/structure9/185/mfcd00149670.eps/_jcr_content/renditions/mfcd00149670-mediu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77C7" w:rsidRDefault="001F77C7" w:rsidP="001F77C7">
      <w:pPr>
        <w:ind w:firstLine="0"/>
        <w:rPr>
          <w:rFonts w:cs="Times New Roman"/>
          <w:szCs w:val="24"/>
        </w:rPr>
      </w:pPr>
    </w:p>
    <w:p w:rsidR="001F77C7" w:rsidRDefault="001F77C7" w:rsidP="001F77C7">
      <w:pPr>
        <w:ind w:firstLine="0"/>
        <w:rPr>
          <w:rFonts w:cs="Times New Roman"/>
          <w:szCs w:val="24"/>
        </w:rPr>
      </w:pPr>
    </w:p>
    <w:p w:rsidR="001F77C7" w:rsidRDefault="001F77C7" w:rsidP="001F77C7">
      <w:pPr>
        <w:ind w:firstLine="0"/>
        <w:rPr>
          <w:rFonts w:cs="Times New Roman"/>
          <w:szCs w:val="24"/>
        </w:rPr>
      </w:pPr>
    </w:p>
    <w:p w:rsidR="001F77C7" w:rsidRDefault="001F77C7" w:rsidP="001F77C7">
      <w:pPr>
        <w:ind w:firstLine="0"/>
        <w:rPr>
          <w:rFonts w:cs="Times New Roman"/>
          <w:szCs w:val="24"/>
        </w:rPr>
      </w:pPr>
    </w:p>
    <w:p w:rsidR="001F77C7" w:rsidRDefault="001F77C7" w:rsidP="001F77C7">
      <w:pPr>
        <w:ind w:firstLine="0"/>
        <w:rPr>
          <w:rFonts w:cs="Times New Roman"/>
          <w:szCs w:val="24"/>
        </w:rPr>
      </w:pPr>
    </w:p>
    <w:p w:rsidR="00575708" w:rsidRDefault="00575708" w:rsidP="001F77C7">
      <w:pPr>
        <w:ind w:firstLine="0"/>
        <w:rPr>
          <w:rFonts w:cs="Times New Roman"/>
          <w:szCs w:val="24"/>
        </w:rPr>
      </w:pPr>
    </w:p>
    <w:p w:rsidR="00DA693F" w:rsidRPr="00123F40" w:rsidRDefault="00DA693F" w:rsidP="006C22A3">
      <w:pPr>
        <w:ind w:firstLine="0"/>
        <w:jc w:val="center"/>
        <w:rPr>
          <w:rFonts w:cs="Times New Roman"/>
          <w:szCs w:val="24"/>
        </w:rPr>
      </w:pPr>
      <w:r w:rsidRPr="00123F40">
        <w:rPr>
          <w:rFonts w:cs="Times New Roman"/>
          <w:szCs w:val="24"/>
        </w:rPr>
        <w:t>Obr</w:t>
      </w:r>
      <w:r w:rsidR="00304E5C" w:rsidRPr="00123F40">
        <w:rPr>
          <w:rFonts w:cs="Times New Roman"/>
          <w:szCs w:val="24"/>
        </w:rPr>
        <w:t>ázek</w:t>
      </w:r>
      <w:r w:rsidRPr="00123F40">
        <w:rPr>
          <w:rFonts w:cs="Times New Roman"/>
          <w:szCs w:val="24"/>
        </w:rPr>
        <w:t xml:space="preserve"> </w:t>
      </w:r>
      <w:r w:rsidR="001F77C7" w:rsidRPr="00123F40">
        <w:rPr>
          <w:rFonts w:cs="Times New Roman"/>
          <w:szCs w:val="24"/>
        </w:rPr>
        <w:t>1</w:t>
      </w:r>
      <w:r w:rsidR="003E193A">
        <w:rPr>
          <w:rFonts w:cs="Times New Roman"/>
          <w:szCs w:val="24"/>
        </w:rPr>
        <w:t>2</w:t>
      </w:r>
      <w:r w:rsidRPr="00123F40">
        <w:rPr>
          <w:rFonts w:cs="Times New Roman"/>
          <w:szCs w:val="24"/>
        </w:rPr>
        <w:t xml:space="preserve">: </w:t>
      </w:r>
      <w:r w:rsidR="00304E5C" w:rsidRPr="00123F40">
        <w:rPr>
          <w:rFonts w:cs="Times New Roman"/>
          <w:szCs w:val="24"/>
        </w:rPr>
        <w:t xml:space="preserve"> </w:t>
      </w:r>
      <w:r w:rsidRPr="00123F40">
        <w:rPr>
          <w:rFonts w:cs="Times New Roman"/>
          <w:szCs w:val="24"/>
        </w:rPr>
        <w:t xml:space="preserve">Strukturní vzorec </w:t>
      </w:r>
      <w:proofErr w:type="spellStart"/>
      <w:r w:rsidRPr="00123F40">
        <w:rPr>
          <w:rFonts w:cs="Times New Roman"/>
          <w:szCs w:val="24"/>
        </w:rPr>
        <w:t>hexahydrátu</w:t>
      </w:r>
      <w:proofErr w:type="spellEnd"/>
      <w:r w:rsidRPr="00123F40">
        <w:rPr>
          <w:rFonts w:cs="Times New Roman"/>
          <w:szCs w:val="24"/>
        </w:rPr>
        <w:t xml:space="preserve"> chloridu </w:t>
      </w:r>
      <w:proofErr w:type="spellStart"/>
      <w:r w:rsidRPr="00123F40">
        <w:rPr>
          <w:rFonts w:cs="Times New Roman"/>
          <w:szCs w:val="24"/>
        </w:rPr>
        <w:t>tris</w:t>
      </w:r>
      <w:proofErr w:type="spellEnd"/>
      <w:r w:rsidRPr="00123F40">
        <w:rPr>
          <w:rFonts w:cs="Times New Roman"/>
          <w:szCs w:val="24"/>
        </w:rPr>
        <w:t>(</w:t>
      </w:r>
      <w:proofErr w:type="spellStart"/>
      <w:r w:rsidRPr="00123F40">
        <w:rPr>
          <w:rFonts w:cs="Times New Roman"/>
          <w:szCs w:val="24"/>
        </w:rPr>
        <w:t>bipyridi</w:t>
      </w:r>
      <w:r w:rsidR="001760CA">
        <w:rPr>
          <w:rFonts w:cs="Times New Roman"/>
          <w:szCs w:val="24"/>
        </w:rPr>
        <w:t>n</w:t>
      </w:r>
      <w:proofErr w:type="spellEnd"/>
      <w:r w:rsidRPr="00123F40">
        <w:rPr>
          <w:rFonts w:cs="Times New Roman"/>
          <w:szCs w:val="24"/>
        </w:rPr>
        <w:t xml:space="preserve">) </w:t>
      </w:r>
      <w:proofErr w:type="spellStart"/>
      <w:r w:rsidRPr="00123F40">
        <w:rPr>
          <w:rFonts w:cs="Times New Roman"/>
          <w:szCs w:val="24"/>
        </w:rPr>
        <w:t>ruthenatého</w:t>
      </w:r>
      <w:proofErr w:type="spellEnd"/>
      <w:r w:rsidR="004D7E77" w:rsidRPr="00123F40">
        <w:rPr>
          <w:rFonts w:cs="Times New Roman"/>
          <w:szCs w:val="24"/>
          <w:vertAlign w:val="superscript"/>
        </w:rPr>
        <w:t xml:space="preserve"> </w:t>
      </w:r>
      <w:r w:rsidR="004D7E77" w:rsidRPr="00175C07">
        <w:rPr>
          <w:rFonts w:cs="Times New Roman"/>
          <w:szCs w:val="24"/>
        </w:rPr>
        <w:t>[</w:t>
      </w:r>
      <w:r w:rsidR="00DE5986">
        <w:rPr>
          <w:rFonts w:cs="Times New Roman"/>
          <w:szCs w:val="24"/>
        </w:rPr>
        <w:t>3</w:t>
      </w:r>
      <w:r w:rsidR="00A44D9F">
        <w:rPr>
          <w:rFonts w:cs="Times New Roman"/>
          <w:szCs w:val="24"/>
        </w:rPr>
        <w:t>6</w:t>
      </w:r>
      <w:r w:rsidR="004D7E77" w:rsidRPr="00175C07">
        <w:rPr>
          <w:rFonts w:cs="Times New Roman"/>
          <w:szCs w:val="24"/>
        </w:rPr>
        <w:t>]</w:t>
      </w:r>
    </w:p>
    <w:p w:rsidR="00304E5C" w:rsidRDefault="00304E5C" w:rsidP="00304E5C">
      <w:pPr>
        <w:ind w:firstLine="0"/>
        <w:jc w:val="both"/>
        <w:rPr>
          <w:rFonts w:cs="Times New Roman"/>
          <w:szCs w:val="24"/>
        </w:rPr>
      </w:pPr>
    </w:p>
    <w:p w:rsidR="00DA693F" w:rsidRDefault="00DA693F" w:rsidP="001F77C7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Příprava vzorku </w:t>
      </w:r>
      <w:proofErr w:type="spellStart"/>
      <w:r w:rsidR="00A529BF">
        <w:rPr>
          <w:rFonts w:cs="Times New Roman"/>
          <w:szCs w:val="24"/>
        </w:rPr>
        <w:t>nanočástic</w:t>
      </w:r>
      <w:proofErr w:type="spellEnd"/>
      <w:r w:rsidR="00A529BF">
        <w:rPr>
          <w:rFonts w:cs="Times New Roman"/>
          <w:szCs w:val="24"/>
        </w:rPr>
        <w:t xml:space="preserve"> </w:t>
      </w:r>
      <w:proofErr w:type="spellStart"/>
      <w:proofErr w:type="gramStart"/>
      <w:r w:rsidR="00DC7904">
        <w:rPr>
          <w:rFonts w:cs="Times New Roman"/>
          <w:szCs w:val="24"/>
        </w:rPr>
        <w:t>Rubpy</w:t>
      </w:r>
      <w:r w:rsidR="00DC7904">
        <w:rPr>
          <w:rFonts w:cs="Times New Roman"/>
          <w:szCs w:val="24"/>
        </w:rPr>
        <w:softHyphen/>
      </w:r>
      <w:proofErr w:type="spellEnd"/>
      <w:proofErr w:type="gramEnd"/>
      <w:r w:rsidR="00DC7904">
        <w:rPr>
          <w:rFonts w:cs="Times New Roman"/>
          <w:szCs w:val="24"/>
        </w:rPr>
        <w:t>–</w:t>
      </w:r>
      <w:proofErr w:type="gramStart"/>
      <w:r w:rsidR="00DC7904">
        <w:rPr>
          <w:rFonts w:cs="Times New Roman"/>
          <w:szCs w:val="24"/>
        </w:rPr>
        <w:t>SiO</w:t>
      </w:r>
      <w:r w:rsidR="00DC7904">
        <w:rPr>
          <w:rFonts w:cs="Times New Roman"/>
          <w:szCs w:val="24"/>
          <w:vertAlign w:val="subscript"/>
        </w:rPr>
        <w:t>2</w:t>
      </w:r>
      <w:proofErr w:type="gramEnd"/>
      <w:r w:rsidR="00DC7904">
        <w:rPr>
          <w:rFonts w:cs="Times New Roman"/>
          <w:szCs w:val="24"/>
        </w:rPr>
        <w:t xml:space="preserve">–COOH </w:t>
      </w:r>
      <w:r>
        <w:rPr>
          <w:rFonts w:cs="Times New Roman"/>
          <w:szCs w:val="24"/>
        </w:rPr>
        <w:t xml:space="preserve">byla časově velmi náročná. Jednotlivé úkony byly rozděleny do </w:t>
      </w:r>
      <w:r w:rsidR="00F004C3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dnů. </w:t>
      </w:r>
    </w:p>
    <w:p w:rsidR="00657055" w:rsidRPr="00657055" w:rsidRDefault="00657055" w:rsidP="006C4012">
      <w:pPr>
        <w:spacing w:before="240"/>
        <w:ind w:firstLine="0"/>
        <w:jc w:val="both"/>
        <w:rPr>
          <w:rFonts w:cs="Times New Roman"/>
          <w:szCs w:val="24"/>
        </w:rPr>
      </w:pPr>
      <w:r w:rsidRPr="00657055">
        <w:rPr>
          <w:rFonts w:cs="Times New Roman"/>
          <w:szCs w:val="24"/>
        </w:rPr>
        <w:t>1. den</w:t>
      </w:r>
    </w:p>
    <w:p w:rsidR="00DA693F" w:rsidRDefault="00657055" w:rsidP="0065705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DA693F">
        <w:rPr>
          <w:rFonts w:cs="Times New Roman"/>
          <w:szCs w:val="24"/>
        </w:rPr>
        <w:t xml:space="preserve">rvní úkon představovala příprava roztoku </w:t>
      </w:r>
      <w:proofErr w:type="spellStart"/>
      <w:r w:rsidR="00DA693F">
        <w:rPr>
          <w:rFonts w:cs="Times New Roman"/>
          <w:szCs w:val="24"/>
        </w:rPr>
        <w:t>Rubpy</w:t>
      </w:r>
      <w:proofErr w:type="spellEnd"/>
      <w:r w:rsidR="00DA693F">
        <w:rPr>
          <w:rFonts w:cs="Times New Roman"/>
          <w:szCs w:val="24"/>
        </w:rPr>
        <w:t xml:space="preserve"> </w:t>
      </w:r>
      <w:r w:rsidR="006C4012">
        <w:rPr>
          <w:rFonts w:cs="Times New Roman"/>
          <w:szCs w:val="24"/>
        </w:rPr>
        <w:t xml:space="preserve">o látkové koncentraci </w:t>
      </w:r>
      <w:r w:rsidR="00A529BF">
        <w:rPr>
          <w:rFonts w:cs="Times New Roman"/>
          <w:szCs w:val="24"/>
        </w:rPr>
        <w:t>1.10</w:t>
      </w:r>
      <w:r w:rsidR="00A529BF">
        <w:rPr>
          <w:rFonts w:cs="Times New Roman"/>
          <w:szCs w:val="24"/>
          <w:vertAlign w:val="superscript"/>
        </w:rPr>
        <w:t>–2</w:t>
      </w:r>
      <w:r w:rsidR="00A529BF">
        <w:rPr>
          <w:rFonts w:cs="Times New Roman"/>
          <w:szCs w:val="24"/>
        </w:rPr>
        <w:t xml:space="preserve"> mol/l </w:t>
      </w:r>
      <w:r>
        <w:rPr>
          <w:rFonts w:cs="Times New Roman"/>
          <w:szCs w:val="24"/>
        </w:rPr>
        <w:t xml:space="preserve">rozpuštěním příslušné navážky </w:t>
      </w:r>
      <w:r w:rsidR="006C4012">
        <w:rPr>
          <w:rFonts w:cs="Times New Roman"/>
          <w:szCs w:val="24"/>
        </w:rPr>
        <w:t xml:space="preserve">v </w:t>
      </w:r>
      <w:proofErr w:type="spellStart"/>
      <w:r w:rsidR="00DA693F">
        <w:rPr>
          <w:rFonts w:cs="Times New Roman"/>
          <w:szCs w:val="24"/>
        </w:rPr>
        <w:t>deionizované</w:t>
      </w:r>
      <w:proofErr w:type="spellEnd"/>
      <w:r w:rsidR="00DA693F">
        <w:rPr>
          <w:rFonts w:cs="Times New Roman"/>
          <w:szCs w:val="24"/>
        </w:rPr>
        <w:t xml:space="preserve"> vodě. Následně byla připravena směs cyklohexanu, </w:t>
      </w:r>
      <w:proofErr w:type="spellStart"/>
      <w:r w:rsidR="00A529BF">
        <w:rPr>
          <w:rFonts w:cs="Times New Roman"/>
          <w:szCs w:val="24"/>
        </w:rPr>
        <w:t>I</w:t>
      </w:r>
      <w:r w:rsidR="00DA693F">
        <w:rPr>
          <w:rFonts w:cs="Times New Roman"/>
          <w:szCs w:val="24"/>
        </w:rPr>
        <w:t>gepalu</w:t>
      </w:r>
      <w:proofErr w:type="spellEnd"/>
      <w:r w:rsidR="00DA693F">
        <w:rPr>
          <w:rFonts w:cs="Times New Roman"/>
          <w:szCs w:val="24"/>
        </w:rPr>
        <w:t xml:space="preserve">, TEOS, </w:t>
      </w:r>
      <w:proofErr w:type="spellStart"/>
      <w:r w:rsidR="00DA693F">
        <w:rPr>
          <w:rFonts w:cs="Times New Roman"/>
          <w:szCs w:val="24"/>
        </w:rPr>
        <w:t>Rubpy</w:t>
      </w:r>
      <w:proofErr w:type="spellEnd"/>
      <w:r w:rsidR="00DA693F">
        <w:rPr>
          <w:rFonts w:cs="Times New Roman"/>
          <w:szCs w:val="24"/>
        </w:rPr>
        <w:t xml:space="preserve"> </w:t>
      </w:r>
      <w:r w:rsidR="00A529BF">
        <w:rPr>
          <w:rFonts w:cs="Times New Roman"/>
          <w:szCs w:val="24"/>
        </w:rPr>
        <w:t>o c = 1.10</w:t>
      </w:r>
      <w:r w:rsidR="00A529BF">
        <w:rPr>
          <w:rFonts w:cs="Times New Roman"/>
          <w:szCs w:val="24"/>
          <w:vertAlign w:val="superscript"/>
        </w:rPr>
        <w:t>–2</w:t>
      </w:r>
      <w:r w:rsidR="00A529BF">
        <w:rPr>
          <w:rFonts w:cs="Times New Roman"/>
          <w:szCs w:val="24"/>
        </w:rPr>
        <w:t xml:space="preserve"> mol/l </w:t>
      </w:r>
      <w:r w:rsidR="00DA693F">
        <w:rPr>
          <w:rFonts w:cs="Times New Roman"/>
          <w:szCs w:val="24"/>
        </w:rPr>
        <w:t>a NH</w:t>
      </w:r>
      <w:r w:rsidR="00DA693F">
        <w:rPr>
          <w:rFonts w:cs="Times New Roman"/>
          <w:szCs w:val="24"/>
          <w:vertAlign w:val="subscript"/>
        </w:rPr>
        <w:t>4</w:t>
      </w:r>
      <w:r w:rsidR="00304E5C">
        <w:rPr>
          <w:rFonts w:cs="Times New Roman"/>
          <w:szCs w:val="24"/>
        </w:rPr>
        <w:t>OH</w:t>
      </w:r>
      <w:r w:rsidR="002776D2">
        <w:rPr>
          <w:rFonts w:cs="Times New Roman"/>
          <w:szCs w:val="24"/>
        </w:rPr>
        <w:t xml:space="preserve"> (</w:t>
      </w:r>
      <w:r w:rsidR="00C25527">
        <w:rPr>
          <w:rFonts w:cs="Times New Roman"/>
          <w:szCs w:val="24"/>
        </w:rPr>
        <w:t xml:space="preserve">viz </w:t>
      </w:r>
      <w:r w:rsidR="002776D2">
        <w:rPr>
          <w:rFonts w:cs="Times New Roman"/>
          <w:szCs w:val="24"/>
        </w:rPr>
        <w:t>tabulka 3)</w:t>
      </w:r>
      <w:r w:rsidR="00304E5C">
        <w:rPr>
          <w:rFonts w:cs="Times New Roman"/>
          <w:szCs w:val="24"/>
        </w:rPr>
        <w:t>.</w:t>
      </w:r>
    </w:p>
    <w:p w:rsidR="00304E5C" w:rsidRDefault="00304E5C" w:rsidP="00304E5C">
      <w:pPr>
        <w:ind w:firstLine="0"/>
        <w:jc w:val="both"/>
        <w:rPr>
          <w:rFonts w:cs="Times New Roman"/>
          <w:szCs w:val="24"/>
        </w:rPr>
      </w:pPr>
    </w:p>
    <w:tbl>
      <w:tblPr>
        <w:tblStyle w:val="Mkatabulky"/>
        <w:tblW w:w="8221" w:type="dxa"/>
        <w:tblInd w:w="534" w:type="dxa"/>
        <w:tblLook w:val="04A0"/>
      </w:tblPr>
      <w:tblGrid>
        <w:gridCol w:w="2410"/>
        <w:gridCol w:w="2832"/>
        <w:gridCol w:w="2979"/>
      </w:tblGrid>
      <w:tr w:rsidR="00DA693F" w:rsidTr="00123F40">
        <w:trPr>
          <w:trHeight w:val="369"/>
        </w:trPr>
        <w:tc>
          <w:tcPr>
            <w:tcW w:w="2410" w:type="dxa"/>
            <w:vAlign w:val="center"/>
          </w:tcPr>
          <w:p w:rsidR="00DA693F" w:rsidRPr="000E50B9" w:rsidRDefault="000E50B9" w:rsidP="000E50B9">
            <w:pPr>
              <w:ind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Látka</w:t>
            </w:r>
          </w:p>
        </w:tc>
        <w:tc>
          <w:tcPr>
            <w:tcW w:w="2832" w:type="dxa"/>
            <w:vAlign w:val="center"/>
          </w:tcPr>
          <w:p w:rsidR="00DA693F" w:rsidRPr="000E50B9" w:rsidRDefault="00DA693F" w:rsidP="00123F40">
            <w:pPr>
              <w:ind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50B9">
              <w:rPr>
                <w:rFonts w:cs="Times New Roman"/>
                <w:b/>
                <w:sz w:val="24"/>
                <w:szCs w:val="24"/>
              </w:rPr>
              <w:t>Objem</w:t>
            </w:r>
          </w:p>
        </w:tc>
        <w:tc>
          <w:tcPr>
            <w:tcW w:w="2979" w:type="dxa"/>
            <w:vAlign w:val="center"/>
          </w:tcPr>
          <w:p w:rsidR="00DA693F" w:rsidRPr="000E50B9" w:rsidRDefault="00DA693F" w:rsidP="00123F40">
            <w:pPr>
              <w:ind w:firstLine="3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50B9">
              <w:rPr>
                <w:rFonts w:cs="Times New Roman"/>
                <w:b/>
                <w:sz w:val="24"/>
                <w:szCs w:val="24"/>
              </w:rPr>
              <w:t>Doba míchání</w:t>
            </w:r>
          </w:p>
        </w:tc>
      </w:tr>
      <w:tr w:rsidR="00DA693F" w:rsidTr="00123F40">
        <w:trPr>
          <w:trHeight w:val="382"/>
        </w:trPr>
        <w:tc>
          <w:tcPr>
            <w:tcW w:w="2410" w:type="dxa"/>
            <w:vAlign w:val="center"/>
          </w:tcPr>
          <w:p w:rsidR="00DA693F" w:rsidRDefault="00DA693F" w:rsidP="00123F40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Cyklohexan</w:t>
            </w:r>
          </w:p>
        </w:tc>
        <w:tc>
          <w:tcPr>
            <w:tcW w:w="2832" w:type="dxa"/>
            <w:vAlign w:val="center"/>
          </w:tcPr>
          <w:p w:rsidR="00DA693F" w:rsidRDefault="00DA693F" w:rsidP="00123F40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8250 µl</w:t>
            </w:r>
          </w:p>
        </w:tc>
        <w:tc>
          <w:tcPr>
            <w:tcW w:w="2979" w:type="dxa"/>
            <w:vAlign w:val="center"/>
          </w:tcPr>
          <w:p w:rsidR="00DA693F" w:rsidRDefault="00DA693F" w:rsidP="00123F40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 min</w:t>
            </w:r>
          </w:p>
        </w:tc>
      </w:tr>
      <w:tr w:rsidR="00DA693F" w:rsidTr="00123F40">
        <w:trPr>
          <w:trHeight w:val="369"/>
        </w:trPr>
        <w:tc>
          <w:tcPr>
            <w:tcW w:w="2410" w:type="dxa"/>
            <w:vAlign w:val="center"/>
          </w:tcPr>
          <w:p w:rsidR="00DA693F" w:rsidRDefault="00DA693F" w:rsidP="00123F40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Igepal</w:t>
            </w:r>
            <w:proofErr w:type="spellEnd"/>
          </w:p>
        </w:tc>
        <w:tc>
          <w:tcPr>
            <w:tcW w:w="2832" w:type="dxa"/>
            <w:vAlign w:val="center"/>
          </w:tcPr>
          <w:p w:rsidR="00DA693F" w:rsidRDefault="00DA693F" w:rsidP="00123F40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650 µl</w:t>
            </w:r>
          </w:p>
        </w:tc>
        <w:tc>
          <w:tcPr>
            <w:tcW w:w="2979" w:type="dxa"/>
            <w:vAlign w:val="center"/>
          </w:tcPr>
          <w:p w:rsidR="00DA693F" w:rsidRDefault="00DA693F" w:rsidP="00123F40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 min</w:t>
            </w:r>
          </w:p>
        </w:tc>
      </w:tr>
      <w:tr w:rsidR="00DA693F" w:rsidTr="00123F40">
        <w:trPr>
          <w:trHeight w:val="369"/>
        </w:trPr>
        <w:tc>
          <w:tcPr>
            <w:tcW w:w="2410" w:type="dxa"/>
            <w:vAlign w:val="center"/>
          </w:tcPr>
          <w:p w:rsidR="00DA693F" w:rsidRDefault="00DA693F" w:rsidP="00123F40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TEOS</w:t>
            </w:r>
          </w:p>
        </w:tc>
        <w:tc>
          <w:tcPr>
            <w:tcW w:w="2832" w:type="dxa"/>
            <w:vAlign w:val="center"/>
          </w:tcPr>
          <w:p w:rsidR="00DA693F" w:rsidRDefault="00DA693F" w:rsidP="00123F40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 µl</w:t>
            </w:r>
          </w:p>
        </w:tc>
        <w:tc>
          <w:tcPr>
            <w:tcW w:w="2979" w:type="dxa"/>
            <w:vAlign w:val="center"/>
          </w:tcPr>
          <w:p w:rsidR="00DA693F" w:rsidRDefault="00DA693F" w:rsidP="00123F40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min</w:t>
            </w:r>
          </w:p>
        </w:tc>
      </w:tr>
      <w:tr w:rsidR="00DA693F" w:rsidTr="00123F40">
        <w:trPr>
          <w:trHeight w:val="369"/>
        </w:trPr>
        <w:tc>
          <w:tcPr>
            <w:tcW w:w="2410" w:type="dxa"/>
            <w:vAlign w:val="center"/>
          </w:tcPr>
          <w:p w:rsidR="00DA693F" w:rsidRDefault="00DA693F" w:rsidP="0005532C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5532C">
              <w:rPr>
                <w:rFonts w:cs="Times New Roman"/>
                <w:sz w:val="24"/>
                <w:szCs w:val="24"/>
              </w:rPr>
              <w:t>.10</w:t>
            </w:r>
            <w:r w:rsidR="0005532C">
              <w:rPr>
                <w:rFonts w:cs="Times New Roman"/>
                <w:sz w:val="24"/>
                <w:szCs w:val="24"/>
                <w:vertAlign w:val="superscript"/>
              </w:rPr>
              <w:t>–2</w:t>
            </w:r>
            <w:r w:rsidR="0005532C">
              <w:rPr>
                <w:rFonts w:cs="Times New Roman"/>
                <w:sz w:val="24"/>
                <w:szCs w:val="24"/>
              </w:rPr>
              <w:t xml:space="preserve"> </w:t>
            </w:r>
            <w:r w:rsidR="0005532C">
              <w:rPr>
                <w:rFonts w:cs="Times New Roman"/>
                <w:szCs w:val="24"/>
              </w:rPr>
              <w:t xml:space="preserve">mol/l </w:t>
            </w:r>
            <w:proofErr w:type="spellStart"/>
            <w:r>
              <w:rPr>
                <w:rFonts w:cs="Times New Roman"/>
                <w:sz w:val="24"/>
                <w:szCs w:val="24"/>
              </w:rPr>
              <w:t>Rubpy</w:t>
            </w:r>
            <w:proofErr w:type="spellEnd"/>
          </w:p>
        </w:tc>
        <w:tc>
          <w:tcPr>
            <w:tcW w:w="2832" w:type="dxa"/>
            <w:vAlign w:val="center"/>
          </w:tcPr>
          <w:p w:rsidR="00DA693F" w:rsidRDefault="00DA693F" w:rsidP="00123F40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µl</w:t>
            </w:r>
          </w:p>
        </w:tc>
        <w:tc>
          <w:tcPr>
            <w:tcW w:w="2979" w:type="dxa"/>
            <w:vAlign w:val="center"/>
          </w:tcPr>
          <w:p w:rsidR="00DA693F" w:rsidRDefault="00DA693F" w:rsidP="00123F40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min</w:t>
            </w:r>
          </w:p>
        </w:tc>
      </w:tr>
      <w:tr w:rsidR="00DA693F" w:rsidTr="00123F40">
        <w:trPr>
          <w:trHeight w:val="70"/>
        </w:trPr>
        <w:tc>
          <w:tcPr>
            <w:tcW w:w="2410" w:type="dxa"/>
            <w:vAlign w:val="center"/>
          </w:tcPr>
          <w:p w:rsidR="00DA693F" w:rsidRPr="007848A6" w:rsidRDefault="00DA693F" w:rsidP="00123F40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NH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cs="Times New Roman"/>
                <w:sz w:val="24"/>
                <w:szCs w:val="24"/>
              </w:rPr>
              <w:t>OH</w:t>
            </w:r>
          </w:p>
        </w:tc>
        <w:tc>
          <w:tcPr>
            <w:tcW w:w="2832" w:type="dxa"/>
            <w:vAlign w:val="center"/>
          </w:tcPr>
          <w:p w:rsidR="00DA693F" w:rsidRDefault="00DA693F" w:rsidP="00123F40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µl</w:t>
            </w:r>
          </w:p>
        </w:tc>
        <w:tc>
          <w:tcPr>
            <w:tcW w:w="2979" w:type="dxa"/>
            <w:vAlign w:val="center"/>
          </w:tcPr>
          <w:p w:rsidR="00DA693F" w:rsidRDefault="00DA693F" w:rsidP="00123F40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 min</w:t>
            </w:r>
          </w:p>
        </w:tc>
      </w:tr>
    </w:tbl>
    <w:p w:rsidR="00304E5C" w:rsidRDefault="00304E5C" w:rsidP="00DA693F">
      <w:pPr>
        <w:jc w:val="center"/>
        <w:rPr>
          <w:rFonts w:cs="Times New Roman"/>
          <w:szCs w:val="24"/>
        </w:rPr>
      </w:pPr>
    </w:p>
    <w:p w:rsidR="00DA693F" w:rsidRPr="00123F40" w:rsidRDefault="00DA693F" w:rsidP="008F7FCB">
      <w:pPr>
        <w:ind w:firstLine="0"/>
        <w:jc w:val="center"/>
        <w:rPr>
          <w:rFonts w:cs="Times New Roman"/>
          <w:szCs w:val="24"/>
        </w:rPr>
      </w:pPr>
      <w:r w:rsidRPr="00123F40">
        <w:rPr>
          <w:rFonts w:cs="Times New Roman"/>
          <w:szCs w:val="24"/>
        </w:rPr>
        <w:t>Tab</w:t>
      </w:r>
      <w:r w:rsidR="00304E5C" w:rsidRPr="00123F40">
        <w:rPr>
          <w:rFonts w:cs="Times New Roman"/>
          <w:szCs w:val="24"/>
        </w:rPr>
        <w:t>ulka</w:t>
      </w:r>
      <w:r w:rsidRPr="00123F40">
        <w:rPr>
          <w:rFonts w:cs="Times New Roman"/>
          <w:szCs w:val="24"/>
        </w:rPr>
        <w:t xml:space="preserve"> </w:t>
      </w:r>
      <w:r w:rsidR="00DC1EF6">
        <w:rPr>
          <w:rFonts w:cs="Times New Roman"/>
          <w:szCs w:val="24"/>
        </w:rPr>
        <w:t>3</w:t>
      </w:r>
      <w:r w:rsidRPr="00123F40">
        <w:rPr>
          <w:rFonts w:cs="Times New Roman"/>
          <w:szCs w:val="24"/>
        </w:rPr>
        <w:t xml:space="preserve">: </w:t>
      </w:r>
      <w:r w:rsidR="00304E5C" w:rsidRPr="00123F40">
        <w:rPr>
          <w:rFonts w:cs="Times New Roman"/>
          <w:szCs w:val="24"/>
        </w:rPr>
        <w:t xml:space="preserve"> </w:t>
      </w:r>
      <w:r w:rsidRPr="00123F40">
        <w:rPr>
          <w:rFonts w:cs="Times New Roman"/>
          <w:szCs w:val="24"/>
        </w:rPr>
        <w:t>Tabulka přidaných objemů a doba míchání</w:t>
      </w:r>
    </w:p>
    <w:p w:rsidR="00304E5C" w:rsidRDefault="00304E5C" w:rsidP="00DA693F">
      <w:pPr>
        <w:jc w:val="both"/>
        <w:rPr>
          <w:rFonts w:cs="Times New Roman"/>
          <w:szCs w:val="24"/>
        </w:rPr>
      </w:pPr>
    </w:p>
    <w:p w:rsidR="00DA693F" w:rsidRDefault="00DA693F" w:rsidP="0065705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</w:t>
      </w:r>
      <w:proofErr w:type="spellStart"/>
      <w:r>
        <w:rPr>
          <w:rFonts w:cs="Times New Roman"/>
          <w:szCs w:val="24"/>
        </w:rPr>
        <w:t>vialky</w:t>
      </w:r>
      <w:proofErr w:type="spellEnd"/>
      <w:r>
        <w:rPr>
          <w:rFonts w:cs="Times New Roman"/>
          <w:szCs w:val="24"/>
        </w:rPr>
        <w:t xml:space="preserve"> o objemu 10 ml bylo mikropipetami </w:t>
      </w:r>
      <w:proofErr w:type="spellStart"/>
      <w:r>
        <w:rPr>
          <w:rFonts w:cs="Times New Roman"/>
          <w:szCs w:val="24"/>
        </w:rPr>
        <w:t>napipetováno</w:t>
      </w:r>
      <w:proofErr w:type="spellEnd"/>
      <w:r>
        <w:rPr>
          <w:rFonts w:cs="Times New Roman"/>
          <w:szCs w:val="24"/>
        </w:rPr>
        <w:t xml:space="preserve"> 8,25 ml cyklohexanu, </w:t>
      </w:r>
      <w:r>
        <w:rPr>
          <w:rFonts w:cs="Times New Roman"/>
          <w:szCs w:val="24"/>
        </w:rPr>
        <w:br/>
        <w:t xml:space="preserve">0,65 ml </w:t>
      </w:r>
      <w:proofErr w:type="spellStart"/>
      <w:r>
        <w:rPr>
          <w:rFonts w:cs="Times New Roman"/>
          <w:szCs w:val="24"/>
        </w:rPr>
        <w:t>Igepalu</w:t>
      </w:r>
      <w:proofErr w:type="spellEnd"/>
      <w:r>
        <w:rPr>
          <w:rFonts w:cs="Times New Roman"/>
          <w:szCs w:val="24"/>
        </w:rPr>
        <w:t xml:space="preserve"> a 0,06 ml TEOS. Poté bylo vloženo důkladně opláchnuté magnetické </w:t>
      </w:r>
      <w:proofErr w:type="spellStart"/>
      <w:r>
        <w:rPr>
          <w:rFonts w:cs="Times New Roman"/>
          <w:szCs w:val="24"/>
        </w:rPr>
        <w:t>mích</w:t>
      </w:r>
      <w:r w:rsidR="002E13DB">
        <w:rPr>
          <w:rFonts w:cs="Times New Roman"/>
          <w:szCs w:val="24"/>
        </w:rPr>
        <w:t>adélko</w:t>
      </w:r>
      <w:proofErr w:type="spellEnd"/>
      <w:r>
        <w:rPr>
          <w:rFonts w:cs="Times New Roman"/>
          <w:szCs w:val="24"/>
        </w:rPr>
        <w:t xml:space="preserve"> a celá směs byla při laboratorní teplotě po dobu 30 minut ponechána </w:t>
      </w:r>
      <w:r w:rsidR="00A11337">
        <w:rPr>
          <w:rFonts w:cs="Times New Roman"/>
          <w:szCs w:val="24"/>
        </w:rPr>
        <w:br/>
      </w:r>
      <w:r>
        <w:rPr>
          <w:rFonts w:cs="Times New Roman"/>
          <w:szCs w:val="24"/>
        </w:rPr>
        <w:t>na magnetické míchačce. Následoval přídavek směsi 0,04 ml</w:t>
      </w:r>
      <w:r w:rsidR="00A031EE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Rubpy</w:t>
      </w:r>
      <w:proofErr w:type="spellEnd"/>
      <w:r>
        <w:rPr>
          <w:rFonts w:cs="Times New Roman"/>
          <w:szCs w:val="24"/>
        </w:rPr>
        <w:t xml:space="preserve"> </w:t>
      </w:r>
      <w:r w:rsidR="00123F40">
        <w:rPr>
          <w:rFonts w:cs="Times New Roman"/>
          <w:szCs w:val="24"/>
        </w:rPr>
        <w:t>o c = 1.10</w:t>
      </w:r>
      <w:r w:rsidR="00123F40">
        <w:rPr>
          <w:rFonts w:cs="Times New Roman"/>
          <w:szCs w:val="24"/>
          <w:vertAlign w:val="superscript"/>
        </w:rPr>
        <w:t>–2</w:t>
      </w:r>
      <w:r w:rsidR="00123F40">
        <w:rPr>
          <w:rFonts w:cs="Times New Roman"/>
          <w:szCs w:val="24"/>
        </w:rPr>
        <w:t xml:space="preserve"> mol/l </w:t>
      </w:r>
      <w:r w:rsidR="00130B71">
        <w:rPr>
          <w:rFonts w:cs="Times New Roman"/>
          <w:szCs w:val="24"/>
        </w:rPr>
        <w:br/>
      </w:r>
      <w:r>
        <w:rPr>
          <w:rFonts w:cs="Times New Roman"/>
          <w:szCs w:val="24"/>
        </w:rPr>
        <w:t>a dalších 20 min míchání. Nakonec se přidá ještě 0,04 ml NH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>OH. Po všech přídavcích směs zůstává 24</w:t>
      </w:r>
      <w:r w:rsidR="00304E5C">
        <w:rPr>
          <w:rFonts w:cs="Times New Roman"/>
          <w:szCs w:val="24"/>
        </w:rPr>
        <w:t xml:space="preserve"> hodin při laboratorní teplotě </w:t>
      </w:r>
      <w:r>
        <w:rPr>
          <w:rFonts w:cs="Times New Roman"/>
          <w:szCs w:val="24"/>
        </w:rPr>
        <w:t xml:space="preserve">na míchačce při 450 </w:t>
      </w:r>
      <w:proofErr w:type="spellStart"/>
      <w:r>
        <w:rPr>
          <w:rFonts w:cs="Times New Roman"/>
          <w:szCs w:val="24"/>
        </w:rPr>
        <w:t>ot</w:t>
      </w:r>
      <w:proofErr w:type="spellEnd"/>
      <w:r>
        <w:rPr>
          <w:rFonts w:cs="Times New Roman"/>
          <w:szCs w:val="24"/>
        </w:rPr>
        <w:t xml:space="preserve">/min. Tímto </w:t>
      </w:r>
      <w:r w:rsidR="00130B71">
        <w:rPr>
          <w:rFonts w:cs="Times New Roman"/>
          <w:szCs w:val="24"/>
        </w:rPr>
        <w:t xml:space="preserve">způsobem </w:t>
      </w:r>
      <w:r w:rsidR="00BF78FC">
        <w:rPr>
          <w:rFonts w:cs="Times New Roman"/>
          <w:szCs w:val="24"/>
        </w:rPr>
        <w:br/>
      </w:r>
      <w:r>
        <w:rPr>
          <w:rFonts w:cs="Times New Roman"/>
          <w:szCs w:val="24"/>
        </w:rPr>
        <w:t>byl získán vzorek nanočástic Rubpy-SiO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.</w:t>
      </w:r>
    </w:p>
    <w:p w:rsidR="00130B71" w:rsidRPr="00657055" w:rsidRDefault="00130B71" w:rsidP="006C4012">
      <w:pPr>
        <w:spacing w:before="240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657055">
        <w:rPr>
          <w:rFonts w:cs="Times New Roman"/>
          <w:szCs w:val="24"/>
        </w:rPr>
        <w:t>. den</w:t>
      </w:r>
    </w:p>
    <w:p w:rsidR="00DA693F" w:rsidRDefault="00DA693F" w:rsidP="001F77C7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Následuje proces karboxylace, tedy obohacení sloučeniny o CO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ve </w:t>
      </w:r>
      <w:proofErr w:type="gramStart"/>
      <w:r>
        <w:rPr>
          <w:rFonts w:cs="Times New Roman"/>
          <w:szCs w:val="24"/>
        </w:rPr>
        <w:t>formě R</w:t>
      </w:r>
      <w:r w:rsidR="00A031EE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>COO</w:t>
      </w:r>
      <w:proofErr w:type="gramEnd"/>
      <w:r>
        <w:rPr>
          <w:rFonts w:cs="Times New Roman"/>
          <w:szCs w:val="24"/>
          <w:vertAlign w:val="superscript"/>
        </w:rPr>
        <w:t>–</w:t>
      </w:r>
      <w:r>
        <w:rPr>
          <w:rFonts w:cs="Times New Roman"/>
          <w:szCs w:val="24"/>
        </w:rPr>
        <w:t xml:space="preserve">. </w:t>
      </w:r>
      <w:r w:rsidR="00130B71">
        <w:rPr>
          <w:rFonts w:cs="Times New Roman"/>
          <w:szCs w:val="24"/>
        </w:rPr>
        <w:t>Do s</w:t>
      </w:r>
      <w:r>
        <w:rPr>
          <w:rFonts w:cs="Times New Roman"/>
          <w:szCs w:val="24"/>
        </w:rPr>
        <w:t>měs</w:t>
      </w:r>
      <w:r w:rsidR="00130B71">
        <w:rPr>
          <w:rFonts w:cs="Times New Roman"/>
          <w:szCs w:val="24"/>
        </w:rPr>
        <w:t>i,</w:t>
      </w:r>
      <w:r>
        <w:rPr>
          <w:rFonts w:cs="Times New Roman"/>
          <w:szCs w:val="24"/>
        </w:rPr>
        <w:t xml:space="preserve"> </w:t>
      </w:r>
      <w:r w:rsidR="00130B71">
        <w:rPr>
          <w:rFonts w:cs="Times New Roman"/>
          <w:szCs w:val="24"/>
        </w:rPr>
        <w:t xml:space="preserve">která </w:t>
      </w:r>
      <w:r>
        <w:rPr>
          <w:rFonts w:cs="Times New Roman"/>
          <w:szCs w:val="24"/>
        </w:rPr>
        <w:t>byla stále promíchávána na míchačce</w:t>
      </w:r>
      <w:r w:rsidR="00130B71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byl ještě jednou přidán TEOS </w:t>
      </w:r>
      <w:r w:rsidR="00130B71">
        <w:rPr>
          <w:rFonts w:cs="Times New Roman"/>
          <w:szCs w:val="24"/>
        </w:rPr>
        <w:br/>
      </w:r>
      <w:r w:rsidR="00123F40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0,054 ml</w:t>
      </w:r>
      <w:r w:rsidR="00123F40">
        <w:rPr>
          <w:rFonts w:cs="Times New Roman"/>
          <w:szCs w:val="24"/>
        </w:rPr>
        <w:t>)</w:t>
      </w:r>
      <w:r w:rsidR="006C4012">
        <w:rPr>
          <w:rFonts w:cs="Times New Roman"/>
          <w:szCs w:val="24"/>
        </w:rPr>
        <w:t xml:space="preserve"> a</w:t>
      </w:r>
      <w:r w:rsidR="00123F40">
        <w:rPr>
          <w:rFonts w:cs="Times New Roman"/>
          <w:szCs w:val="24"/>
        </w:rPr>
        <w:t xml:space="preserve"> </w:t>
      </w:r>
      <w:r w:rsidR="006C4012">
        <w:rPr>
          <w:rFonts w:cs="Times New Roman"/>
          <w:szCs w:val="24"/>
        </w:rPr>
        <w:t>p</w:t>
      </w:r>
      <w:r w:rsidR="00123F40">
        <w:rPr>
          <w:rFonts w:cs="Times New Roman"/>
          <w:szCs w:val="24"/>
        </w:rPr>
        <w:t xml:space="preserve">řesně </w:t>
      </w:r>
      <w:r>
        <w:rPr>
          <w:rFonts w:cs="Times New Roman"/>
          <w:szCs w:val="24"/>
        </w:rPr>
        <w:t xml:space="preserve">po dalších třech hodinách </w:t>
      </w:r>
      <w:r w:rsidR="00130B71">
        <w:rPr>
          <w:rFonts w:cs="Times New Roman"/>
          <w:szCs w:val="24"/>
        </w:rPr>
        <w:t xml:space="preserve">bylo </w:t>
      </w:r>
      <w:r>
        <w:rPr>
          <w:rFonts w:cs="Times New Roman"/>
          <w:szCs w:val="24"/>
        </w:rPr>
        <w:t>přidá</w:t>
      </w:r>
      <w:r w:rsidR="00130B71">
        <w:rPr>
          <w:rFonts w:cs="Times New Roman"/>
          <w:szCs w:val="24"/>
        </w:rPr>
        <w:t>no</w:t>
      </w:r>
      <w:r>
        <w:rPr>
          <w:rFonts w:cs="Times New Roman"/>
          <w:szCs w:val="24"/>
        </w:rPr>
        <w:t xml:space="preserve"> 0,018 ml CEST. Pro ještě lepší promíchání byla </w:t>
      </w:r>
      <w:proofErr w:type="spellStart"/>
      <w:r>
        <w:rPr>
          <w:rFonts w:cs="Times New Roman"/>
          <w:szCs w:val="24"/>
        </w:rPr>
        <w:t>vialka</w:t>
      </w:r>
      <w:proofErr w:type="spellEnd"/>
      <w:r>
        <w:rPr>
          <w:rFonts w:cs="Times New Roman"/>
          <w:szCs w:val="24"/>
        </w:rPr>
        <w:t xml:space="preserve"> ponořena do </w:t>
      </w:r>
      <w:proofErr w:type="spellStart"/>
      <w:r>
        <w:rPr>
          <w:rFonts w:cs="Times New Roman"/>
          <w:szCs w:val="24"/>
        </w:rPr>
        <w:t>sonifikačního</w:t>
      </w:r>
      <w:proofErr w:type="spellEnd"/>
      <w:r>
        <w:rPr>
          <w:rFonts w:cs="Times New Roman"/>
          <w:szCs w:val="24"/>
        </w:rPr>
        <w:t xml:space="preserve"> zařízení (přístroj, který využívá ultrazvuku k „rozbití“ případných nežádoucích agregátů). </w:t>
      </w:r>
      <w:r w:rsidR="002776D2">
        <w:rPr>
          <w:rFonts w:cs="Times New Roman"/>
          <w:szCs w:val="24"/>
        </w:rPr>
        <w:t>Působení ultrazvuku bylo p</w:t>
      </w:r>
      <w:r>
        <w:rPr>
          <w:rFonts w:cs="Times New Roman"/>
          <w:szCs w:val="24"/>
        </w:rPr>
        <w:t>onech</w:t>
      </w:r>
      <w:r w:rsidR="002776D2">
        <w:rPr>
          <w:rFonts w:cs="Times New Roman"/>
          <w:szCs w:val="24"/>
        </w:rPr>
        <w:t>áno</w:t>
      </w:r>
      <w:r>
        <w:rPr>
          <w:rFonts w:cs="Times New Roman"/>
          <w:szCs w:val="24"/>
        </w:rPr>
        <w:t xml:space="preserve"> přibližně 15</w:t>
      </w:r>
      <w:r w:rsidR="00304E5C">
        <w:rPr>
          <w:rFonts w:cs="Times New Roman"/>
          <w:szCs w:val="24"/>
        </w:rPr>
        <w:t xml:space="preserve"> </w:t>
      </w:r>
      <w:r w:rsidR="00A031EE">
        <w:rPr>
          <w:rFonts w:cs="Times New Roman"/>
          <w:szCs w:val="24"/>
        </w:rPr>
        <w:t>–</w:t>
      </w:r>
      <w:r w:rsidR="00304E5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20 minut, poté se </w:t>
      </w:r>
      <w:proofErr w:type="spellStart"/>
      <w:r>
        <w:rPr>
          <w:rFonts w:cs="Times New Roman"/>
          <w:szCs w:val="24"/>
        </w:rPr>
        <w:t>vialka</w:t>
      </w:r>
      <w:proofErr w:type="spellEnd"/>
      <w:r>
        <w:rPr>
          <w:rFonts w:cs="Times New Roman"/>
          <w:szCs w:val="24"/>
        </w:rPr>
        <w:t xml:space="preserve"> se směsí na dalších 24 hodin vrátí na magnetickou míchačku. </w:t>
      </w:r>
    </w:p>
    <w:p w:rsidR="00657055" w:rsidRPr="00657055" w:rsidRDefault="00657055" w:rsidP="006C4012">
      <w:pPr>
        <w:spacing w:before="240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657055">
        <w:rPr>
          <w:rFonts w:cs="Times New Roman"/>
          <w:szCs w:val="24"/>
        </w:rPr>
        <w:t>. den</w:t>
      </w:r>
    </w:p>
    <w:p w:rsidR="00DA693F" w:rsidRDefault="002776D2" w:rsidP="0065705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</w:t>
      </w:r>
      <w:r w:rsidR="00DA693F">
        <w:rPr>
          <w:rFonts w:cs="Times New Roman"/>
          <w:szCs w:val="24"/>
        </w:rPr>
        <w:t xml:space="preserve">iž </w:t>
      </w:r>
      <w:r w:rsidR="009E0C4A">
        <w:rPr>
          <w:rFonts w:cs="Times New Roman"/>
          <w:szCs w:val="24"/>
        </w:rPr>
        <w:t>d</w:t>
      </w:r>
      <w:r w:rsidR="00DA693F">
        <w:rPr>
          <w:rFonts w:cs="Times New Roman"/>
          <w:szCs w:val="24"/>
        </w:rPr>
        <w:t xml:space="preserve">ostatečně promíchaná směs byla </w:t>
      </w:r>
      <w:r>
        <w:rPr>
          <w:rFonts w:cs="Times New Roman"/>
          <w:szCs w:val="24"/>
        </w:rPr>
        <w:t xml:space="preserve">následně </w:t>
      </w:r>
      <w:r w:rsidR="00DA693F">
        <w:rPr>
          <w:rFonts w:cs="Times New Roman"/>
          <w:szCs w:val="24"/>
        </w:rPr>
        <w:t xml:space="preserve">promývána alkoholem, konkrétně </w:t>
      </w:r>
      <w:r>
        <w:rPr>
          <w:rFonts w:cs="Times New Roman"/>
          <w:szCs w:val="24"/>
        </w:rPr>
        <w:br/>
      </w:r>
      <w:r w:rsidR="00DA693F">
        <w:rPr>
          <w:rFonts w:cs="Times New Roman"/>
          <w:szCs w:val="24"/>
        </w:rPr>
        <w:t xml:space="preserve">propan-2-olem. Propan-2-ol se </w:t>
      </w:r>
      <w:r w:rsidR="006C4012">
        <w:rPr>
          <w:rFonts w:cs="Times New Roman"/>
          <w:szCs w:val="24"/>
        </w:rPr>
        <w:t>z</w:t>
      </w:r>
      <w:r w:rsidR="00DA693F">
        <w:rPr>
          <w:rFonts w:cs="Times New Roman"/>
          <w:szCs w:val="24"/>
        </w:rPr>
        <w:t>vol</w:t>
      </w:r>
      <w:r w:rsidR="006C4012">
        <w:rPr>
          <w:rFonts w:cs="Times New Roman"/>
          <w:szCs w:val="24"/>
        </w:rPr>
        <w:t>il</w:t>
      </w:r>
      <w:r w:rsidR="00DA693F">
        <w:rPr>
          <w:rFonts w:cs="Times New Roman"/>
          <w:szCs w:val="24"/>
        </w:rPr>
        <w:t xml:space="preserve"> záměrně, kvůli nižší ceně proti běžnému </w:t>
      </w:r>
      <w:proofErr w:type="spellStart"/>
      <w:r w:rsidR="00DA693F">
        <w:rPr>
          <w:rFonts w:cs="Times New Roman"/>
          <w:szCs w:val="24"/>
        </w:rPr>
        <w:t>ethanolu</w:t>
      </w:r>
      <w:proofErr w:type="spellEnd"/>
      <w:r w:rsidR="00DA693F">
        <w:rPr>
          <w:rFonts w:cs="Times New Roman"/>
          <w:szCs w:val="24"/>
        </w:rPr>
        <w:t xml:space="preserve">. </w:t>
      </w:r>
      <w:r w:rsidR="00DA693F">
        <w:rPr>
          <w:rFonts w:cs="Times New Roman"/>
          <w:szCs w:val="24"/>
        </w:rPr>
        <w:br/>
        <w:t xml:space="preserve">Směs se alkoholem promývá několikrát. Následující tabulka </w:t>
      </w:r>
      <w:r>
        <w:rPr>
          <w:rFonts w:cs="Times New Roman"/>
          <w:szCs w:val="24"/>
        </w:rPr>
        <w:t>4</w:t>
      </w:r>
      <w:r w:rsidR="005252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ukazuje </w:t>
      </w:r>
      <w:r w:rsidR="00DA693F">
        <w:rPr>
          <w:rFonts w:cs="Times New Roman"/>
          <w:szCs w:val="24"/>
        </w:rPr>
        <w:t>jednotlivé přídavky propan-2-olu.</w:t>
      </w:r>
    </w:p>
    <w:p w:rsidR="001F77C7" w:rsidRDefault="001F77C7" w:rsidP="005252F8">
      <w:pPr>
        <w:spacing w:before="120"/>
        <w:ind w:firstLine="0"/>
        <w:jc w:val="both"/>
        <w:rPr>
          <w:rFonts w:cs="Times New Roman"/>
          <w:szCs w:val="24"/>
        </w:rPr>
      </w:pPr>
    </w:p>
    <w:p w:rsidR="00575708" w:rsidRDefault="00575708" w:rsidP="005252F8">
      <w:pPr>
        <w:spacing w:before="120"/>
        <w:ind w:firstLine="0"/>
        <w:jc w:val="both"/>
        <w:rPr>
          <w:rFonts w:cs="Times New Roman"/>
          <w:szCs w:val="24"/>
        </w:rPr>
      </w:pPr>
    </w:p>
    <w:p w:rsidR="00575708" w:rsidRDefault="00575708" w:rsidP="005252F8">
      <w:pPr>
        <w:spacing w:before="120"/>
        <w:ind w:firstLine="0"/>
        <w:jc w:val="both"/>
        <w:rPr>
          <w:rFonts w:cs="Times New Roman"/>
          <w:szCs w:val="24"/>
        </w:rPr>
      </w:pPr>
    </w:p>
    <w:tbl>
      <w:tblPr>
        <w:tblStyle w:val="Mkatabulky"/>
        <w:tblW w:w="7865" w:type="dxa"/>
        <w:jc w:val="center"/>
        <w:tblLook w:val="04A0"/>
      </w:tblPr>
      <w:tblGrid>
        <w:gridCol w:w="3754"/>
        <w:gridCol w:w="4111"/>
      </w:tblGrid>
      <w:tr w:rsidR="00DA693F" w:rsidTr="005252F8">
        <w:trPr>
          <w:jc w:val="center"/>
        </w:trPr>
        <w:tc>
          <w:tcPr>
            <w:tcW w:w="3754" w:type="dxa"/>
            <w:vAlign w:val="center"/>
          </w:tcPr>
          <w:p w:rsidR="00DA693F" w:rsidRPr="00BD1385" w:rsidRDefault="000E50B9" w:rsidP="005252F8">
            <w:pPr>
              <w:ind w:left="-2" w:firstLine="0"/>
              <w:jc w:val="center"/>
              <w:rPr>
                <w:rFonts w:cs="Times New Roman"/>
                <w:b/>
                <w:szCs w:val="24"/>
              </w:rPr>
            </w:pPr>
            <w:r w:rsidRPr="00BD1385">
              <w:rPr>
                <w:rFonts w:cs="Times New Roman"/>
                <w:b/>
                <w:szCs w:val="24"/>
              </w:rPr>
              <w:lastRenderedPageBreak/>
              <w:t>Přídavek</w:t>
            </w:r>
          </w:p>
        </w:tc>
        <w:tc>
          <w:tcPr>
            <w:tcW w:w="4111" w:type="dxa"/>
            <w:vAlign w:val="center"/>
          </w:tcPr>
          <w:p w:rsidR="00DA693F" w:rsidRPr="00BD1385" w:rsidRDefault="00E86A51" w:rsidP="000E50B9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="000E50B9" w:rsidRPr="00BD1385">
              <w:rPr>
                <w:rFonts w:cs="Times New Roman"/>
                <w:b/>
                <w:sz w:val="24"/>
                <w:szCs w:val="24"/>
              </w:rPr>
              <w:t>Promývací látka</w:t>
            </w:r>
          </w:p>
        </w:tc>
      </w:tr>
      <w:tr w:rsidR="000E50B9" w:rsidTr="005252F8">
        <w:trPr>
          <w:jc w:val="center"/>
        </w:trPr>
        <w:tc>
          <w:tcPr>
            <w:tcW w:w="3754" w:type="dxa"/>
            <w:vAlign w:val="center"/>
          </w:tcPr>
          <w:p w:rsidR="000E50B9" w:rsidRDefault="000E50B9" w:rsidP="005252F8">
            <w:pPr>
              <w:ind w:left="-2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 w:rsidRPr="005252F8">
              <w:rPr>
                <w:rFonts w:cs="Times New Roman"/>
                <w:szCs w:val="24"/>
              </w:rPr>
              <w:t>přídavek</w:t>
            </w:r>
          </w:p>
        </w:tc>
        <w:tc>
          <w:tcPr>
            <w:tcW w:w="4111" w:type="dxa"/>
            <w:vAlign w:val="center"/>
          </w:tcPr>
          <w:p w:rsidR="000E50B9" w:rsidRPr="000E50B9" w:rsidRDefault="000E50B9" w:rsidP="00E86A5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10 ml propan-2-olu</w:t>
            </w:r>
          </w:p>
        </w:tc>
      </w:tr>
      <w:tr w:rsidR="00DA693F" w:rsidTr="005252F8">
        <w:trPr>
          <w:jc w:val="center"/>
        </w:trPr>
        <w:tc>
          <w:tcPr>
            <w:tcW w:w="3754" w:type="dxa"/>
            <w:vAlign w:val="center"/>
          </w:tcPr>
          <w:p w:rsidR="00DA693F" w:rsidRPr="005252F8" w:rsidRDefault="005252F8" w:rsidP="005252F8">
            <w:pPr>
              <w:ind w:left="-2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 w:rsidR="00DA693F" w:rsidRPr="005252F8">
              <w:rPr>
                <w:rFonts w:cs="Times New Roman"/>
                <w:szCs w:val="24"/>
              </w:rPr>
              <w:t>přídavek</w:t>
            </w:r>
          </w:p>
        </w:tc>
        <w:tc>
          <w:tcPr>
            <w:tcW w:w="4111" w:type="dxa"/>
            <w:vAlign w:val="center"/>
          </w:tcPr>
          <w:p w:rsidR="00DA693F" w:rsidRDefault="00E86A51" w:rsidP="00E86A5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="00DA693F">
              <w:rPr>
                <w:rFonts w:cs="Times New Roman"/>
                <w:sz w:val="24"/>
                <w:szCs w:val="24"/>
              </w:rPr>
              <w:t>20 ml propan-2-olu</w:t>
            </w:r>
          </w:p>
        </w:tc>
      </w:tr>
      <w:tr w:rsidR="00DA693F" w:rsidTr="005252F8">
        <w:trPr>
          <w:jc w:val="center"/>
        </w:trPr>
        <w:tc>
          <w:tcPr>
            <w:tcW w:w="3754" w:type="dxa"/>
            <w:vAlign w:val="center"/>
          </w:tcPr>
          <w:p w:rsidR="00DA693F" w:rsidRPr="005252F8" w:rsidRDefault="005252F8" w:rsidP="005252F8">
            <w:pPr>
              <w:ind w:left="-2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 w:rsidR="00DA693F" w:rsidRPr="005252F8">
              <w:rPr>
                <w:rFonts w:cs="Times New Roman"/>
                <w:szCs w:val="24"/>
              </w:rPr>
              <w:t>přídavek</w:t>
            </w:r>
          </w:p>
        </w:tc>
        <w:tc>
          <w:tcPr>
            <w:tcW w:w="4111" w:type="dxa"/>
            <w:vAlign w:val="center"/>
          </w:tcPr>
          <w:p w:rsidR="00DA693F" w:rsidRPr="00E86A51" w:rsidRDefault="00E86A51" w:rsidP="00E86A51">
            <w:pPr>
              <w:ind w:left="71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20 ml </w:t>
            </w:r>
            <w:proofErr w:type="spellStart"/>
            <w:r>
              <w:rPr>
                <w:rFonts w:cs="Times New Roman"/>
                <w:sz w:val="24"/>
                <w:szCs w:val="24"/>
              </w:rPr>
              <w:t>deionizované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vody</w:t>
            </w:r>
          </w:p>
        </w:tc>
      </w:tr>
      <w:tr w:rsidR="00DA693F" w:rsidTr="005252F8">
        <w:trPr>
          <w:jc w:val="center"/>
        </w:trPr>
        <w:tc>
          <w:tcPr>
            <w:tcW w:w="3754" w:type="dxa"/>
            <w:vAlign w:val="center"/>
          </w:tcPr>
          <w:p w:rsidR="00DA693F" w:rsidRPr="005252F8" w:rsidRDefault="005252F8" w:rsidP="005252F8">
            <w:pPr>
              <w:ind w:left="-2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 p</w:t>
            </w:r>
            <w:r w:rsidR="00DA693F" w:rsidRPr="005252F8">
              <w:rPr>
                <w:rFonts w:cs="Times New Roman"/>
                <w:szCs w:val="24"/>
              </w:rPr>
              <w:t>řídavek</w:t>
            </w:r>
          </w:p>
        </w:tc>
        <w:tc>
          <w:tcPr>
            <w:tcW w:w="4111" w:type="dxa"/>
            <w:vAlign w:val="center"/>
          </w:tcPr>
          <w:p w:rsidR="00DA693F" w:rsidRDefault="00DA693F" w:rsidP="00E86A5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 ml </w:t>
            </w:r>
            <w:proofErr w:type="spellStart"/>
            <w:r>
              <w:rPr>
                <w:rFonts w:cs="Times New Roman"/>
                <w:sz w:val="24"/>
                <w:szCs w:val="24"/>
              </w:rPr>
              <w:t>deionizované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vody</w:t>
            </w:r>
          </w:p>
        </w:tc>
      </w:tr>
    </w:tbl>
    <w:p w:rsidR="00123F40" w:rsidRDefault="00123F40" w:rsidP="00DA693F">
      <w:pPr>
        <w:jc w:val="center"/>
        <w:rPr>
          <w:rFonts w:cs="Times New Roman"/>
          <w:szCs w:val="24"/>
        </w:rPr>
      </w:pPr>
    </w:p>
    <w:p w:rsidR="00DA693F" w:rsidRPr="00123F40" w:rsidRDefault="00DA693F" w:rsidP="008F7FCB">
      <w:pPr>
        <w:ind w:firstLine="0"/>
        <w:jc w:val="center"/>
        <w:rPr>
          <w:rFonts w:cs="Times New Roman"/>
          <w:szCs w:val="24"/>
        </w:rPr>
      </w:pPr>
      <w:r w:rsidRPr="00123F40">
        <w:rPr>
          <w:rFonts w:cs="Times New Roman"/>
          <w:szCs w:val="24"/>
        </w:rPr>
        <w:t>Tab</w:t>
      </w:r>
      <w:r w:rsidR="00123F40" w:rsidRPr="00123F40">
        <w:rPr>
          <w:rFonts w:cs="Times New Roman"/>
          <w:szCs w:val="24"/>
        </w:rPr>
        <w:t>ulka</w:t>
      </w:r>
      <w:r w:rsidRPr="00123F40">
        <w:rPr>
          <w:rFonts w:cs="Times New Roman"/>
          <w:szCs w:val="24"/>
        </w:rPr>
        <w:t xml:space="preserve"> </w:t>
      </w:r>
      <w:r w:rsidR="00DC1EF6">
        <w:rPr>
          <w:rFonts w:cs="Times New Roman"/>
          <w:szCs w:val="24"/>
        </w:rPr>
        <w:t>4</w:t>
      </w:r>
      <w:r w:rsidRPr="00123F40">
        <w:rPr>
          <w:rFonts w:cs="Times New Roman"/>
          <w:szCs w:val="24"/>
        </w:rPr>
        <w:t xml:space="preserve">: </w:t>
      </w:r>
      <w:r w:rsidR="00123F40" w:rsidRPr="00123F40">
        <w:rPr>
          <w:rFonts w:cs="Times New Roman"/>
          <w:szCs w:val="24"/>
        </w:rPr>
        <w:t xml:space="preserve"> </w:t>
      </w:r>
      <w:r w:rsidRPr="00123F40">
        <w:rPr>
          <w:rFonts w:cs="Times New Roman"/>
          <w:szCs w:val="24"/>
        </w:rPr>
        <w:t>Přídavky promývacích látek ve třetím dnu přípravy vzorku</w:t>
      </w:r>
    </w:p>
    <w:p w:rsidR="001A601E" w:rsidRPr="00FE05D7" w:rsidRDefault="001A601E" w:rsidP="001A601E">
      <w:pPr>
        <w:spacing w:before="120"/>
        <w:ind w:firstLine="0"/>
        <w:jc w:val="both"/>
        <w:rPr>
          <w:rFonts w:cs="Times New Roman"/>
          <w:sz w:val="12"/>
          <w:szCs w:val="12"/>
        </w:rPr>
      </w:pPr>
    </w:p>
    <w:p w:rsidR="00DA693F" w:rsidRDefault="00DA693F" w:rsidP="001A601E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Promývání propan-2-olem by bylo možné provést i třikrát, nicméně i dvojité promytí </w:t>
      </w:r>
      <w:r>
        <w:rPr>
          <w:rFonts w:cs="Times New Roman"/>
          <w:szCs w:val="24"/>
        </w:rPr>
        <w:br/>
        <w:t>je dostatečné. Po každém přídavku promývacího činidla následuje důkladná dekantace ka</w:t>
      </w:r>
      <w:r w:rsidR="0083531C">
        <w:rPr>
          <w:rFonts w:cs="Times New Roman"/>
          <w:szCs w:val="24"/>
        </w:rPr>
        <w:t xml:space="preserve">paliny nad vysráženým </w:t>
      </w:r>
      <w:proofErr w:type="spellStart"/>
      <w:r w:rsidR="0083531C">
        <w:rPr>
          <w:rFonts w:cs="Times New Roman"/>
          <w:szCs w:val="24"/>
        </w:rPr>
        <w:t>peletem</w:t>
      </w:r>
      <w:proofErr w:type="spellEnd"/>
      <w:r w:rsidR="0083531C">
        <w:rPr>
          <w:rFonts w:cs="Times New Roman"/>
          <w:szCs w:val="24"/>
        </w:rPr>
        <w:t xml:space="preserve"> v </w:t>
      </w:r>
      <w:proofErr w:type="spellStart"/>
      <w:r>
        <w:rPr>
          <w:rFonts w:cs="Times New Roman"/>
          <w:szCs w:val="24"/>
        </w:rPr>
        <w:t>minizkumavce</w:t>
      </w:r>
      <w:proofErr w:type="spellEnd"/>
      <w:r>
        <w:rPr>
          <w:rFonts w:cs="Times New Roman"/>
          <w:szCs w:val="24"/>
        </w:rPr>
        <w:t xml:space="preserve">. Po dvou přídavcích propan-2-olu následují dva přídavky </w:t>
      </w:r>
      <w:proofErr w:type="spellStart"/>
      <w:r>
        <w:rPr>
          <w:rFonts w:cs="Times New Roman"/>
          <w:szCs w:val="24"/>
        </w:rPr>
        <w:t>deionizované</w:t>
      </w:r>
      <w:proofErr w:type="spellEnd"/>
      <w:r>
        <w:rPr>
          <w:rFonts w:cs="Times New Roman"/>
          <w:szCs w:val="24"/>
        </w:rPr>
        <w:t xml:space="preserve"> vody, která je čistší než destilovaná vo</w:t>
      </w:r>
      <w:r w:rsidR="00882355">
        <w:rPr>
          <w:rFonts w:cs="Times New Roman"/>
          <w:szCs w:val="24"/>
        </w:rPr>
        <w:t>da</w:t>
      </w:r>
      <w:r w:rsidR="009E0C4A">
        <w:rPr>
          <w:rFonts w:cs="Times New Roman"/>
          <w:szCs w:val="24"/>
        </w:rPr>
        <w:t>.</w:t>
      </w:r>
      <w:r w:rsidR="00882355">
        <w:rPr>
          <w:rFonts w:cs="Times New Roman"/>
          <w:szCs w:val="24"/>
        </w:rPr>
        <w:t xml:space="preserve"> </w:t>
      </w:r>
      <w:r w:rsidR="009E0C4A">
        <w:rPr>
          <w:rFonts w:cs="Times New Roman"/>
          <w:szCs w:val="24"/>
        </w:rPr>
        <w:t xml:space="preserve">(Destilovaná voda není </w:t>
      </w:r>
      <w:r w:rsidR="00882355">
        <w:rPr>
          <w:rFonts w:cs="Times New Roman"/>
          <w:szCs w:val="24"/>
        </w:rPr>
        <w:t>pro účel promývání</w:t>
      </w:r>
      <w:r w:rsidR="006D5C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 přesně dané přípravy dostatečně čistá</w:t>
      </w:r>
      <w:r w:rsidR="009E0C4A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. Po posledním přídavku </w:t>
      </w:r>
      <w:proofErr w:type="spellStart"/>
      <w:r>
        <w:rPr>
          <w:rFonts w:cs="Times New Roman"/>
          <w:szCs w:val="24"/>
        </w:rPr>
        <w:t>deionizované</w:t>
      </w:r>
      <w:proofErr w:type="spellEnd"/>
      <w:r>
        <w:rPr>
          <w:rFonts w:cs="Times New Roman"/>
          <w:szCs w:val="24"/>
        </w:rPr>
        <w:t xml:space="preserve"> vo</w:t>
      </w:r>
      <w:r w:rsidR="00882355">
        <w:rPr>
          <w:rFonts w:cs="Times New Roman"/>
          <w:szCs w:val="24"/>
        </w:rPr>
        <w:t xml:space="preserve">dy </w:t>
      </w:r>
      <w:r>
        <w:rPr>
          <w:rFonts w:cs="Times New Roman"/>
          <w:szCs w:val="24"/>
        </w:rPr>
        <w:t xml:space="preserve">a dekantaci je vzniklý pelet dispergován ve 2 ml </w:t>
      </w:r>
      <w:proofErr w:type="spellStart"/>
      <w:r>
        <w:rPr>
          <w:rFonts w:cs="Times New Roman"/>
          <w:szCs w:val="24"/>
        </w:rPr>
        <w:t>deionizované</w:t>
      </w:r>
      <w:proofErr w:type="spellEnd"/>
      <w:r>
        <w:rPr>
          <w:rFonts w:cs="Times New Roman"/>
          <w:szCs w:val="24"/>
        </w:rPr>
        <w:t xml:space="preserve"> v</w:t>
      </w:r>
      <w:r w:rsidR="009E0C4A">
        <w:rPr>
          <w:rFonts w:cs="Times New Roman"/>
          <w:szCs w:val="24"/>
        </w:rPr>
        <w:t xml:space="preserve">ody v </w:t>
      </w:r>
      <w:r>
        <w:rPr>
          <w:rFonts w:cs="Times New Roman"/>
          <w:szCs w:val="24"/>
        </w:rPr>
        <w:t xml:space="preserve">každé </w:t>
      </w:r>
      <w:proofErr w:type="spellStart"/>
      <w:r>
        <w:rPr>
          <w:rFonts w:cs="Times New Roman"/>
          <w:szCs w:val="24"/>
        </w:rPr>
        <w:t>minizkumavce</w:t>
      </w:r>
      <w:proofErr w:type="spellEnd"/>
      <w:r>
        <w:rPr>
          <w:rFonts w:cs="Times New Roman"/>
          <w:szCs w:val="24"/>
        </w:rPr>
        <w:t xml:space="preserve">. Všechny </w:t>
      </w:r>
      <w:proofErr w:type="spellStart"/>
      <w:r>
        <w:rPr>
          <w:rFonts w:cs="Times New Roman"/>
          <w:szCs w:val="24"/>
        </w:rPr>
        <w:t>minizkumavky</w:t>
      </w:r>
      <w:proofErr w:type="spellEnd"/>
      <w:r>
        <w:rPr>
          <w:rFonts w:cs="Times New Roman"/>
          <w:szCs w:val="24"/>
        </w:rPr>
        <w:t xml:space="preserve"> je nutné poté v centrifuze nejméně minutu </w:t>
      </w:r>
      <w:r w:rsidR="009E0C4A">
        <w:rPr>
          <w:rFonts w:cs="Times New Roman"/>
          <w:szCs w:val="24"/>
        </w:rPr>
        <w:t>po</w:t>
      </w:r>
      <w:r>
        <w:rPr>
          <w:rFonts w:cs="Times New Roman"/>
          <w:szCs w:val="24"/>
        </w:rPr>
        <w:t>nechat vlivu odstředivé síly při 10</w:t>
      </w:r>
      <w:r w:rsidR="006D5C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000 </w:t>
      </w:r>
      <w:proofErr w:type="spellStart"/>
      <w:r>
        <w:rPr>
          <w:rFonts w:cs="Times New Roman"/>
          <w:szCs w:val="24"/>
        </w:rPr>
        <w:t>ot</w:t>
      </w:r>
      <w:proofErr w:type="spellEnd"/>
      <w:r>
        <w:rPr>
          <w:rFonts w:cs="Times New Roman"/>
          <w:szCs w:val="24"/>
        </w:rPr>
        <w:t xml:space="preserve">/min. Poté </w:t>
      </w:r>
      <w:r w:rsidR="006C4012">
        <w:rPr>
          <w:rFonts w:cs="Times New Roman"/>
          <w:szCs w:val="24"/>
        </w:rPr>
        <w:t xml:space="preserve">je třeba </w:t>
      </w:r>
      <w:r>
        <w:rPr>
          <w:rFonts w:cs="Times New Roman"/>
          <w:szCs w:val="24"/>
        </w:rPr>
        <w:t xml:space="preserve">znovu všechny </w:t>
      </w:r>
      <w:proofErr w:type="spellStart"/>
      <w:r>
        <w:rPr>
          <w:rFonts w:cs="Times New Roman"/>
          <w:szCs w:val="24"/>
        </w:rPr>
        <w:t>minizkumavky</w:t>
      </w:r>
      <w:proofErr w:type="spellEnd"/>
      <w:r>
        <w:rPr>
          <w:rFonts w:cs="Times New Roman"/>
          <w:szCs w:val="24"/>
        </w:rPr>
        <w:t xml:space="preserve"> vlož</w:t>
      </w:r>
      <w:r w:rsidR="006C4012">
        <w:rPr>
          <w:rFonts w:cs="Times New Roman"/>
          <w:szCs w:val="24"/>
        </w:rPr>
        <w:t>it</w:t>
      </w:r>
      <w:r>
        <w:rPr>
          <w:rFonts w:cs="Times New Roman"/>
          <w:szCs w:val="24"/>
        </w:rPr>
        <w:t xml:space="preserve"> do </w:t>
      </w:r>
      <w:proofErr w:type="spellStart"/>
      <w:r>
        <w:rPr>
          <w:rFonts w:cs="Times New Roman"/>
          <w:szCs w:val="24"/>
        </w:rPr>
        <w:t>sonifikačn</w:t>
      </w:r>
      <w:r w:rsidR="00882355">
        <w:rPr>
          <w:rFonts w:cs="Times New Roman"/>
          <w:szCs w:val="24"/>
        </w:rPr>
        <w:t>ího</w:t>
      </w:r>
      <w:proofErr w:type="spellEnd"/>
      <w:r w:rsidR="00882355">
        <w:rPr>
          <w:rFonts w:cs="Times New Roman"/>
          <w:szCs w:val="24"/>
        </w:rPr>
        <w:t xml:space="preserve"> zařízení </w:t>
      </w:r>
      <w:r>
        <w:rPr>
          <w:rFonts w:cs="Times New Roman"/>
          <w:szCs w:val="24"/>
        </w:rPr>
        <w:t xml:space="preserve">na nejméně 15 minut. Po ukončení působení ultrazvuku </w:t>
      </w:r>
      <w:r w:rsidR="009E0C4A">
        <w:rPr>
          <w:rFonts w:cs="Times New Roman"/>
          <w:szCs w:val="24"/>
        </w:rPr>
        <w:t>byl</w:t>
      </w:r>
      <w:r>
        <w:rPr>
          <w:rFonts w:cs="Times New Roman"/>
          <w:szCs w:val="24"/>
        </w:rPr>
        <w:t xml:space="preserve"> již získ</w:t>
      </w:r>
      <w:r w:rsidR="009E0C4A">
        <w:rPr>
          <w:rFonts w:cs="Times New Roman"/>
          <w:szCs w:val="24"/>
        </w:rPr>
        <w:t>án</w:t>
      </w:r>
      <w:r>
        <w:rPr>
          <w:rFonts w:cs="Times New Roman"/>
          <w:szCs w:val="24"/>
        </w:rPr>
        <w:t xml:space="preserve"> vzorek</w:t>
      </w:r>
      <w:r w:rsidR="00366A73">
        <w:rPr>
          <w:rFonts w:cs="Times New Roman"/>
          <w:szCs w:val="24"/>
        </w:rPr>
        <w:t xml:space="preserve"> nanočástic</w:t>
      </w:r>
      <w:r>
        <w:rPr>
          <w:rFonts w:cs="Times New Roman"/>
          <w:szCs w:val="24"/>
        </w:rPr>
        <w:t xml:space="preserve">, který </w:t>
      </w:r>
      <w:r w:rsidR="009E0C4A">
        <w:rPr>
          <w:rFonts w:cs="Times New Roman"/>
          <w:szCs w:val="24"/>
        </w:rPr>
        <w:t>může být</w:t>
      </w:r>
      <w:r>
        <w:rPr>
          <w:rFonts w:cs="Times New Roman"/>
          <w:szCs w:val="24"/>
        </w:rPr>
        <w:t xml:space="preserve"> dále analyzován.</w:t>
      </w:r>
    </w:p>
    <w:p w:rsidR="00882355" w:rsidRDefault="00882355" w:rsidP="001A601E">
      <w:pPr>
        <w:ind w:firstLine="0"/>
        <w:jc w:val="both"/>
        <w:rPr>
          <w:rFonts w:cs="Times New Roman"/>
          <w:szCs w:val="24"/>
        </w:rPr>
      </w:pPr>
    </w:p>
    <w:p w:rsidR="001A601E" w:rsidRPr="00455110" w:rsidRDefault="001A601E" w:rsidP="001A601E">
      <w:pPr>
        <w:pStyle w:val="Nadpis1"/>
        <w:spacing w:before="0" w:after="0"/>
        <w:jc w:val="left"/>
        <w:rPr>
          <w:sz w:val="28"/>
        </w:rPr>
      </w:pPr>
      <w:r w:rsidRPr="00455110">
        <w:rPr>
          <w:sz w:val="28"/>
        </w:rPr>
        <w:t>5.</w:t>
      </w:r>
      <w:r w:rsidR="00455110" w:rsidRPr="00455110">
        <w:rPr>
          <w:sz w:val="28"/>
        </w:rPr>
        <w:t>4.3</w:t>
      </w:r>
      <w:r w:rsidRPr="00455110">
        <w:rPr>
          <w:sz w:val="28"/>
        </w:rPr>
        <w:t xml:space="preserve">.  Analýza </w:t>
      </w:r>
      <w:r w:rsidR="00D739A0" w:rsidRPr="00455110">
        <w:rPr>
          <w:sz w:val="28"/>
        </w:rPr>
        <w:t xml:space="preserve">nanočástic </w:t>
      </w:r>
      <w:r w:rsidRPr="00455110">
        <w:rPr>
          <w:sz w:val="28"/>
        </w:rPr>
        <w:t>gelovou elektroforézou</w:t>
      </w:r>
    </w:p>
    <w:p w:rsidR="00FE05D7" w:rsidRDefault="00DA693F" w:rsidP="00551113">
      <w:pPr>
        <w:spacing w:before="120"/>
        <w:jc w:val="both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 xml:space="preserve">Po </w:t>
      </w:r>
      <w:r w:rsidRPr="00551113">
        <w:rPr>
          <w:rFonts w:cs="Times New Roman"/>
          <w:szCs w:val="24"/>
        </w:rPr>
        <w:t>dokončení</w:t>
      </w:r>
      <w:r>
        <w:rPr>
          <w:rFonts w:eastAsiaTheme="majorEastAsia" w:cs="Times New Roman"/>
          <w:szCs w:val="24"/>
        </w:rPr>
        <w:t xml:space="preserve"> přípravy vzorku následovala analýza vyrobeného vzorku, kdy bylo nutné na elektroforéze ověřit, jestli </w:t>
      </w:r>
      <w:r w:rsidR="002776D2">
        <w:rPr>
          <w:rFonts w:eastAsiaTheme="majorEastAsia" w:cs="Times New Roman"/>
          <w:szCs w:val="24"/>
        </w:rPr>
        <w:t>byla syntéza</w:t>
      </w:r>
      <w:r>
        <w:rPr>
          <w:rFonts w:eastAsiaTheme="majorEastAsia" w:cs="Times New Roman"/>
          <w:szCs w:val="24"/>
        </w:rPr>
        <w:t xml:space="preserve"> úspěšná. N</w:t>
      </w:r>
      <w:r w:rsidR="002776D2">
        <w:rPr>
          <w:rFonts w:eastAsiaTheme="majorEastAsia" w:cs="Times New Roman"/>
          <w:szCs w:val="24"/>
        </w:rPr>
        <w:t>ejprve byla třeba opět nutná pří</w:t>
      </w:r>
      <w:r>
        <w:rPr>
          <w:rFonts w:eastAsiaTheme="majorEastAsia" w:cs="Times New Roman"/>
          <w:szCs w:val="24"/>
        </w:rPr>
        <w:t>prav</w:t>
      </w:r>
      <w:r w:rsidR="002776D2">
        <w:rPr>
          <w:rFonts w:eastAsiaTheme="majorEastAsia" w:cs="Times New Roman"/>
          <w:szCs w:val="24"/>
        </w:rPr>
        <w:t>a</w:t>
      </w:r>
      <w:r>
        <w:rPr>
          <w:rFonts w:eastAsiaTheme="majorEastAsia" w:cs="Times New Roman"/>
          <w:szCs w:val="24"/>
        </w:rPr>
        <w:t xml:space="preserve"> gel</w:t>
      </w:r>
      <w:r w:rsidR="002776D2">
        <w:rPr>
          <w:rFonts w:eastAsiaTheme="majorEastAsia" w:cs="Times New Roman"/>
          <w:szCs w:val="24"/>
        </w:rPr>
        <w:t>u</w:t>
      </w:r>
      <w:r>
        <w:rPr>
          <w:rFonts w:eastAsiaTheme="majorEastAsia" w:cs="Times New Roman"/>
          <w:szCs w:val="24"/>
        </w:rPr>
        <w:t>, tak jak byl</w:t>
      </w:r>
      <w:r w:rsidR="002776D2">
        <w:rPr>
          <w:rFonts w:eastAsiaTheme="majorEastAsia" w:cs="Times New Roman"/>
          <w:szCs w:val="24"/>
        </w:rPr>
        <w:t>o</w:t>
      </w:r>
      <w:r>
        <w:rPr>
          <w:rFonts w:eastAsiaTheme="majorEastAsia" w:cs="Times New Roman"/>
          <w:szCs w:val="24"/>
        </w:rPr>
        <w:t xml:space="preserve"> popsán</w:t>
      </w:r>
      <w:r w:rsidR="002776D2">
        <w:rPr>
          <w:rFonts w:eastAsiaTheme="majorEastAsia" w:cs="Times New Roman"/>
          <w:szCs w:val="24"/>
        </w:rPr>
        <w:t>o</w:t>
      </w:r>
      <w:r>
        <w:rPr>
          <w:rFonts w:eastAsiaTheme="majorEastAsia" w:cs="Times New Roman"/>
          <w:szCs w:val="24"/>
        </w:rPr>
        <w:t xml:space="preserve"> výše, t</w:t>
      </w:r>
      <w:r w:rsidR="0083531C">
        <w:rPr>
          <w:rFonts w:eastAsiaTheme="majorEastAsia" w:cs="Times New Roman"/>
          <w:szCs w:val="24"/>
        </w:rPr>
        <w:t xml:space="preserve">edy rozpuštění 250 mg </w:t>
      </w:r>
      <w:proofErr w:type="spellStart"/>
      <w:r w:rsidR="0083531C">
        <w:rPr>
          <w:rFonts w:eastAsiaTheme="majorEastAsia" w:cs="Times New Roman"/>
          <w:szCs w:val="24"/>
        </w:rPr>
        <w:t>agarózy</w:t>
      </w:r>
      <w:proofErr w:type="spellEnd"/>
      <w:r w:rsidR="0083531C">
        <w:rPr>
          <w:rFonts w:eastAsiaTheme="majorEastAsia" w:cs="Times New Roman"/>
          <w:szCs w:val="24"/>
        </w:rPr>
        <w:t xml:space="preserve"> v </w:t>
      </w:r>
      <w:r>
        <w:rPr>
          <w:rFonts w:eastAsiaTheme="majorEastAsia" w:cs="Times New Roman"/>
          <w:szCs w:val="24"/>
        </w:rPr>
        <w:t xml:space="preserve">tlumivém roztoku </w:t>
      </w:r>
      <w:r w:rsidR="0083531C">
        <w:rPr>
          <w:rFonts w:eastAsiaTheme="majorEastAsia" w:cs="Times New Roman"/>
          <w:szCs w:val="24"/>
        </w:rPr>
        <w:br/>
      </w:r>
      <w:r w:rsidR="00230D9B">
        <w:rPr>
          <w:rFonts w:eastAsiaTheme="majorEastAsia" w:cs="Times New Roman"/>
          <w:szCs w:val="24"/>
        </w:rPr>
        <w:t xml:space="preserve">TRIS </w:t>
      </w:r>
      <w:r w:rsidR="0083531C">
        <w:rPr>
          <w:rFonts w:eastAsiaTheme="majorEastAsia" w:cs="Times New Roman"/>
          <w:szCs w:val="24"/>
        </w:rPr>
        <w:t xml:space="preserve">na magnetické míchačce s </w:t>
      </w:r>
      <w:r>
        <w:rPr>
          <w:rFonts w:eastAsiaTheme="majorEastAsia" w:cs="Times New Roman"/>
          <w:szCs w:val="24"/>
        </w:rPr>
        <w:t xml:space="preserve">topným zařízením, </w:t>
      </w:r>
      <w:r w:rsidR="00366A73">
        <w:rPr>
          <w:rFonts w:eastAsiaTheme="majorEastAsia" w:cs="Times New Roman"/>
          <w:szCs w:val="24"/>
        </w:rPr>
        <w:t xml:space="preserve">následné </w:t>
      </w:r>
      <w:r>
        <w:rPr>
          <w:rFonts w:eastAsiaTheme="majorEastAsia" w:cs="Times New Roman"/>
          <w:szCs w:val="24"/>
        </w:rPr>
        <w:t>tuhnutí gelu ve formě a jeho za</w:t>
      </w:r>
      <w:r w:rsidR="0083531C">
        <w:rPr>
          <w:rFonts w:eastAsiaTheme="majorEastAsia" w:cs="Times New Roman"/>
          <w:szCs w:val="24"/>
        </w:rPr>
        <w:t xml:space="preserve">lití dalším tlumivým roztokem v </w:t>
      </w:r>
      <w:r>
        <w:rPr>
          <w:rFonts w:eastAsiaTheme="majorEastAsia" w:cs="Times New Roman"/>
          <w:szCs w:val="24"/>
        </w:rPr>
        <w:t xml:space="preserve">aparatuře. </w:t>
      </w:r>
    </w:p>
    <w:p w:rsidR="00DA693F" w:rsidRDefault="00DA693F" w:rsidP="00551113">
      <w:pPr>
        <w:spacing w:before="120"/>
        <w:jc w:val="both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 xml:space="preserve">Velmi důležitou částí před zahájením analýzy </w:t>
      </w:r>
      <w:r w:rsidR="00D33E5F">
        <w:rPr>
          <w:rFonts w:eastAsiaTheme="majorEastAsia" w:cs="Times New Roman"/>
          <w:szCs w:val="24"/>
        </w:rPr>
        <w:t>bylo</w:t>
      </w:r>
      <w:r>
        <w:rPr>
          <w:rFonts w:eastAsiaTheme="majorEastAsia" w:cs="Times New Roman"/>
          <w:szCs w:val="24"/>
        </w:rPr>
        <w:t xml:space="preserve"> nadávkování vzorku d</w:t>
      </w:r>
      <w:r w:rsidR="00882355">
        <w:rPr>
          <w:rFonts w:eastAsiaTheme="majorEastAsia" w:cs="Times New Roman"/>
          <w:szCs w:val="24"/>
        </w:rPr>
        <w:t>o</w:t>
      </w:r>
      <w:r>
        <w:rPr>
          <w:rFonts w:eastAsiaTheme="majorEastAsia" w:cs="Times New Roman"/>
          <w:szCs w:val="24"/>
        </w:rPr>
        <w:t xml:space="preserve"> jamek vytvořených hřebínkem při tuhnutí gelu. </w:t>
      </w:r>
      <w:r w:rsidR="00366A73">
        <w:rPr>
          <w:rFonts w:eastAsiaTheme="majorEastAsia" w:cs="Times New Roman"/>
          <w:szCs w:val="24"/>
        </w:rPr>
        <w:t>Tu</w:t>
      </w:r>
      <w:r>
        <w:rPr>
          <w:rFonts w:eastAsiaTheme="majorEastAsia" w:cs="Times New Roman"/>
          <w:szCs w:val="24"/>
        </w:rPr>
        <w:t xml:space="preserve"> hraje důležitou roli glycerol, který zde plní funkci „zadržovatele“. Jeho úk</w:t>
      </w:r>
      <w:r w:rsidR="00D33E5F">
        <w:rPr>
          <w:rFonts w:eastAsiaTheme="majorEastAsia" w:cs="Times New Roman"/>
          <w:szCs w:val="24"/>
        </w:rPr>
        <w:t xml:space="preserve">olem je zabránit eluci vzorku z </w:t>
      </w:r>
      <w:r>
        <w:rPr>
          <w:rFonts w:eastAsiaTheme="majorEastAsia" w:cs="Times New Roman"/>
          <w:szCs w:val="24"/>
        </w:rPr>
        <w:t xml:space="preserve">jamky do volného roztoku. </w:t>
      </w:r>
      <w:r w:rsidR="00BF78FC">
        <w:rPr>
          <w:rFonts w:eastAsiaTheme="majorEastAsia" w:cs="Times New Roman"/>
          <w:szCs w:val="24"/>
        </w:rPr>
        <w:br/>
      </w:r>
      <w:r>
        <w:rPr>
          <w:rFonts w:eastAsiaTheme="majorEastAsia" w:cs="Times New Roman"/>
          <w:szCs w:val="24"/>
        </w:rPr>
        <w:t>Objem dávek do j</w:t>
      </w:r>
      <w:r w:rsidR="00455110">
        <w:rPr>
          <w:rFonts w:eastAsiaTheme="majorEastAsia" w:cs="Times New Roman"/>
          <w:szCs w:val="24"/>
        </w:rPr>
        <w:t xml:space="preserve">ednotlivých jamek se pohybuje v </w:t>
      </w:r>
      <w:r>
        <w:rPr>
          <w:rFonts w:eastAsiaTheme="majorEastAsia" w:cs="Times New Roman"/>
          <w:szCs w:val="24"/>
        </w:rPr>
        <w:t xml:space="preserve">řádu µl. Po připojení ke zdroji napětí </w:t>
      </w:r>
      <w:r w:rsidR="00BF78FC">
        <w:rPr>
          <w:rFonts w:eastAsiaTheme="majorEastAsia" w:cs="Times New Roman"/>
          <w:szCs w:val="24"/>
        </w:rPr>
        <w:br/>
      </w:r>
      <w:r>
        <w:rPr>
          <w:rFonts w:eastAsiaTheme="majorEastAsia" w:cs="Times New Roman"/>
          <w:szCs w:val="24"/>
        </w:rPr>
        <w:t xml:space="preserve">bylo zvoleno </w:t>
      </w:r>
      <w:r w:rsidR="00D33E5F">
        <w:rPr>
          <w:rFonts w:eastAsiaTheme="majorEastAsia" w:cs="Times New Roman"/>
          <w:szCs w:val="24"/>
        </w:rPr>
        <w:t xml:space="preserve">napětí </w:t>
      </w:r>
      <w:r>
        <w:rPr>
          <w:rFonts w:eastAsiaTheme="majorEastAsia" w:cs="Times New Roman"/>
          <w:szCs w:val="24"/>
        </w:rPr>
        <w:t>100 V, čemuž na displeji odpovídal elektrický proud 17</w:t>
      </w:r>
      <w:r w:rsidR="00882355">
        <w:rPr>
          <w:rFonts w:eastAsiaTheme="majorEastAsia" w:cs="Times New Roman"/>
          <w:szCs w:val="24"/>
        </w:rPr>
        <w:t xml:space="preserve"> </w:t>
      </w:r>
      <w:r>
        <w:rPr>
          <w:rFonts w:eastAsiaTheme="majorEastAsia" w:cs="Times New Roman"/>
          <w:szCs w:val="24"/>
        </w:rPr>
        <w:t>–</w:t>
      </w:r>
      <w:r w:rsidR="00882355">
        <w:rPr>
          <w:rFonts w:eastAsiaTheme="majorEastAsia" w:cs="Times New Roman"/>
          <w:szCs w:val="24"/>
        </w:rPr>
        <w:t xml:space="preserve"> </w:t>
      </w:r>
      <w:r>
        <w:rPr>
          <w:rFonts w:eastAsiaTheme="majorEastAsia" w:cs="Times New Roman"/>
          <w:szCs w:val="24"/>
        </w:rPr>
        <w:t>18</w:t>
      </w:r>
      <w:r w:rsidR="006D5C6B">
        <w:rPr>
          <w:rFonts w:eastAsiaTheme="majorEastAsia" w:cs="Times New Roman"/>
          <w:szCs w:val="24"/>
        </w:rPr>
        <w:t xml:space="preserve"> </w:t>
      </w:r>
      <w:r>
        <w:rPr>
          <w:rFonts w:eastAsiaTheme="majorEastAsia" w:cs="Times New Roman"/>
          <w:szCs w:val="24"/>
        </w:rPr>
        <w:t xml:space="preserve">mA. </w:t>
      </w:r>
      <w:r w:rsidR="00BF78FC">
        <w:rPr>
          <w:rFonts w:eastAsiaTheme="majorEastAsia" w:cs="Times New Roman"/>
          <w:szCs w:val="24"/>
        </w:rPr>
        <w:br/>
      </w:r>
      <w:r>
        <w:rPr>
          <w:rFonts w:eastAsiaTheme="majorEastAsia" w:cs="Times New Roman"/>
          <w:szCs w:val="24"/>
        </w:rPr>
        <w:t>Pod vlivem nap</w:t>
      </w:r>
      <w:r w:rsidR="00366A73">
        <w:rPr>
          <w:rFonts w:eastAsiaTheme="majorEastAsia" w:cs="Times New Roman"/>
          <w:szCs w:val="24"/>
        </w:rPr>
        <w:t xml:space="preserve">ětí o zvolené hodnotě byl gel s </w:t>
      </w:r>
      <w:r>
        <w:rPr>
          <w:rFonts w:eastAsiaTheme="majorEastAsia" w:cs="Times New Roman"/>
          <w:szCs w:val="24"/>
        </w:rPr>
        <w:t xml:space="preserve">nanesenými objemy vzorku ponechán </w:t>
      </w:r>
      <w:r w:rsidR="00BF78FC">
        <w:rPr>
          <w:rFonts w:eastAsiaTheme="majorEastAsia" w:cs="Times New Roman"/>
          <w:szCs w:val="24"/>
        </w:rPr>
        <w:br/>
      </w:r>
      <w:r w:rsidR="00726CCA">
        <w:rPr>
          <w:rFonts w:eastAsiaTheme="majorEastAsia" w:cs="Times New Roman"/>
          <w:szCs w:val="24"/>
        </w:rPr>
        <w:t>30 minut</w:t>
      </w:r>
      <w:r>
        <w:rPr>
          <w:rFonts w:eastAsiaTheme="majorEastAsia" w:cs="Times New Roman"/>
          <w:szCs w:val="24"/>
        </w:rPr>
        <w:t>. Během této půlhodiny analý</w:t>
      </w:r>
      <w:r w:rsidR="00551113">
        <w:rPr>
          <w:rFonts w:eastAsiaTheme="majorEastAsia" w:cs="Times New Roman"/>
          <w:szCs w:val="24"/>
        </w:rPr>
        <w:t>za probíhá bez vnějších zásahů.</w:t>
      </w:r>
    </w:p>
    <w:p w:rsidR="00DA693F" w:rsidRDefault="00DA693F" w:rsidP="00551113">
      <w:pPr>
        <w:spacing w:before="120"/>
        <w:jc w:val="both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lastRenderedPageBreak/>
        <w:t xml:space="preserve">Po </w:t>
      </w:r>
      <w:r w:rsidRPr="00551113">
        <w:rPr>
          <w:rFonts w:cs="Times New Roman"/>
          <w:szCs w:val="24"/>
        </w:rPr>
        <w:t>ukončení</w:t>
      </w:r>
      <w:r>
        <w:rPr>
          <w:rFonts w:eastAsiaTheme="majorEastAsia" w:cs="Times New Roman"/>
          <w:szCs w:val="24"/>
        </w:rPr>
        <w:t xml:space="preserve"> </w:t>
      </w:r>
      <w:r w:rsidR="0083531C">
        <w:rPr>
          <w:rFonts w:eastAsiaTheme="majorEastAsia" w:cs="Times New Roman"/>
          <w:szCs w:val="24"/>
        </w:rPr>
        <w:t xml:space="preserve">elektroforézy </w:t>
      </w:r>
      <w:r w:rsidR="00D33E5F">
        <w:rPr>
          <w:rFonts w:eastAsiaTheme="majorEastAsia" w:cs="Times New Roman"/>
          <w:szCs w:val="24"/>
        </w:rPr>
        <w:t>byl</w:t>
      </w:r>
      <w:r w:rsidR="0083531C">
        <w:rPr>
          <w:rFonts w:eastAsiaTheme="majorEastAsia" w:cs="Times New Roman"/>
          <w:szCs w:val="24"/>
        </w:rPr>
        <w:t xml:space="preserve"> gel vyjmut i s </w:t>
      </w:r>
      <w:r w:rsidR="00366A73">
        <w:rPr>
          <w:rFonts w:eastAsiaTheme="majorEastAsia" w:cs="Times New Roman"/>
          <w:szCs w:val="24"/>
        </w:rPr>
        <w:t xml:space="preserve">plastovou formou. Z </w:t>
      </w:r>
      <w:r>
        <w:rPr>
          <w:rFonts w:eastAsiaTheme="majorEastAsia" w:cs="Times New Roman"/>
          <w:szCs w:val="24"/>
        </w:rPr>
        <w:t xml:space="preserve">plastové formy </w:t>
      </w:r>
      <w:r w:rsidR="0083531C">
        <w:rPr>
          <w:rFonts w:eastAsiaTheme="majorEastAsia" w:cs="Times New Roman"/>
          <w:szCs w:val="24"/>
        </w:rPr>
        <w:br/>
      </w:r>
      <w:r w:rsidR="00D33E5F">
        <w:rPr>
          <w:rFonts w:eastAsiaTheme="majorEastAsia" w:cs="Times New Roman"/>
          <w:szCs w:val="24"/>
        </w:rPr>
        <w:t>bylo</w:t>
      </w:r>
      <w:r>
        <w:rPr>
          <w:rFonts w:eastAsiaTheme="majorEastAsia" w:cs="Times New Roman"/>
          <w:szCs w:val="24"/>
        </w:rPr>
        <w:t xml:space="preserve"> třeba jej</w:t>
      </w:r>
      <w:r w:rsidR="00366A73">
        <w:rPr>
          <w:rFonts w:eastAsiaTheme="majorEastAsia" w:cs="Times New Roman"/>
          <w:szCs w:val="24"/>
        </w:rPr>
        <w:t xml:space="preserve"> opatrně sejmout, aby nedošlo k </w:t>
      </w:r>
      <w:r>
        <w:rPr>
          <w:rFonts w:eastAsiaTheme="majorEastAsia" w:cs="Times New Roman"/>
          <w:szCs w:val="24"/>
        </w:rPr>
        <w:t xml:space="preserve">jeho porušení (roztrhnutí, pádu na zem apod.), </w:t>
      </w:r>
      <w:r w:rsidR="0083531C">
        <w:rPr>
          <w:rFonts w:eastAsiaTheme="majorEastAsia" w:cs="Times New Roman"/>
          <w:szCs w:val="24"/>
        </w:rPr>
        <w:br/>
      </w:r>
      <w:r>
        <w:rPr>
          <w:rFonts w:eastAsiaTheme="majorEastAsia" w:cs="Times New Roman"/>
          <w:szCs w:val="24"/>
        </w:rPr>
        <w:t>a t</w:t>
      </w:r>
      <w:r w:rsidR="00D33E5F">
        <w:rPr>
          <w:rFonts w:eastAsiaTheme="majorEastAsia" w:cs="Times New Roman"/>
          <w:szCs w:val="24"/>
        </w:rPr>
        <w:t>edy</w:t>
      </w:r>
      <w:r>
        <w:rPr>
          <w:rFonts w:eastAsiaTheme="majorEastAsia" w:cs="Times New Roman"/>
          <w:szCs w:val="24"/>
        </w:rPr>
        <w:t xml:space="preserve"> </w:t>
      </w:r>
      <w:r w:rsidR="00D33E5F">
        <w:rPr>
          <w:rFonts w:eastAsiaTheme="majorEastAsia" w:cs="Times New Roman"/>
          <w:szCs w:val="24"/>
        </w:rPr>
        <w:t xml:space="preserve">k </w:t>
      </w:r>
      <w:r>
        <w:rPr>
          <w:rFonts w:eastAsiaTheme="majorEastAsia" w:cs="Times New Roman"/>
          <w:szCs w:val="24"/>
        </w:rPr>
        <w:t>znehodnocení celé analýzy, případně nutnosti jejího opakování. Při snímá</w:t>
      </w:r>
      <w:r w:rsidR="0083531C">
        <w:rPr>
          <w:rFonts w:eastAsiaTheme="majorEastAsia" w:cs="Times New Roman"/>
          <w:szCs w:val="24"/>
        </w:rPr>
        <w:t xml:space="preserve">ní gelu </w:t>
      </w:r>
      <w:r w:rsidR="00BF78FC">
        <w:rPr>
          <w:rFonts w:eastAsiaTheme="majorEastAsia" w:cs="Times New Roman"/>
          <w:szCs w:val="24"/>
        </w:rPr>
        <w:br/>
      </w:r>
      <w:r w:rsidR="00D33E5F">
        <w:rPr>
          <w:rFonts w:eastAsiaTheme="majorEastAsia" w:cs="Times New Roman"/>
          <w:szCs w:val="24"/>
        </w:rPr>
        <w:t>bylo</w:t>
      </w:r>
      <w:r w:rsidR="0083531C">
        <w:rPr>
          <w:rFonts w:eastAsiaTheme="majorEastAsia" w:cs="Times New Roman"/>
          <w:szCs w:val="24"/>
        </w:rPr>
        <w:t xml:space="preserve"> nutno pracovat již s </w:t>
      </w:r>
      <w:r>
        <w:rPr>
          <w:rFonts w:eastAsiaTheme="majorEastAsia" w:cs="Times New Roman"/>
          <w:szCs w:val="24"/>
        </w:rPr>
        <w:t xml:space="preserve">jednorázovými rukavicemi </w:t>
      </w:r>
      <w:r w:rsidR="00366A73">
        <w:rPr>
          <w:rFonts w:eastAsiaTheme="majorEastAsia" w:cs="Times New Roman"/>
          <w:szCs w:val="24"/>
        </w:rPr>
        <w:t xml:space="preserve">kvůli zabránění kontaktu gelu </w:t>
      </w:r>
      <w:r w:rsidR="00BF78FC">
        <w:rPr>
          <w:rFonts w:eastAsiaTheme="majorEastAsia" w:cs="Times New Roman"/>
          <w:szCs w:val="24"/>
        </w:rPr>
        <w:br/>
      </w:r>
      <w:r w:rsidR="00366A73">
        <w:rPr>
          <w:rFonts w:eastAsiaTheme="majorEastAsia" w:cs="Times New Roman"/>
          <w:szCs w:val="24"/>
        </w:rPr>
        <w:t xml:space="preserve">s </w:t>
      </w:r>
      <w:r>
        <w:rPr>
          <w:rFonts w:eastAsiaTheme="majorEastAsia" w:cs="Times New Roman"/>
          <w:szCs w:val="24"/>
        </w:rPr>
        <w:t xml:space="preserve">biologickým materiálem. Tyto jednorázové rukavice jsou důležité také pro spolehlivost skeneru se softwarem </w:t>
      </w:r>
      <w:proofErr w:type="spellStart"/>
      <w:r>
        <w:rPr>
          <w:rFonts w:eastAsiaTheme="majorEastAsia" w:cs="Times New Roman"/>
          <w:szCs w:val="24"/>
        </w:rPr>
        <w:t>Pharos</w:t>
      </w:r>
      <w:proofErr w:type="spellEnd"/>
      <w:r w:rsidR="00726CCA">
        <w:rPr>
          <w:rFonts w:eastAsiaTheme="majorEastAsia" w:cs="Times New Roman"/>
          <w:szCs w:val="24"/>
        </w:rPr>
        <w:t xml:space="preserve"> </w:t>
      </w:r>
      <w:r>
        <w:rPr>
          <w:rFonts w:eastAsiaTheme="majorEastAsia" w:cs="Times New Roman"/>
          <w:szCs w:val="24"/>
        </w:rPr>
        <w:t xml:space="preserve">FX, neboť přístroj může být využíván více pracovišti a mohlo </w:t>
      </w:r>
      <w:r w:rsidR="00455110">
        <w:rPr>
          <w:rFonts w:eastAsiaTheme="majorEastAsia" w:cs="Times New Roman"/>
          <w:szCs w:val="24"/>
        </w:rPr>
        <w:br/>
      </w:r>
      <w:r>
        <w:rPr>
          <w:rFonts w:eastAsiaTheme="majorEastAsia" w:cs="Times New Roman"/>
          <w:szCs w:val="24"/>
        </w:rPr>
        <w:t>by dojít ke znehodnocení také jejich analýz. V neposlední řadě by zmíněný skener mohl špatně oskenovat získaný gelov</w:t>
      </w:r>
      <w:r w:rsidR="00D33E5F">
        <w:rPr>
          <w:rFonts w:eastAsiaTheme="majorEastAsia" w:cs="Times New Roman"/>
          <w:szCs w:val="24"/>
        </w:rPr>
        <w:t>ý</w:t>
      </w:r>
      <w:r>
        <w:rPr>
          <w:rFonts w:eastAsiaTheme="majorEastAsia" w:cs="Times New Roman"/>
          <w:szCs w:val="24"/>
        </w:rPr>
        <w:t xml:space="preserve"> </w:t>
      </w:r>
      <w:proofErr w:type="spellStart"/>
      <w:r>
        <w:rPr>
          <w:rFonts w:eastAsiaTheme="majorEastAsia" w:cs="Times New Roman"/>
          <w:szCs w:val="24"/>
        </w:rPr>
        <w:t>elektroforeogram</w:t>
      </w:r>
      <w:proofErr w:type="spellEnd"/>
      <w:r>
        <w:rPr>
          <w:rFonts w:eastAsiaTheme="majorEastAsia" w:cs="Times New Roman"/>
          <w:szCs w:val="24"/>
        </w:rPr>
        <w:t xml:space="preserve">. Gel musí být </w:t>
      </w:r>
      <w:r w:rsidR="00366A73">
        <w:rPr>
          <w:rFonts w:eastAsiaTheme="majorEastAsia" w:cs="Times New Roman"/>
          <w:szCs w:val="24"/>
        </w:rPr>
        <w:t xml:space="preserve">také </w:t>
      </w:r>
      <w:r>
        <w:rPr>
          <w:rFonts w:eastAsiaTheme="majorEastAsia" w:cs="Times New Roman"/>
          <w:szCs w:val="24"/>
        </w:rPr>
        <w:t xml:space="preserve">sejmut do čisté nádobky, nelze pracovat se znečištěnou nádobkou. Důsledky by byly obdobné jako v případě práce s gelem bez použití jednorázových rukavic. </w:t>
      </w:r>
    </w:p>
    <w:p w:rsidR="00DA693F" w:rsidRDefault="00DA693F" w:rsidP="00551113">
      <w:pPr>
        <w:spacing w:before="120"/>
        <w:jc w:val="both"/>
        <w:rPr>
          <w:rFonts w:eastAsiaTheme="majorEastAsia" w:cs="Times New Roman"/>
          <w:szCs w:val="24"/>
        </w:rPr>
      </w:pPr>
      <w:r w:rsidRPr="00551113">
        <w:rPr>
          <w:rFonts w:cs="Times New Roman"/>
          <w:szCs w:val="24"/>
        </w:rPr>
        <w:t>Skenování</w:t>
      </w:r>
      <w:r>
        <w:rPr>
          <w:rFonts w:eastAsiaTheme="majorEastAsia" w:cs="Times New Roman"/>
          <w:szCs w:val="24"/>
        </w:rPr>
        <w:t xml:space="preserve"> probíhá poměrně rychle. Jedinými </w:t>
      </w:r>
      <w:r w:rsidR="00D33E5F">
        <w:rPr>
          <w:rFonts w:eastAsiaTheme="majorEastAsia" w:cs="Times New Roman"/>
          <w:szCs w:val="24"/>
        </w:rPr>
        <w:t xml:space="preserve">parametry nutnými k </w:t>
      </w:r>
      <w:r>
        <w:rPr>
          <w:rFonts w:eastAsiaTheme="majorEastAsia" w:cs="Times New Roman"/>
          <w:szCs w:val="24"/>
        </w:rPr>
        <w:t>nastavení j</w:t>
      </w:r>
      <w:r w:rsidR="00D33E5F">
        <w:rPr>
          <w:rFonts w:eastAsiaTheme="majorEastAsia" w:cs="Times New Roman"/>
          <w:szCs w:val="24"/>
        </w:rPr>
        <w:t>e</w:t>
      </w:r>
      <w:r>
        <w:rPr>
          <w:rFonts w:eastAsiaTheme="majorEastAsia" w:cs="Times New Roman"/>
          <w:szCs w:val="24"/>
        </w:rPr>
        <w:t xml:space="preserve"> oblast, kterou má skener na své ploše zaměřit, citlivost laserových filtrů a poté také intenzita obrazu. Jediný možný problém v</w:t>
      </w:r>
      <w:r w:rsidR="00D33E5F">
        <w:rPr>
          <w:rFonts w:eastAsiaTheme="majorEastAsia" w:cs="Times New Roman"/>
          <w:szCs w:val="24"/>
        </w:rPr>
        <w:t xml:space="preserve">zniklý skenováním může nastat v </w:t>
      </w:r>
      <w:r>
        <w:rPr>
          <w:rFonts w:eastAsiaTheme="majorEastAsia" w:cs="Times New Roman"/>
          <w:szCs w:val="24"/>
        </w:rPr>
        <w:t xml:space="preserve">softwarovém vybavení jiných počítačů, jelikož software </w:t>
      </w:r>
      <w:proofErr w:type="spellStart"/>
      <w:r>
        <w:rPr>
          <w:rFonts w:eastAsiaTheme="majorEastAsia" w:cs="Times New Roman"/>
          <w:szCs w:val="24"/>
        </w:rPr>
        <w:t>Pharos</w:t>
      </w:r>
      <w:proofErr w:type="spellEnd"/>
      <w:r w:rsidR="00726CCA">
        <w:rPr>
          <w:rFonts w:eastAsiaTheme="majorEastAsia" w:cs="Times New Roman"/>
          <w:szCs w:val="24"/>
        </w:rPr>
        <w:t xml:space="preserve"> </w:t>
      </w:r>
      <w:r>
        <w:rPr>
          <w:rFonts w:eastAsiaTheme="majorEastAsia" w:cs="Times New Roman"/>
          <w:szCs w:val="24"/>
        </w:rPr>
        <w:t>FX vytváří soubo</w:t>
      </w:r>
      <w:r w:rsidR="0083531C">
        <w:rPr>
          <w:rFonts w:eastAsiaTheme="majorEastAsia" w:cs="Times New Roman"/>
          <w:szCs w:val="24"/>
        </w:rPr>
        <w:t xml:space="preserve">ry, které nejsou kompatibilní s </w:t>
      </w:r>
      <w:r>
        <w:rPr>
          <w:rFonts w:eastAsiaTheme="majorEastAsia" w:cs="Times New Roman"/>
          <w:szCs w:val="24"/>
        </w:rPr>
        <w:t>běžným softwarovým vybavením ostatní</w:t>
      </w:r>
      <w:r w:rsidR="00D33E5F">
        <w:rPr>
          <w:rFonts w:eastAsiaTheme="majorEastAsia" w:cs="Times New Roman"/>
          <w:szCs w:val="24"/>
        </w:rPr>
        <w:t>ch</w:t>
      </w:r>
      <w:r>
        <w:rPr>
          <w:rFonts w:eastAsiaTheme="majorEastAsia" w:cs="Times New Roman"/>
          <w:szCs w:val="24"/>
        </w:rPr>
        <w:t xml:space="preserve"> počítačů, a je tedy nutné konvertovat získaný soubor tak, aby s ním bylo možné pracovat i na jiných počítačích.</w:t>
      </w:r>
    </w:p>
    <w:p w:rsidR="00DA693F" w:rsidRDefault="00D33E5F" w:rsidP="00455110">
      <w:pPr>
        <w:jc w:val="both"/>
        <w:rPr>
          <w:rFonts w:eastAsiaTheme="majorEastAsia" w:cs="Times New Roman"/>
          <w:szCs w:val="24"/>
        </w:rPr>
      </w:pPr>
      <w:r>
        <w:rPr>
          <w:rFonts w:cs="Times New Roman"/>
          <w:szCs w:val="24"/>
        </w:rPr>
        <w:t>Při oskenování na</w:t>
      </w:r>
      <w:r w:rsidR="00DA693F" w:rsidRPr="00551113">
        <w:rPr>
          <w:rFonts w:cs="Times New Roman"/>
          <w:szCs w:val="24"/>
        </w:rPr>
        <w:t>š</w:t>
      </w:r>
      <w:r>
        <w:rPr>
          <w:rFonts w:cs="Times New Roman"/>
          <w:szCs w:val="24"/>
        </w:rPr>
        <w:t>eho syntetizovaného</w:t>
      </w:r>
      <w:r w:rsidR="00DA693F">
        <w:rPr>
          <w:rFonts w:eastAsiaTheme="majorEastAsia" w:cs="Times New Roman"/>
          <w:szCs w:val="24"/>
        </w:rPr>
        <w:t xml:space="preserve"> </w:t>
      </w:r>
      <w:r w:rsidR="00DA693F" w:rsidRPr="00A30581">
        <w:rPr>
          <w:rFonts w:cs="Times New Roman"/>
          <w:szCs w:val="24"/>
        </w:rPr>
        <w:t>vzork</w:t>
      </w:r>
      <w:r>
        <w:rPr>
          <w:rFonts w:cs="Times New Roman"/>
          <w:szCs w:val="24"/>
        </w:rPr>
        <w:t>u</w:t>
      </w:r>
      <w:r w:rsidR="00DA693F">
        <w:rPr>
          <w:rFonts w:eastAsiaTheme="majorEastAsia" w:cs="Times New Roman"/>
          <w:szCs w:val="24"/>
        </w:rPr>
        <w:t xml:space="preserve"> softwarem </w:t>
      </w:r>
      <w:proofErr w:type="spellStart"/>
      <w:r>
        <w:rPr>
          <w:rFonts w:eastAsiaTheme="majorEastAsia" w:cs="Times New Roman"/>
          <w:szCs w:val="24"/>
        </w:rPr>
        <w:t>Pharos</w:t>
      </w:r>
      <w:proofErr w:type="spellEnd"/>
      <w:r w:rsidR="00726CCA">
        <w:rPr>
          <w:rFonts w:eastAsiaTheme="majorEastAsia" w:cs="Times New Roman"/>
          <w:szCs w:val="24"/>
        </w:rPr>
        <w:t xml:space="preserve"> </w:t>
      </w:r>
      <w:r>
        <w:rPr>
          <w:rFonts w:eastAsiaTheme="majorEastAsia" w:cs="Times New Roman"/>
          <w:szCs w:val="24"/>
        </w:rPr>
        <w:t xml:space="preserve">FX byl </w:t>
      </w:r>
      <w:r w:rsidR="00DA693F">
        <w:rPr>
          <w:rFonts w:eastAsiaTheme="majorEastAsia" w:cs="Times New Roman"/>
          <w:szCs w:val="24"/>
        </w:rPr>
        <w:t>z</w:t>
      </w:r>
      <w:r>
        <w:rPr>
          <w:rFonts w:eastAsiaTheme="majorEastAsia" w:cs="Times New Roman"/>
          <w:szCs w:val="24"/>
        </w:rPr>
        <w:t>ískán</w:t>
      </w:r>
      <w:r w:rsidR="00DA693F">
        <w:rPr>
          <w:rFonts w:eastAsiaTheme="majorEastAsia" w:cs="Times New Roman"/>
          <w:szCs w:val="24"/>
        </w:rPr>
        <w:t xml:space="preserve"> </w:t>
      </w:r>
      <w:r>
        <w:rPr>
          <w:rFonts w:eastAsiaTheme="majorEastAsia" w:cs="Times New Roman"/>
          <w:szCs w:val="24"/>
        </w:rPr>
        <w:t xml:space="preserve">obraz uvedený na </w:t>
      </w:r>
      <w:r w:rsidR="00455110">
        <w:rPr>
          <w:rFonts w:eastAsiaTheme="majorEastAsia" w:cs="Times New Roman"/>
          <w:szCs w:val="24"/>
        </w:rPr>
        <w:t>obrázk</w:t>
      </w:r>
      <w:r>
        <w:rPr>
          <w:rFonts w:eastAsiaTheme="majorEastAsia" w:cs="Times New Roman"/>
          <w:szCs w:val="24"/>
        </w:rPr>
        <w:t>u</w:t>
      </w:r>
      <w:r w:rsidR="00455110">
        <w:rPr>
          <w:rFonts w:eastAsiaTheme="majorEastAsia" w:cs="Times New Roman"/>
          <w:szCs w:val="24"/>
        </w:rPr>
        <w:t xml:space="preserve"> 1</w:t>
      </w:r>
      <w:r w:rsidR="00874A6F">
        <w:rPr>
          <w:rFonts w:eastAsiaTheme="majorEastAsia" w:cs="Times New Roman"/>
          <w:szCs w:val="24"/>
        </w:rPr>
        <w:t>3</w:t>
      </w:r>
      <w:r w:rsidR="00455110">
        <w:rPr>
          <w:rFonts w:eastAsiaTheme="majorEastAsia" w:cs="Times New Roman"/>
          <w:szCs w:val="24"/>
        </w:rPr>
        <w:t>.</w:t>
      </w:r>
    </w:p>
    <w:p w:rsidR="00575708" w:rsidRDefault="00575708" w:rsidP="00455110">
      <w:pPr>
        <w:jc w:val="both"/>
        <w:rPr>
          <w:rFonts w:eastAsiaTheme="majorEastAsia" w:cs="Times New Roman"/>
          <w:szCs w:val="24"/>
        </w:rPr>
      </w:pPr>
    </w:p>
    <w:p w:rsidR="00551113" w:rsidRDefault="00D64356" w:rsidP="006D5C6B">
      <w:pPr>
        <w:ind w:firstLine="0"/>
        <w:rPr>
          <w:rFonts w:eastAsiaTheme="majorEastAsia" w:cs="Times New Roman"/>
          <w:szCs w:val="24"/>
        </w:rPr>
      </w:pPr>
      <w:r>
        <w:rPr>
          <w:rFonts w:eastAsiaTheme="majorEastAsia" w:cs="Times New Roman"/>
          <w:noProof/>
          <w:szCs w:val="24"/>
          <w:lang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79631</wp:posOffset>
            </wp:positionV>
            <wp:extent cx="2876550" cy="2808349"/>
            <wp:effectExtent l="19050" t="19050" r="19050" b="11051"/>
            <wp:wrapNone/>
            <wp:docPr id="14" name="obrázek 1" descr="Návštěva 2015-04-21 13hr 52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vštěva 2015-04-21 13hr 52mi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002" b="10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083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113" w:rsidRDefault="00551113" w:rsidP="00551113">
      <w:pPr>
        <w:ind w:firstLine="0"/>
        <w:rPr>
          <w:rFonts w:eastAsiaTheme="majorEastAsia" w:cs="Times New Roman"/>
          <w:szCs w:val="24"/>
        </w:rPr>
      </w:pPr>
    </w:p>
    <w:p w:rsidR="00551113" w:rsidRDefault="00551113" w:rsidP="00551113">
      <w:pPr>
        <w:ind w:firstLine="0"/>
        <w:rPr>
          <w:rFonts w:eastAsiaTheme="majorEastAsia" w:cs="Times New Roman"/>
          <w:szCs w:val="24"/>
        </w:rPr>
      </w:pPr>
    </w:p>
    <w:p w:rsidR="00551113" w:rsidRDefault="00551113" w:rsidP="00551113">
      <w:pPr>
        <w:ind w:firstLine="0"/>
        <w:rPr>
          <w:rFonts w:eastAsiaTheme="majorEastAsia" w:cs="Times New Roman"/>
          <w:szCs w:val="24"/>
        </w:rPr>
      </w:pPr>
    </w:p>
    <w:p w:rsidR="00551113" w:rsidRDefault="00551113" w:rsidP="00551113">
      <w:pPr>
        <w:ind w:firstLine="0"/>
        <w:rPr>
          <w:rFonts w:eastAsiaTheme="majorEastAsia" w:cs="Times New Roman"/>
          <w:szCs w:val="24"/>
        </w:rPr>
      </w:pPr>
    </w:p>
    <w:p w:rsidR="00551113" w:rsidRDefault="00551113" w:rsidP="00551113">
      <w:pPr>
        <w:ind w:firstLine="0"/>
        <w:rPr>
          <w:rFonts w:eastAsiaTheme="majorEastAsia" w:cs="Times New Roman"/>
          <w:szCs w:val="24"/>
        </w:rPr>
      </w:pPr>
    </w:p>
    <w:p w:rsidR="00551113" w:rsidRDefault="00551113" w:rsidP="00551113">
      <w:pPr>
        <w:ind w:firstLine="0"/>
        <w:rPr>
          <w:rFonts w:eastAsiaTheme="majorEastAsia" w:cs="Times New Roman"/>
          <w:szCs w:val="24"/>
        </w:rPr>
      </w:pPr>
    </w:p>
    <w:p w:rsidR="00551113" w:rsidRDefault="00551113" w:rsidP="00551113">
      <w:pPr>
        <w:ind w:firstLine="0"/>
        <w:rPr>
          <w:rFonts w:eastAsiaTheme="majorEastAsia" w:cs="Times New Roman"/>
          <w:szCs w:val="24"/>
        </w:rPr>
      </w:pPr>
    </w:p>
    <w:p w:rsidR="00551113" w:rsidRDefault="00551113" w:rsidP="00551113">
      <w:pPr>
        <w:ind w:firstLine="0"/>
        <w:rPr>
          <w:rFonts w:eastAsiaTheme="majorEastAsia" w:cs="Times New Roman"/>
          <w:szCs w:val="24"/>
        </w:rPr>
      </w:pPr>
    </w:p>
    <w:p w:rsidR="00551113" w:rsidRDefault="00551113" w:rsidP="00551113">
      <w:pPr>
        <w:ind w:firstLine="0"/>
        <w:rPr>
          <w:rFonts w:eastAsiaTheme="majorEastAsia" w:cs="Times New Roman"/>
          <w:szCs w:val="24"/>
        </w:rPr>
      </w:pPr>
    </w:p>
    <w:p w:rsidR="00551113" w:rsidRDefault="00551113" w:rsidP="00551113">
      <w:pPr>
        <w:ind w:firstLine="0"/>
        <w:rPr>
          <w:rFonts w:eastAsiaTheme="majorEastAsia" w:cs="Times New Roman"/>
          <w:szCs w:val="24"/>
        </w:rPr>
      </w:pPr>
    </w:p>
    <w:p w:rsidR="00455110" w:rsidRDefault="00455110" w:rsidP="00551113">
      <w:pPr>
        <w:ind w:firstLine="0"/>
        <w:rPr>
          <w:rFonts w:eastAsiaTheme="majorEastAsia" w:cs="Times New Roman"/>
          <w:szCs w:val="24"/>
        </w:rPr>
      </w:pPr>
    </w:p>
    <w:p w:rsidR="00DA693F" w:rsidRPr="006D5C6B" w:rsidRDefault="00DA693F" w:rsidP="008F7FCB">
      <w:pPr>
        <w:ind w:firstLine="0"/>
        <w:jc w:val="center"/>
        <w:rPr>
          <w:rFonts w:eastAsiaTheme="majorEastAsia" w:cs="Times New Roman"/>
          <w:szCs w:val="24"/>
        </w:rPr>
      </w:pPr>
      <w:r w:rsidRPr="006D5C6B">
        <w:rPr>
          <w:rFonts w:eastAsiaTheme="majorEastAsia" w:cs="Times New Roman"/>
          <w:szCs w:val="24"/>
        </w:rPr>
        <w:t>Obr</w:t>
      </w:r>
      <w:r w:rsidR="00A30581" w:rsidRPr="006D5C6B">
        <w:rPr>
          <w:rFonts w:eastAsiaTheme="majorEastAsia" w:cs="Times New Roman"/>
          <w:szCs w:val="24"/>
        </w:rPr>
        <w:t>ázek 1</w:t>
      </w:r>
      <w:r w:rsidR="00874A6F">
        <w:rPr>
          <w:rFonts w:eastAsiaTheme="majorEastAsia" w:cs="Times New Roman"/>
          <w:szCs w:val="24"/>
        </w:rPr>
        <w:t>3</w:t>
      </w:r>
      <w:r w:rsidRPr="006D5C6B">
        <w:rPr>
          <w:rFonts w:eastAsiaTheme="majorEastAsia" w:cs="Times New Roman"/>
          <w:szCs w:val="24"/>
        </w:rPr>
        <w:t xml:space="preserve">: </w:t>
      </w:r>
      <w:r w:rsidR="00A30581" w:rsidRPr="006D5C6B">
        <w:rPr>
          <w:rFonts w:eastAsiaTheme="majorEastAsia" w:cs="Times New Roman"/>
          <w:szCs w:val="24"/>
        </w:rPr>
        <w:t xml:space="preserve"> </w:t>
      </w:r>
      <w:proofErr w:type="spellStart"/>
      <w:r w:rsidR="00D04570">
        <w:rPr>
          <w:rFonts w:eastAsiaTheme="majorEastAsia" w:cs="Times New Roman"/>
          <w:szCs w:val="24"/>
        </w:rPr>
        <w:t>E</w:t>
      </w:r>
      <w:r w:rsidRPr="006D5C6B">
        <w:rPr>
          <w:rFonts w:eastAsiaTheme="majorEastAsia" w:cs="Times New Roman"/>
          <w:szCs w:val="24"/>
        </w:rPr>
        <w:t>lektroforeogram</w:t>
      </w:r>
      <w:proofErr w:type="spellEnd"/>
      <w:r w:rsidR="00A44653">
        <w:rPr>
          <w:rFonts w:eastAsiaTheme="majorEastAsia" w:cs="Times New Roman"/>
          <w:szCs w:val="24"/>
        </w:rPr>
        <w:t xml:space="preserve"> syntetizovaného vzorku</w:t>
      </w:r>
    </w:p>
    <w:p w:rsidR="00FE05D7" w:rsidRDefault="00FE05D7" w:rsidP="00057936">
      <w:pPr>
        <w:spacing w:before="120"/>
        <w:jc w:val="both"/>
        <w:rPr>
          <w:rFonts w:eastAsiaTheme="majorEastAsia" w:cs="Times New Roman"/>
          <w:szCs w:val="24"/>
        </w:rPr>
      </w:pPr>
    </w:p>
    <w:p w:rsidR="00DA693F" w:rsidRDefault="00DA693F" w:rsidP="00057936">
      <w:pPr>
        <w:spacing w:before="120"/>
        <w:jc w:val="both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lastRenderedPageBreak/>
        <w:t xml:space="preserve">Získaný </w:t>
      </w:r>
      <w:proofErr w:type="spellStart"/>
      <w:r>
        <w:rPr>
          <w:rFonts w:eastAsiaTheme="majorEastAsia" w:cs="Times New Roman"/>
          <w:szCs w:val="24"/>
        </w:rPr>
        <w:t>elektroforeogram</w:t>
      </w:r>
      <w:proofErr w:type="spellEnd"/>
      <w:r>
        <w:rPr>
          <w:rFonts w:eastAsiaTheme="majorEastAsia" w:cs="Times New Roman"/>
          <w:szCs w:val="24"/>
        </w:rPr>
        <w:t xml:space="preserve"> </w:t>
      </w:r>
      <w:r w:rsidR="00AF4279">
        <w:rPr>
          <w:rFonts w:eastAsiaTheme="majorEastAsia" w:cs="Times New Roman"/>
          <w:szCs w:val="24"/>
        </w:rPr>
        <w:t>byl</w:t>
      </w:r>
      <w:r>
        <w:rPr>
          <w:rFonts w:eastAsiaTheme="majorEastAsia" w:cs="Times New Roman"/>
          <w:szCs w:val="24"/>
        </w:rPr>
        <w:t xml:space="preserve"> vyhodno</w:t>
      </w:r>
      <w:r w:rsidR="00AF4279">
        <w:rPr>
          <w:rFonts w:eastAsiaTheme="majorEastAsia" w:cs="Times New Roman"/>
          <w:szCs w:val="24"/>
        </w:rPr>
        <w:t>cen</w:t>
      </w:r>
      <w:r>
        <w:rPr>
          <w:rFonts w:eastAsiaTheme="majorEastAsia" w:cs="Times New Roman"/>
          <w:szCs w:val="24"/>
        </w:rPr>
        <w:t xml:space="preserve"> </w:t>
      </w:r>
      <w:r w:rsidR="00AF4279">
        <w:rPr>
          <w:rFonts w:eastAsiaTheme="majorEastAsia" w:cs="Times New Roman"/>
          <w:szCs w:val="24"/>
        </w:rPr>
        <w:t xml:space="preserve">se </w:t>
      </w:r>
      <w:r>
        <w:rPr>
          <w:rFonts w:eastAsiaTheme="majorEastAsia" w:cs="Times New Roman"/>
          <w:szCs w:val="24"/>
        </w:rPr>
        <w:t>závěr</w:t>
      </w:r>
      <w:r w:rsidR="00AF4279">
        <w:rPr>
          <w:rFonts w:eastAsiaTheme="majorEastAsia" w:cs="Times New Roman"/>
          <w:szCs w:val="24"/>
        </w:rPr>
        <w:t>em</w:t>
      </w:r>
      <w:r>
        <w:rPr>
          <w:rFonts w:eastAsiaTheme="majorEastAsia" w:cs="Times New Roman"/>
          <w:szCs w:val="24"/>
        </w:rPr>
        <w:t>, že se podařilo úspěšně připravit vzorek obsahující nanočástice. Lze tak usoudi</w:t>
      </w:r>
      <w:r w:rsidR="008425E2">
        <w:rPr>
          <w:rFonts w:eastAsiaTheme="majorEastAsia" w:cs="Times New Roman"/>
          <w:szCs w:val="24"/>
        </w:rPr>
        <w:t xml:space="preserve">t dle jasně viditelné migrace </w:t>
      </w:r>
      <w:r w:rsidR="008425E2">
        <w:rPr>
          <w:rFonts w:eastAsiaTheme="majorEastAsia" w:cs="Times New Roman"/>
          <w:szCs w:val="24"/>
        </w:rPr>
        <w:br/>
        <w:t xml:space="preserve">z </w:t>
      </w:r>
      <w:r>
        <w:rPr>
          <w:rFonts w:eastAsiaTheme="majorEastAsia" w:cs="Times New Roman"/>
          <w:szCs w:val="24"/>
        </w:rPr>
        <w:t>původního místa nadávkování do gelu do jiné pozice. Opa</w:t>
      </w:r>
      <w:r w:rsidR="008425E2">
        <w:rPr>
          <w:rFonts w:eastAsiaTheme="majorEastAsia" w:cs="Times New Roman"/>
          <w:szCs w:val="24"/>
        </w:rPr>
        <w:t>čné stanovisko</w:t>
      </w:r>
      <w:r w:rsidR="00366A73">
        <w:rPr>
          <w:rFonts w:eastAsiaTheme="majorEastAsia" w:cs="Times New Roman"/>
          <w:szCs w:val="24"/>
        </w:rPr>
        <w:t>,</w:t>
      </w:r>
      <w:r w:rsidR="008425E2">
        <w:rPr>
          <w:rFonts w:eastAsiaTheme="majorEastAsia" w:cs="Times New Roman"/>
          <w:szCs w:val="24"/>
        </w:rPr>
        <w:t xml:space="preserve"> </w:t>
      </w:r>
      <w:r w:rsidR="008223A3">
        <w:rPr>
          <w:rFonts w:eastAsiaTheme="majorEastAsia" w:cs="Times New Roman"/>
          <w:szCs w:val="24"/>
        </w:rPr>
        <w:t xml:space="preserve">o </w:t>
      </w:r>
      <w:r w:rsidR="008425E2">
        <w:rPr>
          <w:rFonts w:eastAsiaTheme="majorEastAsia" w:cs="Times New Roman"/>
          <w:szCs w:val="24"/>
        </w:rPr>
        <w:t>neúspěšnosti syntézy</w:t>
      </w:r>
      <w:r w:rsidR="00366A73">
        <w:rPr>
          <w:rFonts w:eastAsiaTheme="majorEastAsia" w:cs="Times New Roman"/>
          <w:szCs w:val="24"/>
        </w:rPr>
        <w:t>,</w:t>
      </w:r>
      <w:r w:rsidR="008425E2">
        <w:rPr>
          <w:rFonts w:eastAsiaTheme="majorEastAsia" w:cs="Times New Roman"/>
          <w:szCs w:val="24"/>
        </w:rPr>
        <w:t xml:space="preserve"> by bylo zaujato v </w:t>
      </w:r>
      <w:r>
        <w:rPr>
          <w:rFonts w:eastAsiaTheme="majorEastAsia" w:cs="Times New Roman"/>
          <w:szCs w:val="24"/>
        </w:rPr>
        <w:t xml:space="preserve">případě, že by na </w:t>
      </w:r>
      <w:proofErr w:type="spellStart"/>
      <w:r>
        <w:rPr>
          <w:rFonts w:eastAsiaTheme="majorEastAsia" w:cs="Times New Roman"/>
          <w:szCs w:val="24"/>
        </w:rPr>
        <w:t>elektroforeogramu</w:t>
      </w:r>
      <w:proofErr w:type="spellEnd"/>
      <w:r>
        <w:rPr>
          <w:rFonts w:eastAsiaTheme="majorEastAsia" w:cs="Times New Roman"/>
          <w:szCs w:val="24"/>
        </w:rPr>
        <w:t xml:space="preserve"> bylo viditelné pouze původní nadávkování bez viditelné migrace. Zjištění, že byl správně připraven vzorek obsahující nanočástice, vedl</w:t>
      </w:r>
      <w:r w:rsidR="008425E2">
        <w:rPr>
          <w:rFonts w:eastAsiaTheme="majorEastAsia" w:cs="Times New Roman"/>
          <w:szCs w:val="24"/>
        </w:rPr>
        <w:t xml:space="preserve">o k </w:t>
      </w:r>
      <w:r>
        <w:rPr>
          <w:rFonts w:eastAsiaTheme="majorEastAsia" w:cs="Times New Roman"/>
          <w:szCs w:val="24"/>
        </w:rPr>
        <w:t>směřování následující</w:t>
      </w:r>
      <w:r w:rsidR="008425E2">
        <w:rPr>
          <w:rFonts w:eastAsiaTheme="majorEastAsia" w:cs="Times New Roman"/>
          <w:szCs w:val="24"/>
        </w:rPr>
        <w:t>c</w:t>
      </w:r>
      <w:r>
        <w:rPr>
          <w:rFonts w:eastAsiaTheme="majorEastAsia" w:cs="Times New Roman"/>
          <w:szCs w:val="24"/>
        </w:rPr>
        <w:t xml:space="preserve">h </w:t>
      </w:r>
      <w:r w:rsidR="008425E2">
        <w:rPr>
          <w:rFonts w:eastAsiaTheme="majorEastAsia" w:cs="Times New Roman"/>
          <w:szCs w:val="24"/>
        </w:rPr>
        <w:t>experimentů a to k testům stability získaných nanočástic</w:t>
      </w:r>
      <w:r>
        <w:rPr>
          <w:rFonts w:eastAsiaTheme="majorEastAsia" w:cs="Times New Roman"/>
          <w:szCs w:val="24"/>
        </w:rPr>
        <w:t xml:space="preserve">. </w:t>
      </w:r>
    </w:p>
    <w:p w:rsidR="00C57871" w:rsidRDefault="00C57871" w:rsidP="00DA693F">
      <w:pPr>
        <w:rPr>
          <w:rFonts w:eastAsiaTheme="majorEastAsia" w:cs="Times New Roman"/>
          <w:szCs w:val="24"/>
        </w:rPr>
      </w:pPr>
    </w:p>
    <w:p w:rsidR="00C57871" w:rsidRPr="00917C1C" w:rsidRDefault="00C57871" w:rsidP="00C57871">
      <w:pPr>
        <w:pStyle w:val="Nadpis1"/>
        <w:spacing w:before="0" w:after="0"/>
        <w:jc w:val="left"/>
        <w:rPr>
          <w:sz w:val="28"/>
        </w:rPr>
      </w:pPr>
      <w:r w:rsidRPr="00917C1C">
        <w:rPr>
          <w:sz w:val="28"/>
        </w:rPr>
        <w:t>5.</w:t>
      </w:r>
      <w:r w:rsidR="00917C1C" w:rsidRPr="00917C1C">
        <w:rPr>
          <w:sz w:val="28"/>
        </w:rPr>
        <w:t>4.4.</w:t>
      </w:r>
      <w:r w:rsidRPr="00917C1C">
        <w:rPr>
          <w:sz w:val="28"/>
        </w:rPr>
        <w:t xml:space="preserve">  Test stability</w:t>
      </w:r>
      <w:r w:rsidR="00057936" w:rsidRPr="00917C1C">
        <w:rPr>
          <w:sz w:val="28"/>
        </w:rPr>
        <w:t xml:space="preserve"> získaných nanočástic</w:t>
      </w:r>
    </w:p>
    <w:p w:rsidR="0042679B" w:rsidRDefault="00DA693F" w:rsidP="00057936">
      <w:pPr>
        <w:spacing w:before="120"/>
        <w:jc w:val="both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>Aby bylo možné uvažovat o možnosti využití získaných nanočástic, bylo nutné ověřit, zda nanočástice podléhají výrazně vnějším vlivům neb</w:t>
      </w:r>
      <w:r w:rsidR="008425E2">
        <w:rPr>
          <w:rFonts w:eastAsiaTheme="majorEastAsia" w:cs="Times New Roman"/>
          <w:szCs w:val="24"/>
        </w:rPr>
        <w:t xml:space="preserve">o jim více či méně odolávají. </w:t>
      </w:r>
      <w:r w:rsidR="008425E2">
        <w:rPr>
          <w:rFonts w:eastAsiaTheme="majorEastAsia" w:cs="Times New Roman"/>
          <w:szCs w:val="24"/>
        </w:rPr>
        <w:br/>
        <w:t>Byl</w:t>
      </w:r>
      <w:r w:rsidR="00E166F9">
        <w:rPr>
          <w:rFonts w:eastAsiaTheme="majorEastAsia" w:cs="Times New Roman"/>
          <w:szCs w:val="24"/>
        </w:rPr>
        <w:t>a</w:t>
      </w:r>
      <w:r w:rsidR="008425E2">
        <w:rPr>
          <w:rFonts w:eastAsiaTheme="majorEastAsia" w:cs="Times New Roman"/>
          <w:szCs w:val="24"/>
        </w:rPr>
        <w:t xml:space="preserve"> vybrán</w:t>
      </w:r>
      <w:r w:rsidR="00E166F9">
        <w:rPr>
          <w:rFonts w:eastAsiaTheme="majorEastAsia" w:cs="Times New Roman"/>
          <w:szCs w:val="24"/>
        </w:rPr>
        <w:t>a</w:t>
      </w:r>
      <w:r w:rsidR="008425E2">
        <w:rPr>
          <w:rFonts w:eastAsiaTheme="majorEastAsia" w:cs="Times New Roman"/>
          <w:szCs w:val="24"/>
        </w:rPr>
        <w:t xml:space="preserve"> níže uveden</w:t>
      </w:r>
      <w:r w:rsidR="00E166F9">
        <w:rPr>
          <w:rFonts w:eastAsiaTheme="majorEastAsia" w:cs="Times New Roman"/>
          <w:szCs w:val="24"/>
        </w:rPr>
        <w:t>á</w:t>
      </w:r>
      <w:r w:rsidR="008425E2">
        <w:rPr>
          <w:rFonts w:eastAsiaTheme="majorEastAsia" w:cs="Times New Roman"/>
          <w:szCs w:val="24"/>
        </w:rPr>
        <w:t xml:space="preserve"> 3 prostředí. </w:t>
      </w:r>
    </w:p>
    <w:p w:rsidR="008425E2" w:rsidRDefault="008425E2" w:rsidP="00057936">
      <w:pPr>
        <w:spacing w:before="120"/>
        <w:jc w:val="both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 xml:space="preserve">Z </w:t>
      </w:r>
      <w:r w:rsidR="00DA693F">
        <w:rPr>
          <w:rFonts w:eastAsiaTheme="majorEastAsia" w:cs="Times New Roman"/>
          <w:szCs w:val="24"/>
        </w:rPr>
        <w:t>původního vzorku byl pipetován stejný objem, který b</w:t>
      </w:r>
      <w:r w:rsidR="0042679B">
        <w:rPr>
          <w:rFonts w:eastAsiaTheme="majorEastAsia" w:cs="Times New Roman"/>
          <w:szCs w:val="24"/>
        </w:rPr>
        <w:t xml:space="preserve">yl následně ředěn a rozpuštěn v </w:t>
      </w:r>
      <w:r w:rsidR="00DA693F">
        <w:rPr>
          <w:rFonts w:eastAsiaTheme="majorEastAsia" w:cs="Times New Roman"/>
          <w:szCs w:val="24"/>
        </w:rPr>
        <w:t>rů</w:t>
      </w:r>
      <w:r w:rsidR="00057936">
        <w:rPr>
          <w:rFonts w:eastAsiaTheme="majorEastAsia" w:cs="Times New Roman"/>
          <w:szCs w:val="24"/>
        </w:rPr>
        <w:t>zných chemikáliích –</w:t>
      </w:r>
      <w:r>
        <w:rPr>
          <w:rFonts w:eastAsiaTheme="majorEastAsia" w:cs="Times New Roman"/>
          <w:szCs w:val="24"/>
        </w:rPr>
        <w:t xml:space="preserve"> </w:t>
      </w:r>
      <w:r w:rsidR="00057936">
        <w:rPr>
          <w:rFonts w:eastAsiaTheme="majorEastAsia" w:cs="Times New Roman"/>
          <w:szCs w:val="24"/>
        </w:rPr>
        <w:t>v</w:t>
      </w:r>
      <w:r>
        <w:rPr>
          <w:rFonts w:eastAsiaTheme="majorEastAsia" w:cs="Times New Roman"/>
          <w:szCs w:val="24"/>
        </w:rPr>
        <w:t>e</w:t>
      </w:r>
      <w:r w:rsidR="00057936">
        <w:rPr>
          <w:rFonts w:eastAsiaTheme="majorEastAsia" w:cs="Times New Roman"/>
          <w:szCs w:val="24"/>
        </w:rPr>
        <w:t xml:space="preserve"> </w:t>
      </w:r>
      <w:proofErr w:type="spellStart"/>
      <w:r>
        <w:rPr>
          <w:rFonts w:eastAsiaTheme="majorEastAsia" w:cs="Times New Roman"/>
          <w:szCs w:val="24"/>
        </w:rPr>
        <w:t>fosforečnanovém</w:t>
      </w:r>
      <w:proofErr w:type="spellEnd"/>
      <w:r>
        <w:rPr>
          <w:rFonts w:eastAsiaTheme="majorEastAsia" w:cs="Times New Roman"/>
          <w:szCs w:val="24"/>
        </w:rPr>
        <w:t xml:space="preserve"> </w:t>
      </w:r>
      <w:r w:rsidR="00DA693F">
        <w:rPr>
          <w:rFonts w:eastAsiaTheme="majorEastAsia" w:cs="Times New Roman"/>
          <w:szCs w:val="24"/>
        </w:rPr>
        <w:t>tlumivém roztoku</w:t>
      </w:r>
      <w:r>
        <w:rPr>
          <w:rFonts w:eastAsiaTheme="majorEastAsia" w:cs="Times New Roman"/>
          <w:szCs w:val="24"/>
        </w:rPr>
        <w:t>,</w:t>
      </w:r>
      <w:r w:rsidR="00DA693F">
        <w:rPr>
          <w:rFonts w:eastAsiaTheme="majorEastAsia" w:cs="Times New Roman"/>
          <w:szCs w:val="24"/>
        </w:rPr>
        <w:t xml:space="preserve"> v</w:t>
      </w:r>
      <w:r>
        <w:rPr>
          <w:rFonts w:eastAsiaTheme="majorEastAsia" w:cs="Times New Roman"/>
          <w:szCs w:val="24"/>
        </w:rPr>
        <w:t xml:space="preserve">e </w:t>
      </w:r>
      <w:r w:rsidR="00DA693F">
        <w:rPr>
          <w:rFonts w:eastAsiaTheme="majorEastAsia" w:cs="Times New Roman"/>
          <w:szCs w:val="24"/>
        </w:rPr>
        <w:t> </w:t>
      </w:r>
      <w:proofErr w:type="spellStart"/>
      <w:r>
        <w:rPr>
          <w:rFonts w:eastAsiaTheme="majorEastAsia" w:cs="Times New Roman"/>
          <w:szCs w:val="24"/>
        </w:rPr>
        <w:t>fosforečnanovém</w:t>
      </w:r>
      <w:proofErr w:type="spellEnd"/>
      <w:r>
        <w:rPr>
          <w:rFonts w:eastAsiaTheme="majorEastAsia" w:cs="Times New Roman"/>
          <w:szCs w:val="24"/>
        </w:rPr>
        <w:t xml:space="preserve"> tlumivém roztoku s </w:t>
      </w:r>
      <w:r w:rsidR="00DA693F">
        <w:rPr>
          <w:rFonts w:eastAsiaTheme="majorEastAsia" w:cs="Times New Roman"/>
          <w:szCs w:val="24"/>
        </w:rPr>
        <w:t>přídavkem chloridu sodného (fosf</w:t>
      </w:r>
      <w:r>
        <w:rPr>
          <w:rFonts w:eastAsiaTheme="majorEastAsia" w:cs="Times New Roman"/>
          <w:szCs w:val="24"/>
        </w:rPr>
        <w:t>orečnan</w:t>
      </w:r>
      <w:r w:rsidR="00DA693F">
        <w:rPr>
          <w:rFonts w:eastAsiaTheme="majorEastAsia" w:cs="Times New Roman"/>
          <w:szCs w:val="24"/>
        </w:rPr>
        <w:t>/</w:t>
      </w:r>
      <w:proofErr w:type="spellStart"/>
      <w:r w:rsidR="00DA693F">
        <w:rPr>
          <w:rFonts w:eastAsiaTheme="majorEastAsia" w:cs="Times New Roman"/>
          <w:szCs w:val="24"/>
        </w:rPr>
        <w:t>NaCl</w:t>
      </w:r>
      <w:proofErr w:type="spellEnd"/>
      <w:r>
        <w:rPr>
          <w:rFonts w:eastAsiaTheme="majorEastAsia" w:cs="Times New Roman"/>
          <w:szCs w:val="24"/>
        </w:rPr>
        <w:t>)</w:t>
      </w:r>
      <w:r w:rsidRPr="008425E2">
        <w:rPr>
          <w:rFonts w:eastAsiaTheme="majorEastAsia" w:cs="Times New Roman"/>
          <w:szCs w:val="24"/>
        </w:rPr>
        <w:t xml:space="preserve"> </w:t>
      </w:r>
      <w:r>
        <w:rPr>
          <w:rFonts w:eastAsiaTheme="majorEastAsia" w:cs="Times New Roman"/>
          <w:szCs w:val="24"/>
        </w:rPr>
        <w:t>a ve vodě</w:t>
      </w:r>
      <w:r w:rsidR="00DA693F">
        <w:rPr>
          <w:rFonts w:eastAsiaTheme="majorEastAsia" w:cs="Times New Roman"/>
          <w:szCs w:val="24"/>
        </w:rPr>
        <w:t xml:space="preserve">. </w:t>
      </w:r>
    </w:p>
    <w:p w:rsidR="00DA693F" w:rsidRDefault="00DA693F" w:rsidP="008425E2">
      <w:pPr>
        <w:spacing w:before="120"/>
        <w:jc w:val="both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>Tlumivý roztok fosf</w:t>
      </w:r>
      <w:r w:rsidR="008425E2">
        <w:rPr>
          <w:rFonts w:eastAsiaTheme="majorEastAsia" w:cs="Times New Roman"/>
          <w:szCs w:val="24"/>
        </w:rPr>
        <w:t>orečnanu</w:t>
      </w:r>
      <w:r>
        <w:rPr>
          <w:rFonts w:eastAsiaTheme="majorEastAsia" w:cs="Times New Roman"/>
          <w:szCs w:val="24"/>
        </w:rPr>
        <w:t xml:space="preserve"> o látkové koncentraci </w:t>
      </w:r>
      <w:r w:rsidR="00917C1C">
        <w:rPr>
          <w:rFonts w:eastAsiaTheme="majorEastAsia" w:cs="Times New Roman"/>
          <w:szCs w:val="24"/>
        </w:rPr>
        <w:t xml:space="preserve">c = </w:t>
      </w:r>
      <w:r>
        <w:rPr>
          <w:rFonts w:eastAsiaTheme="majorEastAsia" w:cs="Times New Roman"/>
          <w:szCs w:val="24"/>
        </w:rPr>
        <w:t>5</w:t>
      </w:r>
      <w:r w:rsidR="00917C1C">
        <w:rPr>
          <w:rFonts w:eastAsiaTheme="majorEastAsia" w:cs="Times New Roman"/>
          <w:szCs w:val="24"/>
        </w:rPr>
        <w:t>.10</w:t>
      </w:r>
      <w:r w:rsidR="00917C1C">
        <w:rPr>
          <w:rFonts w:eastAsiaTheme="majorEastAsia" w:cs="Times New Roman"/>
          <w:szCs w:val="24"/>
          <w:vertAlign w:val="superscript"/>
        </w:rPr>
        <w:t>–2</w:t>
      </w:r>
      <w:r w:rsidR="00917C1C">
        <w:rPr>
          <w:rFonts w:eastAsiaTheme="majorEastAsia" w:cs="Times New Roman"/>
          <w:szCs w:val="24"/>
        </w:rPr>
        <w:t xml:space="preserve"> mol/l</w:t>
      </w:r>
      <w:r w:rsidR="00203F8B">
        <w:rPr>
          <w:rFonts w:eastAsiaTheme="majorEastAsia" w:cs="Times New Roman"/>
          <w:szCs w:val="24"/>
        </w:rPr>
        <w:t xml:space="preserve"> byl připraven</w:t>
      </w:r>
      <w:r>
        <w:rPr>
          <w:rFonts w:eastAsiaTheme="majorEastAsia" w:cs="Times New Roman"/>
          <w:szCs w:val="24"/>
        </w:rPr>
        <w:t xml:space="preserve"> rozpuštěním </w:t>
      </w:r>
      <w:r w:rsidR="00F07885">
        <w:rPr>
          <w:rFonts w:eastAsiaTheme="majorEastAsia" w:cs="Times New Roman"/>
          <w:szCs w:val="24"/>
        </w:rPr>
        <w:t>195</w:t>
      </w:r>
      <w:r>
        <w:rPr>
          <w:rFonts w:eastAsiaTheme="majorEastAsia" w:cs="Times New Roman"/>
          <w:szCs w:val="24"/>
        </w:rPr>
        <w:t xml:space="preserve"> mg </w:t>
      </w:r>
      <w:proofErr w:type="spellStart"/>
      <w:r>
        <w:rPr>
          <w:rFonts w:eastAsiaTheme="majorEastAsia" w:cs="Times New Roman"/>
          <w:szCs w:val="24"/>
        </w:rPr>
        <w:t>dihydrátu</w:t>
      </w:r>
      <w:proofErr w:type="spellEnd"/>
      <w:r>
        <w:rPr>
          <w:rFonts w:eastAsiaTheme="majorEastAsia" w:cs="Times New Roman"/>
          <w:szCs w:val="24"/>
        </w:rPr>
        <w:t xml:space="preserve"> </w:t>
      </w:r>
      <w:proofErr w:type="spellStart"/>
      <w:r>
        <w:rPr>
          <w:rFonts w:eastAsiaTheme="majorEastAsia" w:cs="Times New Roman"/>
          <w:szCs w:val="24"/>
        </w:rPr>
        <w:t>dihydrogenfosforečnanu</w:t>
      </w:r>
      <w:proofErr w:type="spellEnd"/>
      <w:r>
        <w:rPr>
          <w:rFonts w:eastAsiaTheme="majorEastAsia" w:cs="Times New Roman"/>
          <w:szCs w:val="24"/>
        </w:rPr>
        <w:t xml:space="preserve"> sodného v tlumivém roztoku TRIS. Druhý tlumivý roztok (fosf</w:t>
      </w:r>
      <w:r w:rsidR="00203F8B">
        <w:rPr>
          <w:rFonts w:eastAsiaTheme="majorEastAsia" w:cs="Times New Roman"/>
          <w:szCs w:val="24"/>
        </w:rPr>
        <w:t>orečnan</w:t>
      </w:r>
      <w:r>
        <w:rPr>
          <w:rFonts w:eastAsiaTheme="majorEastAsia" w:cs="Times New Roman"/>
          <w:szCs w:val="24"/>
        </w:rPr>
        <w:t>/</w:t>
      </w:r>
      <w:proofErr w:type="spellStart"/>
      <w:r>
        <w:rPr>
          <w:rFonts w:eastAsiaTheme="majorEastAsia" w:cs="Times New Roman"/>
          <w:szCs w:val="24"/>
        </w:rPr>
        <w:t>NaCl</w:t>
      </w:r>
      <w:proofErr w:type="spellEnd"/>
      <w:r>
        <w:rPr>
          <w:rFonts w:eastAsiaTheme="majorEastAsia" w:cs="Times New Roman"/>
          <w:szCs w:val="24"/>
        </w:rPr>
        <w:t xml:space="preserve">) byl připraven rozpuštěním 195 mg </w:t>
      </w:r>
      <w:proofErr w:type="spellStart"/>
      <w:r>
        <w:rPr>
          <w:rFonts w:eastAsiaTheme="majorEastAsia" w:cs="Times New Roman"/>
          <w:szCs w:val="24"/>
        </w:rPr>
        <w:t>dihydrátu</w:t>
      </w:r>
      <w:proofErr w:type="spellEnd"/>
      <w:r>
        <w:rPr>
          <w:rFonts w:eastAsiaTheme="majorEastAsia" w:cs="Times New Roman"/>
          <w:szCs w:val="24"/>
        </w:rPr>
        <w:t xml:space="preserve"> </w:t>
      </w:r>
      <w:proofErr w:type="spellStart"/>
      <w:r>
        <w:rPr>
          <w:rFonts w:eastAsiaTheme="majorEastAsia" w:cs="Times New Roman"/>
          <w:szCs w:val="24"/>
        </w:rPr>
        <w:t>dihydrogenfosforečnanu</w:t>
      </w:r>
      <w:proofErr w:type="spellEnd"/>
      <w:r>
        <w:rPr>
          <w:rFonts w:eastAsiaTheme="majorEastAsia" w:cs="Times New Roman"/>
          <w:szCs w:val="24"/>
        </w:rPr>
        <w:t xml:space="preserve"> sodného a 219,4 mg chloridu sodného. Také tato navá</w:t>
      </w:r>
      <w:r w:rsidR="00917C1C">
        <w:rPr>
          <w:rFonts w:eastAsiaTheme="majorEastAsia" w:cs="Times New Roman"/>
          <w:szCs w:val="24"/>
        </w:rPr>
        <w:t xml:space="preserve">žená množství byla rozpuštěna v </w:t>
      </w:r>
      <w:r>
        <w:rPr>
          <w:rFonts w:eastAsiaTheme="majorEastAsia" w:cs="Times New Roman"/>
          <w:szCs w:val="24"/>
        </w:rPr>
        <w:t xml:space="preserve">tlumivém roztoku TRIS. Tímto byl získán </w:t>
      </w:r>
      <w:r w:rsidR="00917C1C">
        <w:rPr>
          <w:rFonts w:eastAsiaTheme="majorEastAsia" w:cs="Times New Roman"/>
          <w:szCs w:val="24"/>
        </w:rPr>
        <w:t>tlumivý roztok</w:t>
      </w:r>
      <w:r>
        <w:rPr>
          <w:rFonts w:eastAsiaTheme="majorEastAsia" w:cs="Times New Roman"/>
          <w:szCs w:val="24"/>
        </w:rPr>
        <w:t xml:space="preserve"> o látkové koncentraci</w:t>
      </w:r>
      <w:r w:rsidR="005B0D1E">
        <w:rPr>
          <w:rFonts w:eastAsiaTheme="majorEastAsia" w:cs="Times New Roman"/>
          <w:szCs w:val="24"/>
        </w:rPr>
        <w:t xml:space="preserve"> c =</w:t>
      </w:r>
      <w:r>
        <w:rPr>
          <w:rFonts w:eastAsiaTheme="majorEastAsia" w:cs="Times New Roman"/>
          <w:szCs w:val="24"/>
        </w:rPr>
        <w:t xml:space="preserve"> </w:t>
      </w:r>
      <w:r w:rsidR="00917C1C">
        <w:rPr>
          <w:rFonts w:eastAsiaTheme="majorEastAsia" w:cs="Times New Roman"/>
          <w:szCs w:val="24"/>
        </w:rPr>
        <w:t>5.10</w:t>
      </w:r>
      <w:r w:rsidR="00917C1C">
        <w:rPr>
          <w:rFonts w:eastAsiaTheme="majorEastAsia" w:cs="Times New Roman"/>
          <w:szCs w:val="24"/>
          <w:vertAlign w:val="superscript"/>
        </w:rPr>
        <w:t>–2</w:t>
      </w:r>
      <w:r w:rsidR="00917C1C">
        <w:rPr>
          <w:rFonts w:eastAsiaTheme="majorEastAsia" w:cs="Times New Roman"/>
          <w:szCs w:val="24"/>
        </w:rPr>
        <w:t xml:space="preserve"> mol/l </w:t>
      </w:r>
      <w:r>
        <w:rPr>
          <w:rFonts w:eastAsiaTheme="majorEastAsia" w:cs="Times New Roman"/>
          <w:szCs w:val="24"/>
        </w:rPr>
        <w:t>fosfát/</w:t>
      </w:r>
      <w:r w:rsidR="00917C1C">
        <w:rPr>
          <w:rFonts w:eastAsiaTheme="majorEastAsia" w:cs="Times New Roman"/>
          <w:szCs w:val="24"/>
        </w:rPr>
        <w:t>0,</w:t>
      </w:r>
      <w:r>
        <w:rPr>
          <w:rFonts w:eastAsiaTheme="majorEastAsia" w:cs="Times New Roman"/>
          <w:szCs w:val="24"/>
        </w:rPr>
        <w:t xml:space="preserve">150 </w:t>
      </w:r>
      <w:r w:rsidR="00917C1C">
        <w:rPr>
          <w:rFonts w:eastAsiaTheme="majorEastAsia" w:cs="Times New Roman"/>
          <w:szCs w:val="24"/>
        </w:rPr>
        <w:t xml:space="preserve">mol/l </w:t>
      </w:r>
      <w:proofErr w:type="spellStart"/>
      <w:r>
        <w:rPr>
          <w:rFonts w:eastAsiaTheme="majorEastAsia" w:cs="Times New Roman"/>
          <w:szCs w:val="24"/>
        </w:rPr>
        <w:t>NaCl</w:t>
      </w:r>
      <w:proofErr w:type="spellEnd"/>
      <w:r>
        <w:rPr>
          <w:rFonts w:eastAsiaTheme="majorEastAsia" w:cs="Times New Roman"/>
          <w:szCs w:val="24"/>
        </w:rPr>
        <w:t xml:space="preserve">. </w:t>
      </w:r>
    </w:p>
    <w:p w:rsidR="00DA693F" w:rsidRDefault="00DA693F" w:rsidP="00057936">
      <w:pPr>
        <w:spacing w:before="120"/>
        <w:jc w:val="both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 xml:space="preserve">Oba roztoky byly na magnetické míchačce </w:t>
      </w:r>
      <w:r w:rsidR="00203F8B">
        <w:rPr>
          <w:rFonts w:eastAsiaTheme="majorEastAsia" w:cs="Times New Roman"/>
          <w:szCs w:val="24"/>
        </w:rPr>
        <w:t xml:space="preserve">titrovány </w:t>
      </w:r>
      <w:r>
        <w:rPr>
          <w:rFonts w:eastAsiaTheme="majorEastAsia" w:cs="Times New Roman"/>
          <w:szCs w:val="24"/>
        </w:rPr>
        <w:t xml:space="preserve">koncentrovaným hydroxidem sodným </w:t>
      </w:r>
      <w:r w:rsidR="00203F8B">
        <w:rPr>
          <w:rFonts w:eastAsiaTheme="majorEastAsia" w:cs="Times New Roman"/>
          <w:szCs w:val="24"/>
        </w:rPr>
        <w:t xml:space="preserve">o látkové koncentraci 10 mol/l </w:t>
      </w:r>
      <w:r>
        <w:rPr>
          <w:rFonts w:eastAsiaTheme="majorEastAsia" w:cs="Times New Roman"/>
          <w:szCs w:val="24"/>
        </w:rPr>
        <w:t xml:space="preserve">do pH </w:t>
      </w:r>
      <w:r w:rsidR="00A30581">
        <w:rPr>
          <w:rFonts w:eastAsiaTheme="majorEastAsia" w:cs="Times New Roman"/>
          <w:szCs w:val="24"/>
        </w:rPr>
        <w:t xml:space="preserve">= </w:t>
      </w:r>
      <w:r>
        <w:rPr>
          <w:rFonts w:eastAsiaTheme="majorEastAsia" w:cs="Times New Roman"/>
          <w:szCs w:val="24"/>
        </w:rPr>
        <w:t xml:space="preserve">7,4. </w:t>
      </w:r>
    </w:p>
    <w:p w:rsidR="00DA693F" w:rsidRDefault="00DA693F" w:rsidP="00057936">
      <w:pPr>
        <w:spacing w:before="120"/>
        <w:jc w:val="both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>Následná ana</w:t>
      </w:r>
      <w:r w:rsidR="0042679B">
        <w:rPr>
          <w:rFonts w:eastAsiaTheme="majorEastAsia" w:cs="Times New Roman"/>
          <w:szCs w:val="24"/>
        </w:rPr>
        <w:t xml:space="preserve">lýza elektroforézou spočívala v </w:t>
      </w:r>
      <w:r>
        <w:rPr>
          <w:rFonts w:eastAsiaTheme="majorEastAsia" w:cs="Times New Roman"/>
          <w:szCs w:val="24"/>
        </w:rPr>
        <w:t xml:space="preserve">testu přítomnosti nanočástic ve všech </w:t>
      </w:r>
      <w:r w:rsidR="008223A3">
        <w:rPr>
          <w:rFonts w:eastAsiaTheme="majorEastAsia" w:cs="Times New Roman"/>
          <w:szCs w:val="24"/>
        </w:rPr>
        <w:t>prostředích</w:t>
      </w:r>
      <w:r>
        <w:rPr>
          <w:rFonts w:eastAsiaTheme="majorEastAsia" w:cs="Times New Roman"/>
          <w:szCs w:val="24"/>
        </w:rPr>
        <w:t>. Při analýze byly pro větší přehlednost použity dva hřebínky pro vytvoření dvou řad jamek. Původní vzorek byl konfrontován se všemi třemi modifikace</w:t>
      </w:r>
      <w:r w:rsidR="00057936">
        <w:rPr>
          <w:rFonts w:eastAsiaTheme="majorEastAsia" w:cs="Times New Roman"/>
          <w:szCs w:val="24"/>
        </w:rPr>
        <w:t xml:space="preserve">mi při jedné analýze. Obrázek </w:t>
      </w:r>
      <w:r w:rsidR="0042679B">
        <w:rPr>
          <w:rFonts w:eastAsiaTheme="majorEastAsia" w:cs="Times New Roman"/>
          <w:szCs w:val="24"/>
        </w:rPr>
        <w:t xml:space="preserve">14 </w:t>
      </w:r>
      <w:r w:rsidR="00057936">
        <w:rPr>
          <w:rFonts w:eastAsiaTheme="majorEastAsia" w:cs="Times New Roman"/>
          <w:szCs w:val="24"/>
        </w:rPr>
        <w:t xml:space="preserve">s </w:t>
      </w:r>
      <w:r>
        <w:rPr>
          <w:rFonts w:eastAsiaTheme="majorEastAsia" w:cs="Times New Roman"/>
          <w:szCs w:val="24"/>
        </w:rPr>
        <w:t>pomocí šipek ukazuje, jak po třech dnech, k</w:t>
      </w:r>
      <w:r w:rsidR="00FE05D7">
        <w:rPr>
          <w:rFonts w:eastAsiaTheme="majorEastAsia" w:cs="Times New Roman"/>
          <w:szCs w:val="24"/>
        </w:rPr>
        <w:t xml:space="preserve">dy byly nanočástice ponechány </w:t>
      </w:r>
      <w:r w:rsidR="00FE05D7">
        <w:rPr>
          <w:rFonts w:eastAsiaTheme="majorEastAsia" w:cs="Times New Roman"/>
          <w:szCs w:val="24"/>
        </w:rPr>
        <w:br/>
        <w:t xml:space="preserve">v </w:t>
      </w:r>
      <w:r>
        <w:rPr>
          <w:rFonts w:eastAsiaTheme="majorEastAsia" w:cs="Times New Roman"/>
          <w:szCs w:val="24"/>
        </w:rPr>
        <w:t xml:space="preserve">nových prostředích, </w:t>
      </w:r>
      <w:r w:rsidR="0042679B">
        <w:rPr>
          <w:rFonts w:eastAsiaTheme="majorEastAsia" w:cs="Times New Roman"/>
          <w:szCs w:val="24"/>
        </w:rPr>
        <w:t xml:space="preserve">se projevily </w:t>
      </w:r>
      <w:r>
        <w:rPr>
          <w:rFonts w:eastAsiaTheme="majorEastAsia" w:cs="Times New Roman"/>
          <w:szCs w:val="24"/>
        </w:rPr>
        <w:t>důsledky pro jejich stabilitu a existenci.</w:t>
      </w:r>
      <w:r w:rsidR="0042679B">
        <w:rPr>
          <w:rFonts w:eastAsiaTheme="majorEastAsia" w:cs="Times New Roman"/>
          <w:szCs w:val="24"/>
        </w:rPr>
        <w:t xml:space="preserve"> Ve všech případech se jednalo </w:t>
      </w:r>
      <w:r>
        <w:rPr>
          <w:rFonts w:eastAsiaTheme="majorEastAsia" w:cs="Times New Roman"/>
          <w:szCs w:val="24"/>
        </w:rPr>
        <w:t xml:space="preserve">o desetinásobné ředění, pouze u vody bylo zředění stonásobné. Každá jamka byla opět obsazena směsí vzorku a glycerolu. Tentokrát byl použit glycerol s příměsí </w:t>
      </w:r>
      <w:proofErr w:type="spellStart"/>
      <w:r>
        <w:rPr>
          <w:rFonts w:eastAsiaTheme="majorEastAsia" w:cs="Times New Roman"/>
          <w:szCs w:val="24"/>
        </w:rPr>
        <w:t>bromthymolové</w:t>
      </w:r>
      <w:proofErr w:type="spellEnd"/>
      <w:r>
        <w:rPr>
          <w:rFonts w:eastAsiaTheme="majorEastAsia" w:cs="Times New Roman"/>
          <w:szCs w:val="24"/>
        </w:rPr>
        <w:t xml:space="preserve"> modři, čímž bylo zajištěno lepší pozorování pouhým okem. </w:t>
      </w:r>
    </w:p>
    <w:p w:rsidR="00DA693F" w:rsidRDefault="00DA693F" w:rsidP="00A30581">
      <w:pPr>
        <w:ind w:firstLine="0"/>
      </w:pPr>
    </w:p>
    <w:p w:rsidR="00A30581" w:rsidRDefault="006031B7" w:rsidP="00A30581">
      <w:pPr>
        <w:ind w:firstLine="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214630</wp:posOffset>
            </wp:positionV>
            <wp:extent cx="2895600" cy="2920365"/>
            <wp:effectExtent l="38100" t="19050" r="19050" b="13335"/>
            <wp:wrapNone/>
            <wp:docPr id="13" name="obrázek 2" descr="Návštěva 2015-12-16 11hr 05min-488-605-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vštěva 2015-12-16 11hr 05min-488-605-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20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581" w:rsidRDefault="00A30581" w:rsidP="00A30581">
      <w:pPr>
        <w:ind w:firstLine="0"/>
        <w:rPr>
          <w:rFonts w:cs="Times New Roman"/>
          <w:szCs w:val="24"/>
        </w:rPr>
      </w:pPr>
    </w:p>
    <w:p w:rsidR="00A30581" w:rsidRDefault="00A30581" w:rsidP="00A30581">
      <w:pPr>
        <w:ind w:firstLine="0"/>
        <w:rPr>
          <w:rFonts w:cs="Times New Roman"/>
          <w:szCs w:val="24"/>
        </w:rPr>
      </w:pPr>
    </w:p>
    <w:p w:rsidR="00A30581" w:rsidRDefault="00A30581" w:rsidP="00A30581">
      <w:pPr>
        <w:ind w:firstLine="0"/>
        <w:rPr>
          <w:rFonts w:cs="Times New Roman"/>
          <w:szCs w:val="24"/>
        </w:rPr>
      </w:pPr>
    </w:p>
    <w:p w:rsidR="00A30581" w:rsidRDefault="00A30581" w:rsidP="00A30581">
      <w:pPr>
        <w:ind w:firstLine="0"/>
        <w:rPr>
          <w:rFonts w:cs="Times New Roman"/>
          <w:szCs w:val="24"/>
        </w:rPr>
      </w:pPr>
    </w:p>
    <w:p w:rsidR="00A30581" w:rsidRDefault="00A30581" w:rsidP="00A30581">
      <w:pPr>
        <w:ind w:firstLine="0"/>
        <w:rPr>
          <w:rFonts w:cs="Times New Roman"/>
          <w:szCs w:val="24"/>
        </w:rPr>
      </w:pPr>
    </w:p>
    <w:p w:rsidR="00A30581" w:rsidRDefault="00A30581" w:rsidP="00A30581">
      <w:pPr>
        <w:ind w:firstLine="0"/>
        <w:rPr>
          <w:rFonts w:cs="Times New Roman"/>
          <w:szCs w:val="24"/>
        </w:rPr>
      </w:pPr>
    </w:p>
    <w:p w:rsidR="00A30581" w:rsidRDefault="00A30581" w:rsidP="00A30581">
      <w:pPr>
        <w:ind w:firstLine="0"/>
        <w:rPr>
          <w:rFonts w:cs="Times New Roman"/>
          <w:szCs w:val="24"/>
        </w:rPr>
      </w:pPr>
    </w:p>
    <w:p w:rsidR="00A30581" w:rsidRDefault="00A30581" w:rsidP="00A30581">
      <w:pPr>
        <w:ind w:firstLine="0"/>
        <w:rPr>
          <w:rFonts w:cs="Times New Roman"/>
          <w:szCs w:val="24"/>
        </w:rPr>
      </w:pPr>
    </w:p>
    <w:p w:rsidR="00A30581" w:rsidRDefault="00A30581" w:rsidP="00A30581">
      <w:pPr>
        <w:ind w:firstLine="0"/>
        <w:rPr>
          <w:rFonts w:cs="Times New Roman"/>
          <w:szCs w:val="24"/>
        </w:rPr>
      </w:pPr>
    </w:p>
    <w:p w:rsidR="00A30581" w:rsidRDefault="00A30581" w:rsidP="00A30581">
      <w:pPr>
        <w:ind w:firstLine="0"/>
        <w:rPr>
          <w:rFonts w:cs="Times New Roman"/>
          <w:szCs w:val="24"/>
        </w:rPr>
      </w:pPr>
    </w:p>
    <w:p w:rsidR="006031B7" w:rsidRDefault="006031B7" w:rsidP="00A30581">
      <w:pPr>
        <w:ind w:firstLine="0"/>
        <w:rPr>
          <w:rFonts w:cs="Times New Roman"/>
          <w:szCs w:val="24"/>
        </w:rPr>
      </w:pPr>
    </w:p>
    <w:p w:rsidR="00BF78FC" w:rsidRDefault="00BF78FC" w:rsidP="00A30581">
      <w:pPr>
        <w:ind w:firstLine="0"/>
        <w:rPr>
          <w:rFonts w:cs="Times New Roman"/>
          <w:szCs w:val="24"/>
        </w:rPr>
      </w:pPr>
    </w:p>
    <w:p w:rsidR="00DA693F" w:rsidRPr="00917C1C" w:rsidRDefault="00DA693F" w:rsidP="00625B4B">
      <w:pPr>
        <w:ind w:firstLine="0"/>
        <w:jc w:val="center"/>
        <w:rPr>
          <w:rFonts w:cs="Times New Roman"/>
          <w:szCs w:val="24"/>
        </w:rPr>
      </w:pPr>
      <w:r w:rsidRPr="00917C1C">
        <w:rPr>
          <w:rFonts w:cs="Times New Roman"/>
          <w:szCs w:val="24"/>
        </w:rPr>
        <w:t>Obr</w:t>
      </w:r>
      <w:r w:rsidR="00A30581" w:rsidRPr="00917C1C">
        <w:rPr>
          <w:rFonts w:cs="Times New Roman"/>
          <w:szCs w:val="24"/>
        </w:rPr>
        <w:t>ázek 1</w:t>
      </w:r>
      <w:r w:rsidR="00874A6F">
        <w:rPr>
          <w:rFonts w:cs="Times New Roman"/>
          <w:szCs w:val="24"/>
        </w:rPr>
        <w:t>4</w:t>
      </w:r>
      <w:r w:rsidR="00A30581" w:rsidRPr="00917C1C">
        <w:rPr>
          <w:rFonts w:cs="Times New Roman"/>
          <w:szCs w:val="24"/>
        </w:rPr>
        <w:t>:</w:t>
      </w:r>
      <w:r w:rsidRPr="00917C1C">
        <w:rPr>
          <w:rFonts w:cs="Times New Roman"/>
          <w:szCs w:val="24"/>
        </w:rPr>
        <w:t xml:space="preserve"> </w:t>
      </w:r>
      <w:r w:rsidR="00A30581" w:rsidRPr="00917C1C">
        <w:rPr>
          <w:rFonts w:cs="Times New Roman"/>
          <w:szCs w:val="24"/>
        </w:rPr>
        <w:t xml:space="preserve"> </w:t>
      </w:r>
      <w:proofErr w:type="spellStart"/>
      <w:r w:rsidRPr="00917C1C">
        <w:rPr>
          <w:rFonts w:cs="Times New Roman"/>
          <w:szCs w:val="24"/>
        </w:rPr>
        <w:t>Elektroforeogram</w:t>
      </w:r>
      <w:proofErr w:type="spellEnd"/>
      <w:r w:rsidRPr="00917C1C">
        <w:rPr>
          <w:rFonts w:cs="Times New Roman"/>
          <w:szCs w:val="24"/>
        </w:rPr>
        <w:t xml:space="preserve"> analýzy </w:t>
      </w:r>
      <w:proofErr w:type="spellStart"/>
      <w:r w:rsidRPr="00917C1C">
        <w:rPr>
          <w:rFonts w:cs="Times New Roman"/>
          <w:szCs w:val="24"/>
        </w:rPr>
        <w:t>nanočástic</w:t>
      </w:r>
      <w:proofErr w:type="spellEnd"/>
      <w:r w:rsidRPr="00917C1C">
        <w:rPr>
          <w:rFonts w:cs="Times New Roman"/>
          <w:szCs w:val="24"/>
        </w:rPr>
        <w:t xml:space="preserve"> v</w:t>
      </w:r>
      <w:r w:rsidR="009B49E9">
        <w:rPr>
          <w:rFonts w:cs="Times New Roman"/>
          <w:szCs w:val="24"/>
        </w:rPr>
        <w:t xml:space="preserve"> prostředí </w:t>
      </w:r>
      <w:r w:rsidRPr="00917C1C">
        <w:rPr>
          <w:rFonts w:cs="Times New Roman"/>
          <w:szCs w:val="24"/>
        </w:rPr>
        <w:t>tlumivýc</w:t>
      </w:r>
      <w:r w:rsidR="00A30581" w:rsidRPr="00917C1C">
        <w:rPr>
          <w:rFonts w:cs="Times New Roman"/>
          <w:szCs w:val="24"/>
        </w:rPr>
        <w:t>h rozto</w:t>
      </w:r>
      <w:r w:rsidR="009B49E9">
        <w:rPr>
          <w:rFonts w:cs="Times New Roman"/>
          <w:szCs w:val="24"/>
        </w:rPr>
        <w:t>ků a vody</w:t>
      </w:r>
    </w:p>
    <w:p w:rsidR="00A30581" w:rsidRPr="006031B7" w:rsidRDefault="00A30581" w:rsidP="00A30581">
      <w:pPr>
        <w:ind w:firstLine="0"/>
        <w:jc w:val="both"/>
        <w:rPr>
          <w:rFonts w:cs="Times New Roman"/>
          <w:sz w:val="12"/>
          <w:szCs w:val="12"/>
        </w:rPr>
      </w:pPr>
    </w:p>
    <w:p w:rsidR="0083531C" w:rsidRPr="006031B7" w:rsidRDefault="006031B7" w:rsidP="006031B7">
      <w:pPr>
        <w:tabs>
          <w:tab w:val="left" w:pos="1701"/>
        </w:tabs>
        <w:ind w:firstLine="0"/>
        <w:jc w:val="both"/>
        <w:rPr>
          <w:rFonts w:cs="Times New Roman"/>
          <w:sz w:val="22"/>
        </w:rPr>
      </w:pPr>
      <w:r w:rsidRPr="006031B7">
        <w:rPr>
          <w:rFonts w:cs="Times New Roman"/>
          <w:sz w:val="22"/>
        </w:rPr>
        <w:tab/>
      </w:r>
      <w:r w:rsidR="0083531C" w:rsidRPr="006031B7">
        <w:rPr>
          <w:rFonts w:cs="Times New Roman"/>
          <w:sz w:val="22"/>
        </w:rPr>
        <w:t>S</w:t>
      </w:r>
      <w:r w:rsidR="00DA693F" w:rsidRPr="006031B7">
        <w:rPr>
          <w:rFonts w:cs="Times New Roman"/>
          <w:sz w:val="22"/>
        </w:rPr>
        <w:t xml:space="preserve">tandard </w:t>
      </w:r>
      <w:r w:rsidRPr="006031B7">
        <w:rPr>
          <w:rFonts w:cs="Times New Roman"/>
          <w:sz w:val="22"/>
        </w:rPr>
        <w:t xml:space="preserve">… </w:t>
      </w:r>
      <w:r w:rsidR="00DA693F" w:rsidRPr="006031B7">
        <w:rPr>
          <w:rFonts w:cs="Times New Roman"/>
          <w:sz w:val="22"/>
        </w:rPr>
        <w:t xml:space="preserve">označuje původně připravený vzorek bez ředění, </w:t>
      </w:r>
    </w:p>
    <w:p w:rsidR="0083531C" w:rsidRPr="006031B7" w:rsidRDefault="006031B7" w:rsidP="006031B7">
      <w:pPr>
        <w:tabs>
          <w:tab w:val="left" w:pos="1701"/>
        </w:tabs>
        <w:ind w:firstLine="0"/>
        <w:jc w:val="both"/>
        <w:rPr>
          <w:rFonts w:cs="Times New Roman"/>
          <w:sz w:val="22"/>
        </w:rPr>
      </w:pPr>
      <w:r w:rsidRPr="006031B7">
        <w:rPr>
          <w:rFonts w:cs="Times New Roman"/>
          <w:sz w:val="22"/>
        </w:rPr>
        <w:tab/>
      </w:r>
      <w:r w:rsidR="00DA693F" w:rsidRPr="006031B7">
        <w:rPr>
          <w:rFonts w:cs="Times New Roman"/>
          <w:sz w:val="22"/>
        </w:rPr>
        <w:t xml:space="preserve">X </w:t>
      </w:r>
      <w:r w:rsidRPr="006031B7">
        <w:rPr>
          <w:rFonts w:cs="Times New Roman"/>
          <w:sz w:val="22"/>
        </w:rPr>
        <w:t xml:space="preserve">… </w:t>
      </w:r>
      <w:r w:rsidR="00DA693F" w:rsidRPr="006031B7">
        <w:rPr>
          <w:rFonts w:cs="Times New Roman"/>
          <w:sz w:val="22"/>
        </w:rPr>
        <w:t xml:space="preserve">označuje vzorek </w:t>
      </w:r>
      <w:proofErr w:type="spellStart"/>
      <w:r w:rsidR="00DA693F" w:rsidRPr="006031B7">
        <w:rPr>
          <w:rFonts w:cs="Times New Roman"/>
          <w:sz w:val="22"/>
        </w:rPr>
        <w:t>nanočástic</w:t>
      </w:r>
      <w:proofErr w:type="spellEnd"/>
      <w:r w:rsidR="00DA693F" w:rsidRPr="006031B7">
        <w:rPr>
          <w:rFonts w:cs="Times New Roman"/>
          <w:sz w:val="22"/>
        </w:rPr>
        <w:t xml:space="preserve"> v</w:t>
      </w:r>
      <w:r w:rsidRPr="006031B7">
        <w:rPr>
          <w:rFonts w:cs="Times New Roman"/>
          <w:sz w:val="22"/>
        </w:rPr>
        <w:t xml:space="preserve">e </w:t>
      </w:r>
      <w:proofErr w:type="spellStart"/>
      <w:r w:rsidRPr="006031B7">
        <w:rPr>
          <w:rFonts w:cs="Times New Roman"/>
          <w:sz w:val="22"/>
        </w:rPr>
        <w:t>fosforečnanovém</w:t>
      </w:r>
      <w:proofErr w:type="spellEnd"/>
      <w:r w:rsidR="00DA693F" w:rsidRPr="006031B7">
        <w:rPr>
          <w:rFonts w:cs="Times New Roman"/>
          <w:sz w:val="22"/>
        </w:rPr>
        <w:t xml:space="preserve"> tlumivém roztoku, </w:t>
      </w:r>
    </w:p>
    <w:p w:rsidR="0083531C" w:rsidRPr="006031B7" w:rsidRDefault="006031B7" w:rsidP="006031B7">
      <w:pPr>
        <w:tabs>
          <w:tab w:val="left" w:pos="1701"/>
        </w:tabs>
        <w:ind w:firstLine="0"/>
        <w:jc w:val="both"/>
        <w:rPr>
          <w:rFonts w:cs="Times New Roman"/>
          <w:sz w:val="22"/>
        </w:rPr>
      </w:pPr>
      <w:r w:rsidRPr="006031B7">
        <w:rPr>
          <w:rFonts w:cs="Times New Roman"/>
          <w:sz w:val="22"/>
        </w:rPr>
        <w:tab/>
      </w:r>
      <w:r w:rsidR="00DA693F" w:rsidRPr="006031B7">
        <w:rPr>
          <w:rFonts w:cs="Times New Roman"/>
          <w:sz w:val="22"/>
        </w:rPr>
        <w:t xml:space="preserve">Y </w:t>
      </w:r>
      <w:r w:rsidRPr="006031B7">
        <w:rPr>
          <w:rFonts w:cs="Times New Roman"/>
          <w:sz w:val="22"/>
        </w:rPr>
        <w:t xml:space="preserve">… </w:t>
      </w:r>
      <w:r w:rsidR="00DA693F" w:rsidRPr="006031B7">
        <w:rPr>
          <w:rFonts w:cs="Times New Roman"/>
          <w:sz w:val="22"/>
        </w:rPr>
        <w:t>označuje vzorek nanočástic v tlumivém roztoku fosf</w:t>
      </w:r>
      <w:r w:rsidRPr="006031B7">
        <w:rPr>
          <w:rFonts w:cs="Times New Roman"/>
          <w:sz w:val="22"/>
        </w:rPr>
        <w:t>orečnan</w:t>
      </w:r>
      <w:r w:rsidR="00DA693F" w:rsidRPr="006031B7">
        <w:rPr>
          <w:rFonts w:cs="Times New Roman"/>
          <w:sz w:val="22"/>
        </w:rPr>
        <w:t>/</w:t>
      </w:r>
      <w:proofErr w:type="spellStart"/>
      <w:r w:rsidR="00DA693F" w:rsidRPr="006031B7">
        <w:rPr>
          <w:rFonts w:cs="Times New Roman"/>
          <w:sz w:val="22"/>
        </w:rPr>
        <w:t>NaCl</w:t>
      </w:r>
      <w:proofErr w:type="spellEnd"/>
      <w:r w:rsidR="00DA693F" w:rsidRPr="006031B7">
        <w:rPr>
          <w:rFonts w:cs="Times New Roman"/>
          <w:sz w:val="22"/>
        </w:rPr>
        <w:t xml:space="preserve">, </w:t>
      </w:r>
    </w:p>
    <w:p w:rsidR="00DA693F" w:rsidRPr="006031B7" w:rsidRDefault="006031B7" w:rsidP="006031B7">
      <w:pPr>
        <w:tabs>
          <w:tab w:val="left" w:pos="1701"/>
        </w:tabs>
        <w:ind w:firstLine="0"/>
        <w:jc w:val="both"/>
        <w:rPr>
          <w:rFonts w:cs="Times New Roman"/>
          <w:sz w:val="22"/>
        </w:rPr>
      </w:pPr>
      <w:r w:rsidRPr="006031B7">
        <w:rPr>
          <w:rFonts w:cs="Times New Roman"/>
          <w:sz w:val="22"/>
        </w:rPr>
        <w:tab/>
      </w:r>
      <w:r w:rsidR="00DA693F" w:rsidRPr="006031B7">
        <w:rPr>
          <w:rFonts w:cs="Times New Roman"/>
          <w:sz w:val="22"/>
        </w:rPr>
        <w:t>Z </w:t>
      </w:r>
      <w:r w:rsidRPr="006031B7">
        <w:rPr>
          <w:rFonts w:cs="Times New Roman"/>
          <w:sz w:val="22"/>
        </w:rPr>
        <w:t xml:space="preserve">… </w:t>
      </w:r>
      <w:r w:rsidR="00DA693F" w:rsidRPr="006031B7">
        <w:rPr>
          <w:rFonts w:cs="Times New Roman"/>
          <w:sz w:val="22"/>
        </w:rPr>
        <w:t xml:space="preserve">označuje </w:t>
      </w:r>
      <w:r w:rsidRPr="006031B7">
        <w:rPr>
          <w:rFonts w:cs="Times New Roman"/>
          <w:sz w:val="22"/>
        </w:rPr>
        <w:t xml:space="preserve">vzorek </w:t>
      </w:r>
      <w:r w:rsidR="00DA693F" w:rsidRPr="006031B7">
        <w:rPr>
          <w:rFonts w:cs="Times New Roman"/>
          <w:sz w:val="22"/>
        </w:rPr>
        <w:t>nanočástic ve vodě.</w:t>
      </w:r>
    </w:p>
    <w:p w:rsidR="006031B7" w:rsidRPr="006031B7" w:rsidRDefault="006031B7" w:rsidP="006031B7">
      <w:pPr>
        <w:spacing w:before="120"/>
        <w:jc w:val="both"/>
        <w:rPr>
          <w:rFonts w:eastAsiaTheme="majorEastAsia" w:cs="Times New Roman"/>
          <w:sz w:val="12"/>
          <w:szCs w:val="12"/>
        </w:rPr>
      </w:pPr>
    </w:p>
    <w:p w:rsidR="006031B7" w:rsidRDefault="006031B7" w:rsidP="006031B7">
      <w:pPr>
        <w:spacing w:before="120"/>
        <w:jc w:val="both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>Z obrázku 14 bylo zjištěno, že nanočástice odolaly při laboratorní teplotě a stávajícím zředění v obou dvou tlumivých roztocích (</w:t>
      </w:r>
      <w:proofErr w:type="spellStart"/>
      <w:r>
        <w:rPr>
          <w:rFonts w:eastAsiaTheme="majorEastAsia" w:cs="Times New Roman"/>
          <w:szCs w:val="24"/>
        </w:rPr>
        <w:t>fosforečnanový</w:t>
      </w:r>
      <w:proofErr w:type="spellEnd"/>
      <w:r>
        <w:rPr>
          <w:rFonts w:eastAsiaTheme="majorEastAsia" w:cs="Times New Roman"/>
          <w:szCs w:val="24"/>
        </w:rPr>
        <w:t xml:space="preserve"> a fosforečnan/</w:t>
      </w:r>
      <w:proofErr w:type="spellStart"/>
      <w:r>
        <w:rPr>
          <w:rFonts w:eastAsiaTheme="majorEastAsia" w:cs="Times New Roman"/>
          <w:szCs w:val="24"/>
        </w:rPr>
        <w:t>NaCl</w:t>
      </w:r>
      <w:proofErr w:type="spellEnd"/>
      <w:r>
        <w:rPr>
          <w:rFonts w:eastAsiaTheme="majorEastAsia" w:cs="Times New Roman"/>
          <w:szCs w:val="24"/>
        </w:rPr>
        <w:t>). Ve vodě nanočástice zůstaly také, nicméně v mnohem menším množství, což bylo pravděpodobně způsobeno jejich příliš nízkou koncentrací v novém prostředí v důsledku většího zředění (100násobné).</w:t>
      </w:r>
    </w:p>
    <w:p w:rsidR="00813409" w:rsidRDefault="006031B7" w:rsidP="006031B7">
      <w:pPr>
        <w:spacing w:before="120"/>
        <w:jc w:val="both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 xml:space="preserve">Obdobný </w:t>
      </w:r>
      <w:r w:rsidR="00813409">
        <w:rPr>
          <w:rFonts w:eastAsiaTheme="majorEastAsia" w:cs="Times New Roman"/>
          <w:szCs w:val="24"/>
        </w:rPr>
        <w:t>experiment</w:t>
      </w:r>
      <w:r>
        <w:rPr>
          <w:rFonts w:eastAsiaTheme="majorEastAsia" w:cs="Times New Roman"/>
          <w:szCs w:val="24"/>
        </w:rPr>
        <w:t xml:space="preserve"> byl proveden také později po více než měsíci, aby bylo možno určit, zda se jedná opravdu o stabilní nanočástice, čímž by bylo možné se pokusit navrhnout další směřování výzkumu, popř. i jejich možné využití. </w:t>
      </w:r>
      <w:r w:rsidR="00813409">
        <w:rPr>
          <w:rFonts w:eastAsiaTheme="majorEastAsia" w:cs="Times New Roman"/>
          <w:szCs w:val="24"/>
        </w:rPr>
        <w:t>Proto byly p</w:t>
      </w:r>
      <w:r>
        <w:rPr>
          <w:rFonts w:eastAsiaTheme="majorEastAsia" w:cs="Times New Roman"/>
          <w:szCs w:val="24"/>
        </w:rPr>
        <w:t xml:space="preserve">arametry testu rozšířeny </w:t>
      </w:r>
      <w:r w:rsidR="00813409">
        <w:rPr>
          <w:rFonts w:eastAsiaTheme="majorEastAsia" w:cs="Times New Roman"/>
          <w:szCs w:val="24"/>
        </w:rPr>
        <w:br/>
      </w:r>
      <w:r>
        <w:rPr>
          <w:rFonts w:eastAsiaTheme="majorEastAsia" w:cs="Times New Roman"/>
          <w:szCs w:val="24"/>
        </w:rPr>
        <w:t xml:space="preserve">o vliv koncentrace, </w:t>
      </w:r>
      <w:r w:rsidR="00813409">
        <w:rPr>
          <w:rFonts w:eastAsiaTheme="majorEastAsia" w:cs="Times New Roman"/>
          <w:szCs w:val="24"/>
        </w:rPr>
        <w:t>tj. bylo testováno d</w:t>
      </w:r>
      <w:r>
        <w:rPr>
          <w:rFonts w:eastAsiaTheme="majorEastAsia" w:cs="Times New Roman"/>
          <w:szCs w:val="24"/>
        </w:rPr>
        <w:t>esetinásobné, stonásobné a tisícinásobné</w:t>
      </w:r>
      <w:r w:rsidR="00813409">
        <w:rPr>
          <w:rFonts w:eastAsiaTheme="majorEastAsia" w:cs="Times New Roman"/>
          <w:szCs w:val="24"/>
        </w:rPr>
        <w:t xml:space="preserve"> zředění</w:t>
      </w:r>
      <w:r w:rsidR="002A65FE">
        <w:rPr>
          <w:rFonts w:eastAsiaTheme="majorEastAsia" w:cs="Times New Roman"/>
          <w:szCs w:val="24"/>
        </w:rPr>
        <w:t xml:space="preserve"> </w:t>
      </w:r>
      <w:r w:rsidR="00E432E1">
        <w:rPr>
          <w:rFonts w:eastAsiaTheme="majorEastAsia" w:cs="Times New Roman"/>
          <w:szCs w:val="24"/>
        </w:rPr>
        <w:br/>
      </w:r>
      <w:r w:rsidR="002A65FE">
        <w:rPr>
          <w:rFonts w:eastAsiaTheme="majorEastAsia" w:cs="Times New Roman"/>
          <w:szCs w:val="24"/>
        </w:rPr>
        <w:t>(viz obrázek 15)</w:t>
      </w:r>
      <w:r>
        <w:rPr>
          <w:rFonts w:eastAsiaTheme="majorEastAsia" w:cs="Times New Roman"/>
          <w:szCs w:val="24"/>
        </w:rPr>
        <w:t xml:space="preserve">. </w:t>
      </w:r>
    </w:p>
    <w:p w:rsidR="00DA693F" w:rsidRDefault="00FE05D7" w:rsidP="006031B7">
      <w:pPr>
        <w:spacing w:before="120"/>
        <w:jc w:val="both"/>
        <w:rPr>
          <w:rFonts w:cs="Times New Roman"/>
          <w:szCs w:val="24"/>
        </w:rPr>
      </w:pPr>
      <w:r w:rsidRPr="006031B7">
        <w:rPr>
          <w:rFonts w:eastAsiaTheme="majorEastAsia" w:cs="Times New Roman"/>
          <w:szCs w:val="24"/>
        </w:rPr>
        <w:t>Pro</w:t>
      </w:r>
      <w:r>
        <w:rPr>
          <w:rFonts w:cs="Times New Roman"/>
          <w:szCs w:val="24"/>
        </w:rPr>
        <w:t xml:space="preserve"> zjištění vlivu </w:t>
      </w:r>
      <w:r w:rsidR="006031B7">
        <w:rPr>
          <w:rFonts w:cs="Times New Roman"/>
          <w:szCs w:val="24"/>
        </w:rPr>
        <w:t xml:space="preserve">ředění </w:t>
      </w:r>
      <w:r>
        <w:rPr>
          <w:rFonts w:cs="Times New Roman"/>
          <w:szCs w:val="24"/>
        </w:rPr>
        <w:t>byly o</w:t>
      </w:r>
      <w:r w:rsidR="00DA693F" w:rsidRPr="008B0D8A">
        <w:rPr>
          <w:rFonts w:eastAsiaTheme="majorEastAsia" w:cs="Times New Roman"/>
          <w:szCs w:val="24"/>
        </w:rPr>
        <w:t>pět</w:t>
      </w:r>
      <w:r w:rsidR="00DA69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připraveny vzorky nanočástic v</w:t>
      </w:r>
      <w:r w:rsidR="00813409">
        <w:rPr>
          <w:rFonts w:cs="Times New Roman"/>
          <w:szCs w:val="24"/>
        </w:rPr>
        <w:t xml:space="preserve"> jednotlivých </w:t>
      </w:r>
      <w:r w:rsidR="00DA693F">
        <w:rPr>
          <w:rFonts w:cs="Times New Roman"/>
          <w:szCs w:val="24"/>
        </w:rPr>
        <w:t>tlumivý</w:t>
      </w:r>
      <w:r w:rsidR="006031B7">
        <w:rPr>
          <w:rFonts w:cs="Times New Roman"/>
          <w:szCs w:val="24"/>
        </w:rPr>
        <w:t>ch roztocích</w:t>
      </w:r>
      <w:r w:rsidR="00813409">
        <w:rPr>
          <w:rFonts w:cs="Times New Roman"/>
          <w:szCs w:val="24"/>
        </w:rPr>
        <w:t xml:space="preserve"> a vodě</w:t>
      </w:r>
      <w:r w:rsidR="006031B7">
        <w:rPr>
          <w:rFonts w:cs="Times New Roman"/>
          <w:szCs w:val="24"/>
        </w:rPr>
        <w:t xml:space="preserve">, tentokrát ovšem s </w:t>
      </w:r>
      <w:r w:rsidR="00DA693F">
        <w:rPr>
          <w:rFonts w:cs="Times New Roman"/>
          <w:szCs w:val="24"/>
        </w:rPr>
        <w:t xml:space="preserve">výše zmíněnými ředěními. I </w:t>
      </w:r>
      <w:r>
        <w:rPr>
          <w:rFonts w:cs="Times New Roman"/>
          <w:szCs w:val="24"/>
        </w:rPr>
        <w:t>nyní</w:t>
      </w:r>
      <w:r w:rsidR="00DA693F">
        <w:rPr>
          <w:rFonts w:cs="Times New Roman"/>
          <w:szCs w:val="24"/>
        </w:rPr>
        <w:t xml:space="preserve"> byly </w:t>
      </w:r>
      <w:r w:rsidR="00813409">
        <w:rPr>
          <w:rFonts w:cs="Times New Roman"/>
          <w:szCs w:val="24"/>
        </w:rPr>
        <w:br/>
      </w:r>
      <w:r w:rsidR="00DA693F">
        <w:rPr>
          <w:rFonts w:cs="Times New Roman"/>
          <w:szCs w:val="24"/>
        </w:rPr>
        <w:t>pr</w:t>
      </w:r>
      <w:r>
        <w:rPr>
          <w:rFonts w:cs="Times New Roman"/>
          <w:szCs w:val="24"/>
        </w:rPr>
        <w:t xml:space="preserve">o vyšší přehlednost vytvořeny v </w:t>
      </w:r>
      <w:r w:rsidR="00DA693F">
        <w:rPr>
          <w:rFonts w:cs="Times New Roman"/>
          <w:szCs w:val="24"/>
        </w:rPr>
        <w:t xml:space="preserve">gelu dvě řady jamek. Elektroforéza probíhala pouze </w:t>
      </w:r>
      <w:r w:rsidR="00813409">
        <w:rPr>
          <w:rFonts w:cs="Times New Roman"/>
          <w:szCs w:val="24"/>
        </w:rPr>
        <w:br/>
      </w:r>
      <w:r w:rsidR="00DA693F">
        <w:rPr>
          <w:rFonts w:cs="Times New Roman"/>
          <w:szCs w:val="24"/>
        </w:rPr>
        <w:t xml:space="preserve">15 minut. Důvodem zkrácení obvyklého času </w:t>
      </w:r>
      <w:r>
        <w:rPr>
          <w:rFonts w:cs="Times New Roman"/>
          <w:szCs w:val="24"/>
        </w:rPr>
        <w:t>byla</w:t>
      </w:r>
      <w:r w:rsidR="00DA693F">
        <w:rPr>
          <w:rFonts w:cs="Times New Roman"/>
          <w:szCs w:val="24"/>
        </w:rPr>
        <w:t xml:space="preserve"> poměrně malá vzdálenost mezi dvěma </w:t>
      </w:r>
      <w:r w:rsidR="00DA693F">
        <w:rPr>
          <w:rFonts w:cs="Times New Roman"/>
          <w:szCs w:val="24"/>
        </w:rPr>
        <w:lastRenderedPageBreak/>
        <w:t>řadami jamek, kterou by během půlhodinového působení napětí mohly vzorky snadno překonat, a tím by opět celá analýza musela být provedena znovu.</w:t>
      </w:r>
    </w:p>
    <w:p w:rsidR="00DA693F" w:rsidRDefault="00DA693F" w:rsidP="008B0D8A">
      <w:pPr>
        <w:spacing w:before="120"/>
        <w:jc w:val="both"/>
        <w:rPr>
          <w:rFonts w:cs="Times New Roman"/>
          <w:szCs w:val="24"/>
        </w:rPr>
      </w:pPr>
      <w:r w:rsidRPr="008B0D8A">
        <w:rPr>
          <w:rFonts w:eastAsiaTheme="majorEastAsia" w:cs="Times New Roman"/>
          <w:szCs w:val="24"/>
        </w:rPr>
        <w:t>Stejně</w:t>
      </w:r>
      <w:r w:rsidR="00FE05D7">
        <w:rPr>
          <w:rFonts w:cs="Times New Roman"/>
          <w:szCs w:val="24"/>
        </w:rPr>
        <w:t xml:space="preserve"> jako v </w:t>
      </w:r>
      <w:r>
        <w:rPr>
          <w:rFonts w:cs="Times New Roman"/>
          <w:szCs w:val="24"/>
        </w:rPr>
        <w:t>předchozích</w:t>
      </w:r>
      <w:r w:rsidR="008B0D8A">
        <w:rPr>
          <w:rFonts w:cs="Times New Roman"/>
          <w:szCs w:val="24"/>
        </w:rPr>
        <w:t xml:space="preserve"> analýzách byl vzorek smíchán s </w:t>
      </w:r>
      <w:r>
        <w:rPr>
          <w:rFonts w:cs="Times New Roman"/>
          <w:szCs w:val="24"/>
        </w:rPr>
        <w:t>glycerolem a směs dávkována mikropipetou do jamek. Objem jedné dávky vzorku odpovíd</w:t>
      </w:r>
      <w:r w:rsidR="00FE05D7">
        <w:rPr>
          <w:rFonts w:cs="Times New Roman"/>
          <w:szCs w:val="24"/>
        </w:rPr>
        <w:t>al</w:t>
      </w:r>
      <w:r>
        <w:rPr>
          <w:rFonts w:cs="Times New Roman"/>
          <w:szCs w:val="24"/>
        </w:rPr>
        <w:t xml:space="preserve"> desítkám µl.</w:t>
      </w:r>
    </w:p>
    <w:p w:rsidR="00813409" w:rsidRDefault="006B440A" w:rsidP="00813409">
      <w:pPr>
        <w:spacing w:before="120"/>
        <w:ind w:firstLine="0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327025</wp:posOffset>
            </wp:positionV>
            <wp:extent cx="3514725" cy="4295775"/>
            <wp:effectExtent l="19050" t="19050" r="28575" b="28575"/>
            <wp:wrapNone/>
            <wp:docPr id="12" name="obrázek 3" descr="Návštěva 2015-12-16 11hr 05min-488-605-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ávštěva 2015-12-16 11hr 05min-488-605-lo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9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295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31C" w:rsidRPr="00BD1385" w:rsidRDefault="0083531C" w:rsidP="00BD1385">
      <w:pPr>
        <w:spacing w:before="120"/>
        <w:ind w:firstLine="0"/>
        <w:jc w:val="both"/>
        <w:rPr>
          <w:rFonts w:eastAsiaTheme="majorEastAsia" w:cstheme="majorBidi"/>
          <w:szCs w:val="24"/>
        </w:rPr>
      </w:pPr>
    </w:p>
    <w:p w:rsidR="00DA693F" w:rsidRPr="00BD1385" w:rsidRDefault="00DA693F" w:rsidP="00BD1385">
      <w:pPr>
        <w:ind w:firstLine="0"/>
        <w:rPr>
          <w:rFonts w:eastAsiaTheme="majorEastAsia" w:cstheme="majorBidi"/>
          <w:szCs w:val="24"/>
        </w:rPr>
      </w:pPr>
    </w:p>
    <w:p w:rsidR="008B0D8A" w:rsidRPr="00BD1385" w:rsidRDefault="008B0D8A" w:rsidP="008B0D8A">
      <w:pPr>
        <w:ind w:firstLine="0"/>
        <w:rPr>
          <w:rFonts w:eastAsiaTheme="majorEastAsia" w:cstheme="majorBidi"/>
          <w:szCs w:val="24"/>
        </w:rPr>
      </w:pPr>
    </w:p>
    <w:p w:rsidR="008B0D8A" w:rsidRDefault="008B0D8A" w:rsidP="008B0D8A">
      <w:pPr>
        <w:ind w:firstLine="0"/>
        <w:rPr>
          <w:rFonts w:eastAsiaTheme="majorEastAsia" w:cstheme="majorBidi"/>
          <w:szCs w:val="24"/>
        </w:rPr>
      </w:pPr>
    </w:p>
    <w:p w:rsidR="008B0D8A" w:rsidRDefault="008B0D8A" w:rsidP="008B0D8A">
      <w:pPr>
        <w:ind w:firstLine="0"/>
        <w:rPr>
          <w:rFonts w:eastAsiaTheme="majorEastAsia" w:cstheme="majorBidi"/>
          <w:szCs w:val="24"/>
        </w:rPr>
      </w:pPr>
    </w:p>
    <w:p w:rsidR="008B0D8A" w:rsidRDefault="008B0D8A" w:rsidP="008B0D8A">
      <w:pPr>
        <w:ind w:firstLine="0"/>
        <w:rPr>
          <w:rFonts w:eastAsiaTheme="majorEastAsia" w:cstheme="majorBidi"/>
          <w:szCs w:val="24"/>
        </w:rPr>
      </w:pPr>
    </w:p>
    <w:p w:rsidR="008B0D8A" w:rsidRDefault="008B0D8A" w:rsidP="008B0D8A">
      <w:pPr>
        <w:ind w:firstLine="0"/>
        <w:rPr>
          <w:rFonts w:eastAsiaTheme="majorEastAsia" w:cstheme="majorBidi"/>
          <w:szCs w:val="24"/>
        </w:rPr>
      </w:pPr>
    </w:p>
    <w:p w:rsidR="008B0D8A" w:rsidRDefault="008B0D8A" w:rsidP="008B0D8A">
      <w:pPr>
        <w:ind w:firstLine="0"/>
        <w:rPr>
          <w:rFonts w:eastAsiaTheme="majorEastAsia" w:cstheme="majorBidi"/>
          <w:szCs w:val="24"/>
        </w:rPr>
      </w:pPr>
    </w:p>
    <w:p w:rsidR="008B0D8A" w:rsidRDefault="008B0D8A" w:rsidP="008B0D8A">
      <w:pPr>
        <w:ind w:firstLine="0"/>
        <w:rPr>
          <w:rFonts w:eastAsiaTheme="majorEastAsia" w:cstheme="majorBidi"/>
          <w:szCs w:val="24"/>
        </w:rPr>
      </w:pPr>
    </w:p>
    <w:p w:rsidR="008B0D8A" w:rsidRDefault="008B0D8A" w:rsidP="008B0D8A">
      <w:pPr>
        <w:ind w:firstLine="0"/>
        <w:rPr>
          <w:rFonts w:eastAsiaTheme="majorEastAsia" w:cstheme="majorBidi"/>
          <w:szCs w:val="24"/>
        </w:rPr>
      </w:pPr>
    </w:p>
    <w:p w:rsidR="008B0D8A" w:rsidRDefault="008B0D8A" w:rsidP="008B0D8A">
      <w:pPr>
        <w:ind w:firstLine="0"/>
        <w:rPr>
          <w:rFonts w:eastAsiaTheme="majorEastAsia" w:cstheme="majorBidi"/>
          <w:szCs w:val="24"/>
        </w:rPr>
      </w:pPr>
    </w:p>
    <w:p w:rsidR="008B0D8A" w:rsidRDefault="008B0D8A" w:rsidP="008B0D8A">
      <w:pPr>
        <w:ind w:firstLine="0"/>
        <w:rPr>
          <w:rFonts w:eastAsiaTheme="majorEastAsia" w:cstheme="majorBidi"/>
          <w:szCs w:val="24"/>
        </w:rPr>
      </w:pPr>
    </w:p>
    <w:p w:rsidR="008B0D8A" w:rsidRDefault="008B0D8A" w:rsidP="008B0D8A">
      <w:pPr>
        <w:ind w:firstLine="0"/>
        <w:rPr>
          <w:rFonts w:eastAsiaTheme="majorEastAsia" w:cstheme="majorBidi"/>
          <w:szCs w:val="24"/>
        </w:rPr>
      </w:pPr>
    </w:p>
    <w:p w:rsidR="008B0D8A" w:rsidRDefault="008B0D8A" w:rsidP="008B0D8A">
      <w:pPr>
        <w:ind w:firstLine="0"/>
        <w:rPr>
          <w:rFonts w:eastAsiaTheme="majorEastAsia" w:cstheme="majorBidi"/>
          <w:szCs w:val="24"/>
        </w:rPr>
      </w:pPr>
    </w:p>
    <w:p w:rsidR="008B0D8A" w:rsidRDefault="008B0D8A" w:rsidP="008B0D8A">
      <w:pPr>
        <w:ind w:firstLine="0"/>
        <w:rPr>
          <w:rFonts w:eastAsiaTheme="majorEastAsia" w:cstheme="majorBidi"/>
          <w:szCs w:val="24"/>
        </w:rPr>
      </w:pPr>
    </w:p>
    <w:p w:rsidR="008B0D8A" w:rsidRDefault="008B0D8A" w:rsidP="008B0D8A">
      <w:pPr>
        <w:ind w:firstLine="0"/>
        <w:rPr>
          <w:rFonts w:eastAsiaTheme="majorEastAsia" w:cstheme="majorBidi"/>
          <w:szCs w:val="24"/>
        </w:rPr>
      </w:pPr>
    </w:p>
    <w:p w:rsidR="008B0D8A" w:rsidRDefault="008B0D8A" w:rsidP="008B0D8A">
      <w:pPr>
        <w:ind w:firstLine="0"/>
        <w:rPr>
          <w:rFonts w:eastAsiaTheme="majorEastAsia" w:cstheme="majorBidi"/>
          <w:szCs w:val="24"/>
        </w:rPr>
      </w:pPr>
    </w:p>
    <w:p w:rsidR="00DA693F" w:rsidRPr="00917C1C" w:rsidRDefault="00DA693F" w:rsidP="00BD1385">
      <w:pPr>
        <w:ind w:firstLine="0"/>
        <w:jc w:val="center"/>
        <w:rPr>
          <w:rFonts w:eastAsiaTheme="majorEastAsia" w:cstheme="majorBidi"/>
          <w:szCs w:val="24"/>
        </w:rPr>
      </w:pPr>
      <w:r w:rsidRPr="00917C1C">
        <w:rPr>
          <w:rFonts w:eastAsiaTheme="majorEastAsia" w:cstheme="majorBidi"/>
          <w:szCs w:val="24"/>
        </w:rPr>
        <w:t>Obr</w:t>
      </w:r>
      <w:r w:rsidR="00917C1C" w:rsidRPr="00917C1C">
        <w:rPr>
          <w:rFonts w:eastAsiaTheme="majorEastAsia" w:cstheme="majorBidi"/>
          <w:szCs w:val="24"/>
        </w:rPr>
        <w:t>á</w:t>
      </w:r>
      <w:r w:rsidR="00C708AA" w:rsidRPr="00917C1C">
        <w:rPr>
          <w:rFonts w:eastAsiaTheme="majorEastAsia" w:cstheme="majorBidi"/>
          <w:szCs w:val="24"/>
        </w:rPr>
        <w:t>zek</w:t>
      </w:r>
      <w:r w:rsidRPr="00917C1C">
        <w:rPr>
          <w:rFonts w:eastAsiaTheme="majorEastAsia" w:cstheme="majorBidi"/>
          <w:szCs w:val="24"/>
        </w:rPr>
        <w:t xml:space="preserve"> </w:t>
      </w:r>
      <w:r w:rsidR="00C708AA" w:rsidRPr="00917C1C">
        <w:rPr>
          <w:rFonts w:eastAsiaTheme="majorEastAsia" w:cstheme="majorBidi"/>
          <w:szCs w:val="24"/>
        </w:rPr>
        <w:t>1</w:t>
      </w:r>
      <w:r w:rsidR="005D688F">
        <w:rPr>
          <w:rFonts w:eastAsiaTheme="majorEastAsia" w:cstheme="majorBidi"/>
          <w:szCs w:val="24"/>
        </w:rPr>
        <w:t>5</w:t>
      </w:r>
      <w:r w:rsidRPr="00917C1C">
        <w:rPr>
          <w:rFonts w:eastAsiaTheme="majorEastAsia" w:cstheme="majorBidi"/>
          <w:szCs w:val="24"/>
        </w:rPr>
        <w:t xml:space="preserve">: </w:t>
      </w:r>
      <w:r w:rsidR="00C708AA" w:rsidRPr="00917C1C">
        <w:rPr>
          <w:rFonts w:eastAsiaTheme="majorEastAsia" w:cstheme="majorBidi"/>
          <w:szCs w:val="24"/>
        </w:rPr>
        <w:t xml:space="preserve"> </w:t>
      </w:r>
      <w:proofErr w:type="spellStart"/>
      <w:r w:rsidRPr="00917C1C">
        <w:rPr>
          <w:rFonts w:eastAsiaTheme="majorEastAsia" w:cstheme="majorBidi"/>
          <w:szCs w:val="24"/>
        </w:rPr>
        <w:t>Elektroforeogram</w:t>
      </w:r>
      <w:proofErr w:type="spellEnd"/>
      <w:r w:rsidRPr="00917C1C">
        <w:rPr>
          <w:rFonts w:eastAsiaTheme="majorEastAsia" w:cstheme="majorBidi"/>
          <w:szCs w:val="24"/>
        </w:rPr>
        <w:t xml:space="preserve"> stability</w:t>
      </w:r>
      <w:r w:rsidR="006B440A">
        <w:rPr>
          <w:rFonts w:eastAsiaTheme="majorEastAsia" w:cstheme="majorBidi"/>
          <w:szCs w:val="24"/>
        </w:rPr>
        <w:t xml:space="preserve"> </w:t>
      </w:r>
      <w:proofErr w:type="spellStart"/>
      <w:r w:rsidR="006B440A">
        <w:rPr>
          <w:rFonts w:eastAsiaTheme="majorEastAsia" w:cstheme="majorBidi"/>
          <w:szCs w:val="24"/>
        </w:rPr>
        <w:t>nanočástic</w:t>
      </w:r>
      <w:proofErr w:type="spellEnd"/>
      <w:r w:rsidR="006B440A">
        <w:rPr>
          <w:rFonts w:eastAsiaTheme="majorEastAsia" w:cstheme="majorBidi"/>
          <w:szCs w:val="24"/>
        </w:rPr>
        <w:t xml:space="preserve"> při různých zředěních</w:t>
      </w:r>
    </w:p>
    <w:p w:rsidR="00D64356" w:rsidRPr="00FE05D7" w:rsidRDefault="00D64356" w:rsidP="00C708AA">
      <w:pPr>
        <w:ind w:firstLine="0"/>
        <w:jc w:val="both"/>
        <w:rPr>
          <w:rFonts w:eastAsiaTheme="majorEastAsia" w:cstheme="majorBidi"/>
          <w:sz w:val="12"/>
          <w:szCs w:val="12"/>
        </w:rPr>
      </w:pPr>
    </w:p>
    <w:p w:rsidR="00C708AA" w:rsidRPr="00813409" w:rsidRDefault="00DA693F" w:rsidP="00C708AA">
      <w:pPr>
        <w:ind w:firstLine="0"/>
        <w:jc w:val="both"/>
        <w:rPr>
          <w:rFonts w:eastAsiaTheme="majorEastAsia" w:cstheme="majorBidi"/>
          <w:sz w:val="22"/>
        </w:rPr>
      </w:pPr>
      <w:proofErr w:type="spellStart"/>
      <w:r w:rsidRPr="00813409">
        <w:rPr>
          <w:rFonts w:eastAsiaTheme="majorEastAsia" w:cstheme="majorBidi"/>
          <w:sz w:val="22"/>
        </w:rPr>
        <w:t>Stand</w:t>
      </w:r>
      <w:proofErr w:type="spellEnd"/>
      <w:r w:rsidRPr="00813409">
        <w:rPr>
          <w:rFonts w:eastAsiaTheme="majorEastAsia" w:cstheme="majorBidi"/>
          <w:sz w:val="22"/>
        </w:rPr>
        <w:t xml:space="preserve"> </w:t>
      </w:r>
      <w:r w:rsidR="006B440A">
        <w:rPr>
          <w:rFonts w:eastAsiaTheme="majorEastAsia" w:cstheme="majorBidi"/>
          <w:sz w:val="22"/>
        </w:rPr>
        <w:t xml:space="preserve">… </w:t>
      </w:r>
      <w:r w:rsidRPr="00813409">
        <w:rPr>
          <w:rFonts w:eastAsiaTheme="majorEastAsia" w:cstheme="majorBidi"/>
          <w:sz w:val="22"/>
        </w:rPr>
        <w:t xml:space="preserve">označuje původní neředěný vzorek, </w:t>
      </w:r>
    </w:p>
    <w:p w:rsidR="00C708AA" w:rsidRPr="00813409" w:rsidRDefault="00DA693F" w:rsidP="00C708AA">
      <w:pPr>
        <w:ind w:firstLine="0"/>
        <w:jc w:val="both"/>
        <w:rPr>
          <w:rFonts w:eastAsiaTheme="majorEastAsia" w:cstheme="majorBidi"/>
          <w:sz w:val="22"/>
        </w:rPr>
      </w:pPr>
      <w:r w:rsidRPr="00813409">
        <w:rPr>
          <w:rFonts w:eastAsiaTheme="majorEastAsia" w:cstheme="majorBidi"/>
          <w:sz w:val="22"/>
        </w:rPr>
        <w:t xml:space="preserve">X </w:t>
      </w:r>
      <w:r w:rsidR="006B440A">
        <w:rPr>
          <w:rFonts w:eastAsiaTheme="majorEastAsia" w:cstheme="majorBidi"/>
          <w:sz w:val="22"/>
        </w:rPr>
        <w:t xml:space="preserve">… </w:t>
      </w:r>
      <w:r w:rsidRPr="00813409">
        <w:rPr>
          <w:rFonts w:eastAsiaTheme="majorEastAsia" w:cstheme="majorBidi"/>
          <w:sz w:val="22"/>
        </w:rPr>
        <w:t xml:space="preserve">označuje vzorek </w:t>
      </w:r>
      <w:proofErr w:type="spellStart"/>
      <w:r w:rsidRPr="00813409">
        <w:rPr>
          <w:rFonts w:eastAsiaTheme="majorEastAsia" w:cstheme="majorBidi"/>
          <w:sz w:val="22"/>
        </w:rPr>
        <w:t>nanočástic</w:t>
      </w:r>
      <w:proofErr w:type="spellEnd"/>
      <w:r w:rsidRPr="00813409">
        <w:rPr>
          <w:rFonts w:eastAsiaTheme="majorEastAsia" w:cstheme="majorBidi"/>
          <w:sz w:val="22"/>
        </w:rPr>
        <w:t xml:space="preserve"> v</w:t>
      </w:r>
      <w:r w:rsidR="00726CCA" w:rsidRPr="00813409">
        <w:rPr>
          <w:rFonts w:eastAsiaTheme="majorEastAsia" w:cstheme="majorBidi"/>
          <w:sz w:val="22"/>
        </w:rPr>
        <w:t>e</w:t>
      </w:r>
      <w:r w:rsidRPr="00813409">
        <w:rPr>
          <w:rFonts w:eastAsiaTheme="majorEastAsia" w:cstheme="majorBidi"/>
          <w:sz w:val="22"/>
        </w:rPr>
        <w:t> </w:t>
      </w:r>
      <w:proofErr w:type="spellStart"/>
      <w:r w:rsidR="00726CCA" w:rsidRPr="00813409">
        <w:rPr>
          <w:rFonts w:eastAsiaTheme="majorEastAsia" w:cstheme="majorBidi"/>
          <w:sz w:val="22"/>
        </w:rPr>
        <w:t>fosforečnanovém</w:t>
      </w:r>
      <w:proofErr w:type="spellEnd"/>
      <w:r w:rsidRPr="00813409">
        <w:rPr>
          <w:rFonts w:eastAsiaTheme="majorEastAsia" w:cstheme="majorBidi"/>
          <w:sz w:val="22"/>
        </w:rPr>
        <w:t xml:space="preserve"> </w:t>
      </w:r>
      <w:r w:rsidR="00726CCA" w:rsidRPr="00813409">
        <w:rPr>
          <w:rFonts w:eastAsiaTheme="majorEastAsia" w:cstheme="majorBidi"/>
          <w:sz w:val="22"/>
        </w:rPr>
        <w:t xml:space="preserve">tlumivém </w:t>
      </w:r>
      <w:r w:rsidRPr="00813409">
        <w:rPr>
          <w:rFonts w:eastAsiaTheme="majorEastAsia" w:cstheme="majorBidi"/>
          <w:sz w:val="22"/>
        </w:rPr>
        <w:t xml:space="preserve">roztoku desetinásobně zředěný, </w:t>
      </w:r>
    </w:p>
    <w:p w:rsidR="00C708AA" w:rsidRPr="00813409" w:rsidRDefault="00DA693F" w:rsidP="00C708AA">
      <w:pPr>
        <w:ind w:firstLine="0"/>
        <w:jc w:val="both"/>
        <w:rPr>
          <w:rFonts w:eastAsiaTheme="majorEastAsia" w:cstheme="majorBidi"/>
          <w:sz w:val="22"/>
        </w:rPr>
      </w:pPr>
      <w:r w:rsidRPr="00813409">
        <w:rPr>
          <w:rFonts w:eastAsiaTheme="majorEastAsia" w:cstheme="majorBidi"/>
          <w:sz w:val="22"/>
        </w:rPr>
        <w:t xml:space="preserve">X´ označuje vzorek </w:t>
      </w:r>
      <w:proofErr w:type="spellStart"/>
      <w:r w:rsidRPr="00813409">
        <w:rPr>
          <w:rFonts w:eastAsiaTheme="majorEastAsia" w:cstheme="majorBidi"/>
          <w:sz w:val="22"/>
        </w:rPr>
        <w:t>nanočástic</w:t>
      </w:r>
      <w:proofErr w:type="spellEnd"/>
      <w:r w:rsidRPr="00813409">
        <w:rPr>
          <w:rFonts w:eastAsiaTheme="majorEastAsia" w:cstheme="majorBidi"/>
          <w:sz w:val="22"/>
        </w:rPr>
        <w:t xml:space="preserve"> </w:t>
      </w:r>
      <w:r w:rsidR="00726CCA" w:rsidRPr="00813409">
        <w:rPr>
          <w:rFonts w:eastAsiaTheme="majorEastAsia" w:cstheme="majorBidi"/>
          <w:sz w:val="22"/>
        </w:rPr>
        <w:t>ve </w:t>
      </w:r>
      <w:proofErr w:type="spellStart"/>
      <w:r w:rsidR="00726CCA" w:rsidRPr="00813409">
        <w:rPr>
          <w:rFonts w:eastAsiaTheme="majorEastAsia" w:cstheme="majorBidi"/>
          <w:sz w:val="22"/>
        </w:rPr>
        <w:t>fosforečnanovém</w:t>
      </w:r>
      <w:proofErr w:type="spellEnd"/>
      <w:r w:rsidRPr="00813409">
        <w:rPr>
          <w:rFonts w:eastAsiaTheme="majorEastAsia" w:cstheme="majorBidi"/>
          <w:sz w:val="22"/>
        </w:rPr>
        <w:t xml:space="preserve"> </w:t>
      </w:r>
      <w:r w:rsidR="00726CCA" w:rsidRPr="00813409">
        <w:rPr>
          <w:rFonts w:eastAsiaTheme="majorEastAsia" w:cstheme="majorBidi"/>
          <w:sz w:val="22"/>
        </w:rPr>
        <w:t xml:space="preserve">tlumivém roztoku </w:t>
      </w:r>
      <w:r w:rsidRPr="00813409">
        <w:rPr>
          <w:rFonts w:eastAsiaTheme="majorEastAsia" w:cstheme="majorBidi"/>
          <w:sz w:val="22"/>
        </w:rPr>
        <w:t xml:space="preserve">stonásobně zředěný, </w:t>
      </w:r>
    </w:p>
    <w:p w:rsidR="00C708AA" w:rsidRPr="00813409" w:rsidRDefault="00DA693F" w:rsidP="00C708AA">
      <w:pPr>
        <w:ind w:firstLine="0"/>
        <w:jc w:val="both"/>
        <w:rPr>
          <w:rFonts w:eastAsiaTheme="majorEastAsia" w:cstheme="majorBidi"/>
          <w:sz w:val="22"/>
        </w:rPr>
      </w:pPr>
      <w:r w:rsidRPr="00813409">
        <w:rPr>
          <w:rFonts w:eastAsiaTheme="majorEastAsia" w:cstheme="majorBidi"/>
          <w:sz w:val="22"/>
        </w:rPr>
        <w:t xml:space="preserve">X´´ označuje vzorek </w:t>
      </w:r>
      <w:proofErr w:type="spellStart"/>
      <w:r w:rsidRPr="00813409">
        <w:rPr>
          <w:rFonts w:eastAsiaTheme="majorEastAsia" w:cstheme="majorBidi"/>
          <w:sz w:val="22"/>
        </w:rPr>
        <w:t>nanočástic</w:t>
      </w:r>
      <w:proofErr w:type="spellEnd"/>
      <w:r w:rsidRPr="00813409">
        <w:rPr>
          <w:rFonts w:eastAsiaTheme="majorEastAsia" w:cstheme="majorBidi"/>
          <w:sz w:val="22"/>
        </w:rPr>
        <w:t xml:space="preserve"> </w:t>
      </w:r>
      <w:r w:rsidR="00B36A97" w:rsidRPr="00813409">
        <w:rPr>
          <w:rFonts w:eastAsiaTheme="majorEastAsia" w:cstheme="majorBidi"/>
          <w:sz w:val="22"/>
        </w:rPr>
        <w:t>ve </w:t>
      </w:r>
      <w:proofErr w:type="spellStart"/>
      <w:r w:rsidR="00B36A97" w:rsidRPr="00813409">
        <w:rPr>
          <w:rFonts w:eastAsiaTheme="majorEastAsia" w:cstheme="majorBidi"/>
          <w:sz w:val="22"/>
        </w:rPr>
        <w:t>fosforečnanovém</w:t>
      </w:r>
      <w:proofErr w:type="spellEnd"/>
      <w:r w:rsidR="00B36A97" w:rsidRPr="00813409">
        <w:rPr>
          <w:rFonts w:eastAsiaTheme="majorEastAsia" w:cstheme="majorBidi"/>
          <w:sz w:val="22"/>
        </w:rPr>
        <w:t xml:space="preserve"> tlumivém roztoku t</w:t>
      </w:r>
      <w:r w:rsidRPr="00813409">
        <w:rPr>
          <w:rFonts w:eastAsiaTheme="majorEastAsia" w:cstheme="majorBidi"/>
          <w:sz w:val="22"/>
        </w:rPr>
        <w:t xml:space="preserve">isícinásobně zředěný; </w:t>
      </w:r>
    </w:p>
    <w:p w:rsidR="00C708AA" w:rsidRPr="00813409" w:rsidRDefault="00DA693F" w:rsidP="00C708AA">
      <w:pPr>
        <w:ind w:firstLine="0"/>
        <w:jc w:val="both"/>
        <w:rPr>
          <w:rFonts w:eastAsiaTheme="majorEastAsia" w:cstheme="majorBidi"/>
          <w:sz w:val="22"/>
        </w:rPr>
      </w:pPr>
      <w:r w:rsidRPr="00813409">
        <w:rPr>
          <w:rFonts w:eastAsiaTheme="majorEastAsia" w:cstheme="majorBidi"/>
          <w:sz w:val="22"/>
        </w:rPr>
        <w:t xml:space="preserve">Y </w:t>
      </w:r>
      <w:r w:rsidR="006B440A">
        <w:rPr>
          <w:rFonts w:eastAsiaTheme="majorEastAsia" w:cstheme="majorBidi"/>
          <w:sz w:val="22"/>
        </w:rPr>
        <w:t xml:space="preserve">… </w:t>
      </w:r>
      <w:r w:rsidRPr="00813409">
        <w:rPr>
          <w:rFonts w:eastAsiaTheme="majorEastAsia" w:cstheme="majorBidi"/>
          <w:sz w:val="22"/>
        </w:rPr>
        <w:t>označuje vzorek nanočástic v tlumivém roztoku fosf</w:t>
      </w:r>
      <w:r w:rsidR="00B36A97" w:rsidRPr="00813409">
        <w:rPr>
          <w:rFonts w:eastAsiaTheme="majorEastAsia" w:cstheme="majorBidi"/>
          <w:sz w:val="22"/>
        </w:rPr>
        <w:t>orečnan</w:t>
      </w:r>
      <w:r w:rsidRPr="00813409">
        <w:rPr>
          <w:rFonts w:eastAsiaTheme="majorEastAsia" w:cstheme="majorBidi"/>
          <w:sz w:val="22"/>
        </w:rPr>
        <w:t>/</w:t>
      </w:r>
      <w:proofErr w:type="spellStart"/>
      <w:r w:rsidRPr="00813409">
        <w:rPr>
          <w:rFonts w:eastAsiaTheme="majorEastAsia" w:cstheme="majorBidi"/>
          <w:sz w:val="22"/>
        </w:rPr>
        <w:t>NaCl</w:t>
      </w:r>
      <w:proofErr w:type="spellEnd"/>
      <w:r w:rsidRPr="00813409">
        <w:rPr>
          <w:rFonts w:eastAsiaTheme="majorEastAsia" w:cstheme="majorBidi"/>
          <w:sz w:val="22"/>
        </w:rPr>
        <w:t xml:space="preserve"> desetinásobně zředěný, </w:t>
      </w:r>
    </w:p>
    <w:p w:rsidR="00C708AA" w:rsidRPr="00813409" w:rsidRDefault="00DA693F" w:rsidP="00C708AA">
      <w:pPr>
        <w:ind w:firstLine="0"/>
        <w:jc w:val="both"/>
        <w:rPr>
          <w:rFonts w:eastAsiaTheme="majorEastAsia" w:cstheme="majorBidi"/>
          <w:sz w:val="22"/>
        </w:rPr>
      </w:pPr>
      <w:r w:rsidRPr="00813409">
        <w:rPr>
          <w:rFonts w:eastAsiaTheme="majorEastAsia" w:cstheme="majorBidi"/>
          <w:sz w:val="22"/>
        </w:rPr>
        <w:t>Y´ označuje vzorek nanočástic v tlumivém roztoku fosf</w:t>
      </w:r>
      <w:r w:rsidR="00B36A97" w:rsidRPr="00813409">
        <w:rPr>
          <w:rFonts w:eastAsiaTheme="majorEastAsia" w:cstheme="majorBidi"/>
          <w:sz w:val="22"/>
        </w:rPr>
        <w:t>orečnan</w:t>
      </w:r>
      <w:r w:rsidRPr="00813409">
        <w:rPr>
          <w:rFonts w:eastAsiaTheme="majorEastAsia" w:cstheme="majorBidi"/>
          <w:sz w:val="22"/>
        </w:rPr>
        <w:t>/</w:t>
      </w:r>
      <w:proofErr w:type="spellStart"/>
      <w:r w:rsidRPr="00813409">
        <w:rPr>
          <w:rFonts w:eastAsiaTheme="majorEastAsia" w:cstheme="majorBidi"/>
          <w:sz w:val="22"/>
        </w:rPr>
        <w:t>NaCl</w:t>
      </w:r>
      <w:proofErr w:type="spellEnd"/>
      <w:r w:rsidRPr="00813409">
        <w:rPr>
          <w:rFonts w:eastAsiaTheme="majorEastAsia" w:cstheme="majorBidi"/>
          <w:sz w:val="22"/>
        </w:rPr>
        <w:t xml:space="preserve"> stonásobně zředěný, </w:t>
      </w:r>
    </w:p>
    <w:p w:rsidR="00C708AA" w:rsidRPr="00813409" w:rsidRDefault="00DA693F" w:rsidP="00C708AA">
      <w:pPr>
        <w:ind w:firstLine="0"/>
        <w:jc w:val="both"/>
        <w:rPr>
          <w:rFonts w:eastAsiaTheme="majorEastAsia" w:cstheme="majorBidi"/>
          <w:sz w:val="22"/>
        </w:rPr>
      </w:pPr>
      <w:r w:rsidRPr="00813409">
        <w:rPr>
          <w:rFonts w:eastAsiaTheme="majorEastAsia" w:cstheme="majorBidi"/>
          <w:sz w:val="22"/>
        </w:rPr>
        <w:t>Y</w:t>
      </w:r>
      <w:r w:rsidR="00C708AA" w:rsidRPr="00813409">
        <w:rPr>
          <w:rFonts w:eastAsiaTheme="majorEastAsia" w:cstheme="majorBidi"/>
          <w:sz w:val="22"/>
        </w:rPr>
        <w:t xml:space="preserve">´´ označuje vzorek nanočástic v </w:t>
      </w:r>
      <w:r w:rsidRPr="00813409">
        <w:rPr>
          <w:rFonts w:eastAsiaTheme="majorEastAsia" w:cstheme="majorBidi"/>
          <w:sz w:val="22"/>
        </w:rPr>
        <w:t>tlumivém roztoku fosf</w:t>
      </w:r>
      <w:r w:rsidR="00B36A97" w:rsidRPr="00813409">
        <w:rPr>
          <w:rFonts w:eastAsiaTheme="majorEastAsia" w:cstheme="majorBidi"/>
          <w:sz w:val="22"/>
        </w:rPr>
        <w:t>orečnan</w:t>
      </w:r>
      <w:r w:rsidRPr="00813409">
        <w:rPr>
          <w:rFonts w:eastAsiaTheme="majorEastAsia" w:cstheme="majorBidi"/>
          <w:sz w:val="22"/>
        </w:rPr>
        <w:t>/</w:t>
      </w:r>
      <w:proofErr w:type="spellStart"/>
      <w:r w:rsidRPr="00813409">
        <w:rPr>
          <w:rFonts w:eastAsiaTheme="majorEastAsia" w:cstheme="majorBidi"/>
          <w:sz w:val="22"/>
        </w:rPr>
        <w:t>NaCl</w:t>
      </w:r>
      <w:proofErr w:type="spellEnd"/>
      <w:r w:rsidRPr="00813409">
        <w:rPr>
          <w:rFonts w:eastAsiaTheme="majorEastAsia" w:cstheme="majorBidi"/>
          <w:sz w:val="22"/>
        </w:rPr>
        <w:t xml:space="preserve"> tisícinásobně zředěný; </w:t>
      </w:r>
      <w:r w:rsidR="006B440A">
        <w:rPr>
          <w:rFonts w:eastAsiaTheme="majorEastAsia" w:cstheme="majorBidi"/>
          <w:sz w:val="22"/>
        </w:rPr>
        <w:br/>
      </w:r>
      <w:r w:rsidRPr="00813409">
        <w:rPr>
          <w:rFonts w:eastAsiaTheme="majorEastAsia" w:cstheme="majorBidi"/>
          <w:sz w:val="22"/>
        </w:rPr>
        <w:t>Z </w:t>
      </w:r>
      <w:r w:rsidR="006B440A">
        <w:rPr>
          <w:rFonts w:eastAsiaTheme="majorEastAsia" w:cstheme="majorBidi"/>
          <w:sz w:val="22"/>
        </w:rPr>
        <w:t xml:space="preserve">… </w:t>
      </w:r>
      <w:r w:rsidRPr="00813409">
        <w:rPr>
          <w:rFonts w:eastAsiaTheme="majorEastAsia" w:cstheme="majorBidi"/>
          <w:sz w:val="22"/>
        </w:rPr>
        <w:t>označuje vzorek nanočástic ve vodě des</w:t>
      </w:r>
      <w:r w:rsidR="000A1C68">
        <w:rPr>
          <w:rFonts w:eastAsiaTheme="majorEastAsia" w:cstheme="majorBidi"/>
          <w:sz w:val="22"/>
        </w:rPr>
        <w:t>e</w:t>
      </w:r>
      <w:r w:rsidRPr="00813409">
        <w:rPr>
          <w:rFonts w:eastAsiaTheme="majorEastAsia" w:cstheme="majorBidi"/>
          <w:sz w:val="22"/>
        </w:rPr>
        <w:t xml:space="preserve">tinásobně zředěný, </w:t>
      </w:r>
    </w:p>
    <w:p w:rsidR="00C708AA" w:rsidRPr="00813409" w:rsidRDefault="00DA693F" w:rsidP="00C708AA">
      <w:pPr>
        <w:ind w:firstLine="0"/>
        <w:jc w:val="both"/>
        <w:rPr>
          <w:rFonts w:eastAsiaTheme="majorEastAsia" w:cstheme="majorBidi"/>
          <w:sz w:val="22"/>
        </w:rPr>
      </w:pPr>
      <w:r w:rsidRPr="00813409">
        <w:rPr>
          <w:rFonts w:eastAsiaTheme="majorEastAsia" w:cstheme="majorBidi"/>
          <w:sz w:val="22"/>
        </w:rPr>
        <w:t xml:space="preserve">Z´ označuje vzorek nanočástic ve vodě stonásobně zředěný, </w:t>
      </w:r>
    </w:p>
    <w:p w:rsidR="00DC1EF6" w:rsidRPr="00AF39E3" w:rsidRDefault="00DA693F" w:rsidP="00AF39E3">
      <w:pPr>
        <w:ind w:firstLine="0"/>
        <w:jc w:val="both"/>
        <w:rPr>
          <w:rFonts w:eastAsiaTheme="majorEastAsia" w:cstheme="majorBidi"/>
          <w:sz w:val="22"/>
        </w:rPr>
      </w:pPr>
      <w:r w:rsidRPr="00813409">
        <w:rPr>
          <w:rFonts w:eastAsiaTheme="majorEastAsia" w:cstheme="majorBidi"/>
          <w:sz w:val="22"/>
        </w:rPr>
        <w:t>Z´´ označuje vzorek nanočástic ve vodě tisícinásobně zředěný.</w:t>
      </w:r>
    </w:p>
    <w:sectPr w:rsidR="00DC1EF6" w:rsidRPr="00AF39E3" w:rsidSect="0044508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74D" w:rsidRDefault="00A4274D" w:rsidP="00445089">
      <w:pPr>
        <w:spacing w:line="240" w:lineRule="auto"/>
      </w:pPr>
      <w:r>
        <w:separator/>
      </w:r>
    </w:p>
  </w:endnote>
  <w:endnote w:type="continuationSeparator" w:id="0">
    <w:p w:rsidR="00A4274D" w:rsidRDefault="00A4274D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ED417E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AF39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74D" w:rsidRDefault="00A4274D" w:rsidP="00445089">
      <w:pPr>
        <w:spacing w:line="240" w:lineRule="auto"/>
      </w:pPr>
      <w:r>
        <w:separator/>
      </w:r>
    </w:p>
  </w:footnote>
  <w:footnote w:type="continuationSeparator" w:id="0">
    <w:p w:rsidR="00A4274D" w:rsidRDefault="00A4274D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23B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37F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274D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39E3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0EB1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417E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7BA5B28-FD0D-4AFD-846E-31478C0E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10286</TotalTime>
  <Pages>8</Pages>
  <Words>2013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2017-01-06T11:26:00Z</dcterms:modified>
</cp:coreProperties>
</file>