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FE" w:rsidRPr="006D37FE" w:rsidRDefault="006D37FE" w:rsidP="006D37FE">
      <w:pPr>
        <w:keepNext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Znakování_ruku_v"/>
      <w:bookmarkEnd w:id="0"/>
      <w:r w:rsidRPr="006D37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Znakování ruku v ruce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Speciální způsob používání znakového jazyka, při kterém jsou oba komunikující neustále v kontaktu „ruku v ruce“. Na rozdíl od taktilního znakového jazyka nejsou znaky hluchoslepým příjemcem aktivně </w:t>
      </w:r>
      <w:proofErr w:type="spellStart"/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odhmatávány</w:t>
      </w:r>
      <w:proofErr w:type="spellEnd"/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jsou prováděny pomocí jeho rukou (jsou ukazovány rukama příjemce). Znakování ruku v ruce používá obdobných, ne však shodných znaků jako taktilní znakový jazyk. Jednotlivé znaky jsou upraveny podle motorických schopností konkrétního hluchoslepého (především dětí s přidruženým postižením), čímž se liší od taktilního znakového jazyka. Je tedy nutné předchozí obeznámení se specifiky znakového projevu konkrétního klienta.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pro: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15DD5F6" wp14:editId="67E62FE2">
            <wp:extent cx="104775" cy="123825"/>
            <wp:effectExtent l="0" t="0" r="9525" b="9525"/>
            <wp:docPr id="17" name="Obrázek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osoby a děti s vrozenou hluchoslepotou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C7D210" wp14:editId="00D264F1">
            <wp:extent cx="104775" cy="123825"/>
            <wp:effectExtent l="0" t="0" r="9525" b="9525"/>
            <wp:docPr id="16" name="Obrázek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osoby původně neslyšící, které ovládají znakový jazyk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Přednosti: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2771CB6" wp14:editId="4E953D92">
            <wp:extent cx="104775" cy="123825"/>
            <wp:effectExtent l="0" t="0" r="9525" b="9525"/>
            <wp:docPr id="15" name="Obrázek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je velmi podobné znakovému jazyku a taktilnímu znakovému jazyku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67EC02" wp14:editId="03D5E258">
            <wp:extent cx="104775" cy="123825"/>
            <wp:effectExtent l="0" t="0" r="9525" b="9525"/>
            <wp:docPr id="14" name="Obrázek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jeho rychlost je srovnatelná s mluvenou řečí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F5906BC" wp14:editId="5564400C">
            <wp:extent cx="104775" cy="123825"/>
            <wp:effectExtent l="0" t="0" r="9525" b="9525"/>
            <wp:docPr id="13" name="Obrázek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umožňuje úpravy dle potřeb konkrétního člověka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Nedostatky: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1F9FFD4" wp14:editId="6ED817F8">
            <wp:extent cx="104775" cy="123825"/>
            <wp:effectExtent l="0" t="0" r="9525" b="9525"/>
            <wp:docPr id="12" name="Obrázek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vyžaduje dlouhodobou a náročnou výuku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7FE" w:rsidRPr="006D37FE" w:rsidRDefault="006D37FE" w:rsidP="006D37FE">
      <w:pPr>
        <w:keepNext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1" w:name="_Taktilní_znakový_jazyk"/>
      <w:bookmarkEnd w:id="1"/>
      <w:r w:rsidRPr="006D37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Taktilní znakový jazyk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Taktilní (dotekový) znakový jazyk rovněž vychází ze znakového jazyka neslyšících, znaky jsou oproti znakům znakového jazyka specificky upraveny tak, aby bylo možné je </w:t>
      </w:r>
      <w:proofErr w:type="spellStart"/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odhmatat</w:t>
      </w:r>
      <w:proofErr w:type="spellEnd"/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. Nemanuální faktory znakového jazyka (mimika, pohyby hlavy a těla), které je možné vnímat pouze zrakem, jsou v taktilním znakovém jazyce vyjadřovány prostřednictvím manuálních komponentů znaku – nejčastěji upraveným pohybem rukou a místem artikulace.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pro: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1C6886" wp14:editId="23E2CEF3">
            <wp:extent cx="104775" cy="123825"/>
            <wp:effectExtent l="0" t="0" r="9525" b="9525"/>
            <wp:docPr id="6" name="Obrázek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osoby původně neslyšící s později získanou vadou zraku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Přednosti: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F29F3E7" wp14:editId="177EC487">
            <wp:extent cx="104775" cy="123825"/>
            <wp:effectExtent l="0" t="0" r="9525" b="9525"/>
            <wp:docPr id="5" name="Obrázek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umožňuje plnohodnotnou komunikaci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5464030" wp14:editId="231966C7">
            <wp:extent cx="104775" cy="123825"/>
            <wp:effectExtent l="0" t="0" r="9525" b="9525"/>
            <wp:docPr id="4" name="Obrázek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umožňuje nerušený jazykový a rozumový vývoj dítěte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088A528" wp14:editId="3534A03C">
            <wp:extent cx="104775" cy="123825"/>
            <wp:effectExtent l="0" t="0" r="9525" b="9525"/>
            <wp:docPr id="3" name="Obrázek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umožňuje komunikaci s neslyšícími uživateli znakového jazyka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Nedostatky: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EF3FA2F" wp14:editId="30D1B57E">
            <wp:extent cx="104775" cy="123825"/>
            <wp:effectExtent l="0" t="0" r="9525" b="9525"/>
            <wp:docPr id="2" name="Obrázek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je mírně pomalejší než znakový jazyk neslyšících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2C6322" wp14:editId="59E410AD">
            <wp:extent cx="104775" cy="123825"/>
            <wp:effectExtent l="0" t="0" r="9525" b="9525"/>
            <wp:docPr id="1" name="Obrázek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vyžaduje dlouhodobou a náročnou výuku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keepNext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Modifikovaný_znakový_jazyk"/>
      <w:bookmarkEnd w:id="2"/>
      <w:r w:rsidRPr="006D37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Modifikovaný znakový jazyk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Modifikovaný znakový jazyk vychází ze znakového jazyka neslyšících, je však specificky upraven podle potřeb a podmínek konkrétního hluchoslepého člověka. Jeho uživateli jsou nejčastěji lidé se zúženým zorným polem a od znakového jazyka neslyšících se odlišuje zejména zmenšením oblasti artikulace, zpomalením rychlosti pohybů, nižší mírou využívání nemanuálních prostředků apod.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pro: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C8E2F6" wp14:editId="76B7D254">
            <wp:extent cx="104775" cy="123825"/>
            <wp:effectExtent l="0" t="0" r="9525" b="9525"/>
            <wp:docPr id="11" name="Obrázek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osoby původně neslyšící s později získanou vadou zraku, která již neumožňuje vnímání „klasického“ znakového jazyka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Přednosti: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D80032" wp14:editId="388C6292">
            <wp:extent cx="104775" cy="123825"/>
            <wp:effectExtent l="0" t="0" r="9525" b="9525"/>
            <wp:docPr id="10" name="Obrázek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umožňuje plnohodnotnou komunikaci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B7BCADF" wp14:editId="4722A01B">
            <wp:extent cx="104775" cy="123825"/>
            <wp:effectExtent l="0" t="0" r="9525" b="9525"/>
            <wp:docPr id="9" name="Obrázek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umožňuje nerušený jazykový a rozumový vývoj dítěte</w:t>
      </w:r>
    </w:p>
    <w:p w:rsidR="006D37FE" w:rsidRPr="006D37FE" w:rsidRDefault="006D37FE" w:rsidP="006D3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Nedostatky: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B86E85B" wp14:editId="018CED4A">
            <wp:extent cx="104775" cy="123825"/>
            <wp:effectExtent l="0" t="0" r="9525" b="9525"/>
            <wp:docPr id="8" name="Obrázek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vyžaduje dlouhodobou a náročnou výuku</w:t>
      </w:r>
    </w:p>
    <w:p w:rsidR="006D37FE" w:rsidRPr="006D37FE" w:rsidRDefault="006D37FE" w:rsidP="006D37FE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37F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77D7AC" wp14:editId="0E99A646">
            <wp:extent cx="104775" cy="123825"/>
            <wp:effectExtent l="0" t="0" r="9525" b="9525"/>
            <wp:docPr id="7" name="Obrázek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7FE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je obvykle pomalejší než znakový jazyk a mluvená řeč</w:t>
      </w:r>
    </w:p>
    <w:p w:rsidR="00E06D54" w:rsidRDefault="006D37FE">
      <w:pPr>
        <w:rPr>
          <w:rFonts w:ascii="Times New Roman" w:hAnsi="Times New Roman" w:cs="Times New Roman"/>
          <w:sz w:val="24"/>
          <w:szCs w:val="24"/>
        </w:rPr>
      </w:pPr>
    </w:p>
    <w:p w:rsidR="006D37FE" w:rsidRPr="006D37FE" w:rsidRDefault="006D3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Langer, Jiří a kol. </w:t>
      </w:r>
      <w:r w:rsidRPr="006D37FE">
        <w:rPr>
          <w:rFonts w:ascii="Times New Roman" w:hAnsi="Times New Roman" w:cs="Times New Roman"/>
          <w:i/>
          <w:sz w:val="24"/>
          <w:szCs w:val="24"/>
        </w:rPr>
        <w:t xml:space="preserve">Komunikace dětí s hluchoslepotou. </w:t>
      </w:r>
      <w:r>
        <w:rPr>
          <w:rFonts w:ascii="Times New Roman" w:hAnsi="Times New Roman" w:cs="Times New Roman"/>
          <w:sz w:val="24"/>
          <w:szCs w:val="24"/>
        </w:rPr>
        <w:t>Olomouc. 2008. CD-Rom</w:t>
      </w:r>
      <w:bookmarkStart w:id="3" w:name="_GoBack"/>
      <w:bookmarkEnd w:id="3"/>
    </w:p>
    <w:sectPr w:rsidR="006D37FE" w:rsidRPr="006D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FE"/>
    <w:rsid w:val="00110E81"/>
    <w:rsid w:val="006D37FE"/>
    <w:rsid w:val="0093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37FE"/>
    <w:pPr>
      <w:keepNext/>
      <w:spacing w:before="240" w:after="60" w:line="240" w:lineRule="auto"/>
      <w:outlineLvl w:val="1"/>
    </w:pPr>
    <w:rPr>
      <w:rFonts w:ascii="Verdana" w:eastAsia="Times New Roman" w:hAnsi="Verdana" w:cs="Times New Roman"/>
      <w:color w:val="F8EECE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7FE"/>
    <w:rPr>
      <w:rFonts w:ascii="Verdana" w:eastAsia="Times New Roman" w:hAnsi="Verdana" w:cs="Times New Roman"/>
      <w:color w:val="F8EECE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7FE"/>
    <w:rPr>
      <w:color w:val="95FF6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D37FE"/>
    <w:pPr>
      <w:keepNext/>
      <w:spacing w:before="240" w:after="60" w:line="240" w:lineRule="auto"/>
      <w:outlineLvl w:val="1"/>
    </w:pPr>
    <w:rPr>
      <w:rFonts w:ascii="Verdana" w:eastAsia="Times New Roman" w:hAnsi="Verdana" w:cs="Times New Roman"/>
      <w:color w:val="F8EECE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D37FE"/>
    <w:rPr>
      <w:rFonts w:ascii="Verdana" w:eastAsia="Times New Roman" w:hAnsi="Verdana" w:cs="Times New Roman"/>
      <w:color w:val="F8EECE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7FE"/>
    <w:rPr>
      <w:color w:val="95FF6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2016-11-29T09:44:00Z</dcterms:created>
  <dcterms:modified xsi:type="dcterms:W3CDTF">2016-11-29T09:48:00Z</dcterms:modified>
</cp:coreProperties>
</file>