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05" w:rsidRDefault="00C27205" w:rsidP="00C27205">
      <w:pPr>
        <w:pStyle w:val="Default"/>
      </w:pPr>
    </w:p>
    <w:p w:rsidR="00C27205" w:rsidRDefault="00C27205" w:rsidP="00C27205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Indikátory Strategie vzdělávací politiky ČR do roku 2020 </w:t>
      </w:r>
    </w:p>
    <w:p w:rsidR="00C27205" w:rsidRDefault="00C27205" w:rsidP="00C272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Indikátory Strategie vzdělávací politiky České republiky do roku 2020 (dále jen „Strategie“) jsou vymezeny s ohledem na tři klíčové priority Strategie, a sice: </w:t>
      </w:r>
    </w:p>
    <w:p w:rsidR="00C27205" w:rsidRDefault="00C27205" w:rsidP="00C27205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Snižovat nerovnosti ve vzdělávání </w:t>
      </w:r>
    </w:p>
    <w:p w:rsidR="00C27205" w:rsidRDefault="00C27205" w:rsidP="00C27205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Podporovat kvalitní výuku a učitele jako její klíčový předpoklad </w:t>
      </w:r>
    </w:p>
    <w:p w:rsidR="00C27205" w:rsidRDefault="00C27205" w:rsidP="00C272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Odpovědně a efektivně řídit vzdělávací systém </w:t>
      </w:r>
    </w:p>
    <w:p w:rsidR="00C27205" w:rsidRDefault="00C27205" w:rsidP="00C27205">
      <w:pPr>
        <w:pStyle w:val="Default"/>
        <w:rPr>
          <w:sz w:val="23"/>
          <w:szCs w:val="23"/>
        </w:rPr>
      </w:pPr>
    </w:p>
    <w:p w:rsidR="00C27205" w:rsidRDefault="00C27205" w:rsidP="00C272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Sada indikátorů vztahujících se k prvnímu cíli Strategie – </w:t>
      </w:r>
      <w:r>
        <w:rPr>
          <w:b/>
          <w:bCs/>
          <w:sz w:val="23"/>
          <w:szCs w:val="23"/>
        </w:rPr>
        <w:t xml:space="preserve">snižovat nerovnosti ve vzdělávání </w:t>
      </w:r>
      <w:r>
        <w:rPr>
          <w:sz w:val="23"/>
          <w:szCs w:val="23"/>
        </w:rPr>
        <w:t xml:space="preserve">se zaměřuje na všechny základní segmenty vzdělávacího systému – předškolní, základní, střední, terciární (vyšší odborné a vysokoškolské) a další vzdělávání. Indikátory se nevěnují jen dostupnosti vzdělávání, ale i výsledkům vzdělávání, zejména z pohledu výsledků vzdělávacího procesu a uplatnitelnosti absolventů na trhu práce. </w:t>
      </w:r>
    </w:p>
    <w:p w:rsidR="00C27205" w:rsidRDefault="00C27205" w:rsidP="00C272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 snižování nerovnosti ve vzdělávání hraje významnou roli předškolní vzdělávání a míra jeho dostupnosti. Proto byl do souboru ukazatelů zařazen jeden z indikátorů strategie Evropa 2020 </w:t>
      </w:r>
      <w:r>
        <w:rPr>
          <w:b/>
          <w:bCs/>
          <w:i/>
          <w:iCs/>
          <w:sz w:val="23"/>
          <w:szCs w:val="23"/>
        </w:rPr>
        <w:t>Účast v předškolním vzdělávání</w:t>
      </w:r>
      <w:r>
        <w:rPr>
          <w:sz w:val="23"/>
          <w:szCs w:val="23"/>
        </w:rPr>
        <w:t xml:space="preserve">. </w:t>
      </w:r>
    </w:p>
    <w:p w:rsidR="00C27205" w:rsidRDefault="00C27205" w:rsidP="00C272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Výsledky vzdělávání na základním stupni vzdělávání, a svým způsobem i kvalitu tohoto vzdělávání, charakterizují nejlépe výsledky šetření porovnávajících znalosti a dovednosti žáků na výstupu ze základního vzdělávání. </w:t>
      </w:r>
      <w:r>
        <w:rPr>
          <w:b/>
          <w:bCs/>
          <w:i/>
          <w:iCs/>
          <w:sz w:val="23"/>
          <w:szCs w:val="23"/>
        </w:rPr>
        <w:t xml:space="preserve">Úroveň žákovské gramotnosti </w:t>
      </w:r>
      <w:r>
        <w:rPr>
          <w:sz w:val="23"/>
          <w:szCs w:val="23"/>
        </w:rPr>
        <w:t xml:space="preserve">je měřena prostřednictvím mezinárodně srovnatelného šetření OECD PISA zahrnujícího čtenářskou, matematickou a přírodovědnou gramotnost patnáctiletých žáků. Pro tyto účely ale nemohou sloužit pouze průměrné výsledky, pro zvýšení kvality systému je nutné snižování podílu žáků s nejnižší úrovní dovedností a zároveň zvyšování podílu žáků s úrovní znalostí nejvyšší. </w:t>
      </w:r>
    </w:p>
    <w:p w:rsidR="00C27205" w:rsidRDefault="00C27205" w:rsidP="00C272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Úroveň a výsledky středoškolského vzdělávání je možné hodnotit uplatnitelností absolventů v dalším studiu a další profesní kariéře. Konkrétní opatření, jak tohoto dosáhnout, budou součástí implementačních dokumentů, zejména dlouhodobého záměru. Pro hodnocení základních strategických cílů strategie je podstatné měřit nejen „úspěšnost“, ale i neúspěšnost systému a postupně tuto neúspěšnost eliminovat. Na úrovni středního školství tuto neúspěšnost hodnotíme prostřednictvím indikátorů </w:t>
      </w:r>
      <w:r>
        <w:rPr>
          <w:b/>
          <w:bCs/>
          <w:i/>
          <w:iCs/>
          <w:sz w:val="23"/>
          <w:szCs w:val="23"/>
        </w:rPr>
        <w:t xml:space="preserve">Osoby předčasně ukončující vzdělávání a odbornou přípravu (předčasné odchody ze vzdělávání) </w:t>
      </w:r>
      <w:r>
        <w:rPr>
          <w:sz w:val="23"/>
          <w:szCs w:val="23"/>
        </w:rPr>
        <w:t xml:space="preserve">a </w:t>
      </w:r>
      <w:r>
        <w:rPr>
          <w:b/>
          <w:bCs/>
          <w:i/>
          <w:iCs/>
          <w:sz w:val="23"/>
          <w:szCs w:val="23"/>
        </w:rPr>
        <w:t xml:space="preserve">Podíl mladých lidí mimo vzdělávání a mimo trh práce. </w:t>
      </w:r>
      <w:r>
        <w:rPr>
          <w:sz w:val="23"/>
          <w:szCs w:val="23"/>
        </w:rPr>
        <w:t xml:space="preserve">Oba tyto indikátory jsou mezinárodně porovnatelné a měří velikost skupiny mladých lidí, kteří jsou nejvíce ohroženi na trhu práce a mohou mít problém s dalším sociálním začleněním. </w:t>
      </w:r>
    </w:p>
    <w:p w:rsidR="00C27205" w:rsidRDefault="00C27205" w:rsidP="00C27205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V posledních letech prudce narůstal podíl mladých lidí vstupujících do terciárního vzdělávání. Ne všichni z nich ale dostudují. Z pohledu hodnocení vzdělávacího systému je však podstatná informace o tom, kolik lidí požadované vzdělání získá. Pro hodnocení terciárního stupně je zařazen do sady indikátorů ukazatel </w:t>
      </w:r>
      <w:r>
        <w:rPr>
          <w:b/>
          <w:bCs/>
          <w:i/>
          <w:iCs/>
          <w:sz w:val="23"/>
          <w:szCs w:val="23"/>
        </w:rPr>
        <w:t xml:space="preserve">Dosažené terciární vzdělání </w:t>
      </w:r>
      <w:r>
        <w:rPr>
          <w:sz w:val="23"/>
          <w:szCs w:val="23"/>
        </w:rPr>
        <w:t xml:space="preserve">zaměřený na mladou populaci ve věku 30-34 let, u kterých se dá předpokládat, že již svá studia dokončili. I tento indikátor je mezinárodně srovnatelný, jedná se o jeden z indikátorů Evropa 2020. </w:t>
      </w:r>
      <w:r>
        <w:rPr>
          <w:rFonts w:ascii="Calibri" w:hAnsi="Calibri" w:cs="Calibri"/>
          <w:i/>
          <w:iCs/>
          <w:sz w:val="22"/>
          <w:szCs w:val="22"/>
        </w:rPr>
        <w:t xml:space="preserve">Č. j.: MSMT-40544/2014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 </w:t>
      </w:r>
    </w:p>
    <w:p w:rsidR="00C27205" w:rsidRDefault="00C27205" w:rsidP="00C27205">
      <w:pPr>
        <w:pStyle w:val="Default"/>
        <w:rPr>
          <w:color w:val="auto"/>
        </w:rPr>
      </w:pPr>
    </w:p>
    <w:p w:rsidR="00C27205" w:rsidRDefault="00C27205" w:rsidP="00C2720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Vzdělávání neprobíhá pouze v rámci formálního vzdělávání, ale pro další začlenění do společnosti a kariérní postup je nutné vzdělávat se i po ukončení školy. Proto v posledních letech stále roste význam dalšího vzdělávání. </w:t>
      </w:r>
      <w:r>
        <w:rPr>
          <w:b/>
          <w:bCs/>
          <w:i/>
          <w:iCs/>
          <w:color w:val="auto"/>
          <w:sz w:val="23"/>
          <w:szCs w:val="23"/>
        </w:rPr>
        <w:t xml:space="preserve">Účast v dalším vzdělávání </w:t>
      </w:r>
      <w:r>
        <w:rPr>
          <w:color w:val="auto"/>
          <w:sz w:val="23"/>
          <w:szCs w:val="23"/>
        </w:rPr>
        <w:t xml:space="preserve">monitoruje podíl lidí, kteří se i v dospělém věku dále vzdělávají a je i jedním z ukazatelů sledovaných </w:t>
      </w:r>
      <w:proofErr w:type="spellStart"/>
      <w:r>
        <w:rPr>
          <w:color w:val="auto"/>
          <w:sz w:val="23"/>
          <w:szCs w:val="23"/>
        </w:rPr>
        <w:t>Eurostatem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Druhý základní cíl Strategie </w:t>
      </w:r>
      <w:r>
        <w:rPr>
          <w:b/>
          <w:bCs/>
          <w:color w:val="auto"/>
          <w:sz w:val="23"/>
          <w:szCs w:val="23"/>
        </w:rPr>
        <w:t xml:space="preserve">Podporovat kvalitní výuku a učitele jako její klíčový předpoklad </w:t>
      </w:r>
      <w:r>
        <w:rPr>
          <w:color w:val="auto"/>
          <w:sz w:val="23"/>
          <w:szCs w:val="23"/>
        </w:rPr>
        <w:t xml:space="preserve">se komplexně zaměřuje na učitelskou profesi, od počátečního vzdělávání učitele přes jeho profesní růst až po prestiž učitelského povolání ve společnosti. Míru zájmu o učitelské povolání (a tedy částečně i jeho atraktivitu) je možné měřit tím, kolik mladých lidí se tomuto povolání věnuje a na druhou stranu i tím, kolik učitelů ze školství odejde a věnuje se jiné profesi. Toto můžeme sledovat prostřednictvím indikátorů </w:t>
      </w:r>
      <w:r>
        <w:rPr>
          <w:b/>
          <w:bCs/>
          <w:i/>
          <w:iCs/>
          <w:color w:val="auto"/>
          <w:sz w:val="23"/>
          <w:szCs w:val="23"/>
        </w:rPr>
        <w:t xml:space="preserve">Podíl mladých učitelů </w:t>
      </w:r>
      <w:r>
        <w:rPr>
          <w:color w:val="auto"/>
          <w:sz w:val="23"/>
          <w:szCs w:val="23"/>
        </w:rPr>
        <w:t xml:space="preserve">a </w:t>
      </w:r>
      <w:r>
        <w:rPr>
          <w:b/>
          <w:bCs/>
          <w:i/>
          <w:iCs/>
          <w:color w:val="auto"/>
          <w:sz w:val="23"/>
          <w:szCs w:val="23"/>
        </w:rPr>
        <w:t xml:space="preserve">Míra odchodů učitelů do jiných profesí. </w:t>
      </w:r>
      <w:r>
        <w:rPr>
          <w:color w:val="auto"/>
          <w:sz w:val="23"/>
          <w:szCs w:val="23"/>
        </w:rPr>
        <w:t xml:space="preserve">V učitelském povolání je naprosto nezbytné, aby se učitelé v průběhu své profesní dráhy stále vzdělávali a mohli nově nabyté informace a zkušenosti předávat žákům a studentům. Kvalitu učitelských sborů je tedy možné hodnotit i indikátorem </w:t>
      </w:r>
      <w:r>
        <w:rPr>
          <w:b/>
          <w:bCs/>
          <w:i/>
          <w:iCs/>
          <w:color w:val="auto"/>
          <w:sz w:val="23"/>
          <w:szCs w:val="23"/>
        </w:rPr>
        <w:t>Další vzdělávání učitelů</w:t>
      </w:r>
      <w:r>
        <w:rPr>
          <w:b/>
          <w:b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Posledním indikátorem, jehož naplňování přispěje k dosažení výše uvedeného cíle, je </w:t>
      </w:r>
      <w:r>
        <w:rPr>
          <w:b/>
          <w:bCs/>
          <w:i/>
          <w:iCs/>
          <w:color w:val="auto"/>
          <w:sz w:val="23"/>
          <w:szCs w:val="23"/>
        </w:rPr>
        <w:t xml:space="preserve">Systém revize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kurikulárních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dokumentů</w:t>
      </w:r>
      <w:r>
        <w:rPr>
          <w:color w:val="auto"/>
          <w:sz w:val="23"/>
          <w:szCs w:val="23"/>
        </w:rPr>
        <w:t xml:space="preserve">. </w:t>
      </w:r>
    </w:p>
    <w:p w:rsidR="00C27205" w:rsidRDefault="00C27205" w:rsidP="00C2720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Pro </w:t>
      </w:r>
      <w:r>
        <w:rPr>
          <w:b/>
          <w:bCs/>
          <w:color w:val="auto"/>
          <w:sz w:val="23"/>
          <w:szCs w:val="23"/>
        </w:rPr>
        <w:t xml:space="preserve">Odpovědné a efektivní řízení vzdělávacího systému </w:t>
      </w:r>
      <w:r>
        <w:rPr>
          <w:color w:val="auto"/>
          <w:sz w:val="23"/>
          <w:szCs w:val="23"/>
        </w:rPr>
        <w:t xml:space="preserve">je nutné mít k dispozici dostatek informací o jeho stavu, resp. mít vytvořeny transparentní postupy jeho hodnocení. Z těchto důvodu byl mezi ukazatele hodnotící strategii zařazen i indikátor </w:t>
      </w:r>
      <w:r>
        <w:rPr>
          <w:i/>
          <w:iCs/>
          <w:color w:val="auto"/>
          <w:sz w:val="23"/>
          <w:szCs w:val="23"/>
        </w:rPr>
        <w:t>H</w:t>
      </w:r>
      <w:r>
        <w:rPr>
          <w:b/>
          <w:bCs/>
          <w:i/>
          <w:iCs/>
          <w:color w:val="auto"/>
          <w:sz w:val="23"/>
          <w:szCs w:val="23"/>
        </w:rPr>
        <w:t>odnocení vzdělávacího sytému</w:t>
      </w:r>
      <w:r>
        <w:rPr>
          <w:color w:val="auto"/>
          <w:sz w:val="23"/>
          <w:szCs w:val="23"/>
        </w:rPr>
        <w:t xml:space="preserve">, který má povahu kvalitativního indikátoru.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Č. j.: MSMT-40544/2014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 </w:t>
      </w:r>
    </w:p>
    <w:p w:rsidR="00C27205" w:rsidRDefault="00C27205" w:rsidP="00C27205">
      <w:pPr>
        <w:pStyle w:val="Default"/>
        <w:rPr>
          <w:color w:val="auto"/>
        </w:rPr>
      </w:pPr>
    </w:p>
    <w:p w:rsidR="00C27205" w:rsidRDefault="00C27205" w:rsidP="00C27205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Vymezení indikátorů Strategie vzdělávací politiky do roku 2020 </w:t>
      </w:r>
    </w:p>
    <w:p w:rsidR="00C27205" w:rsidRDefault="00C27205" w:rsidP="00C27205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1. Snižovat nerovnosti ve vzdělávání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1A. Účast na předškolním vzdělávání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Definice: </w:t>
      </w:r>
      <w:r>
        <w:rPr>
          <w:color w:val="auto"/>
          <w:sz w:val="22"/>
          <w:szCs w:val="22"/>
        </w:rPr>
        <w:t xml:space="preserve">Podíl dětí ve věku od 4 let do věku typického pro zahájení docházky do základní školy, které se účastní předškolního vzdělávání (referenční úroveň ET 2020).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Dostupnost dat: </w:t>
      </w:r>
      <w:proofErr w:type="spellStart"/>
      <w:r>
        <w:rPr>
          <w:color w:val="auto"/>
          <w:sz w:val="22"/>
          <w:szCs w:val="22"/>
        </w:rPr>
        <w:t>Eurostat</w:t>
      </w:r>
      <w:proofErr w:type="spellEnd"/>
      <w:r>
        <w:rPr>
          <w:color w:val="auto"/>
          <w:sz w:val="22"/>
          <w:szCs w:val="22"/>
        </w:rPr>
        <w:t xml:space="preserve">, databáze referenčních úrovní ET 2020; případně MŠMT (statistický výkaz S1) ve vazbě na demografii (každoročně)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Stav roku 2012: </w:t>
      </w:r>
      <w:r>
        <w:rPr>
          <w:color w:val="auto"/>
          <w:sz w:val="22"/>
          <w:szCs w:val="22"/>
        </w:rPr>
        <w:t xml:space="preserve">86,1 %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  <w:r>
        <w:rPr>
          <w:color w:val="auto"/>
          <w:sz w:val="22"/>
          <w:szCs w:val="22"/>
        </w:rPr>
        <w:t xml:space="preserve">dosáhnout hodnoty alespoň 95 % dle ET 2020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1B. Úroveň žákovské gramotnosti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 1B.1: </w:t>
      </w:r>
      <w:r>
        <w:rPr>
          <w:color w:val="auto"/>
          <w:sz w:val="22"/>
          <w:szCs w:val="22"/>
        </w:rPr>
        <w:t xml:space="preserve">Podíl žáků, kteří dosáhli v testech PISA čtenářské, matematické a přírodovědné gramotnosti úroveň nižší než 2 (referenční úroveň ET 2020).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Definice 1 B.2:</w:t>
      </w:r>
      <w:proofErr w:type="gram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Podíl žáků, kteří dosáhli v testech PISA čtenářské, matematické a přírodovědné gramotnosti úroveň vyšší než 4.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Dostupnost dat: </w:t>
      </w:r>
      <w:r>
        <w:rPr>
          <w:color w:val="auto"/>
          <w:sz w:val="22"/>
          <w:szCs w:val="22"/>
        </w:rPr>
        <w:t xml:space="preserve">ČŠI, šetření OECD PISA (2015, 2018, 2021)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1B.1: </w:t>
      </w:r>
      <w:r>
        <w:rPr>
          <w:color w:val="auto"/>
          <w:sz w:val="22"/>
          <w:szCs w:val="22"/>
        </w:rPr>
        <w:t xml:space="preserve">pod úrovní 2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Stav roku 2009: </w:t>
      </w:r>
      <w:r>
        <w:rPr>
          <w:color w:val="auto"/>
          <w:sz w:val="22"/>
          <w:szCs w:val="22"/>
        </w:rPr>
        <w:t xml:space="preserve">čtenářská 23,1% matematická 22,3 % přírodovědná 17,3 %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Stav roku 2012: </w:t>
      </w:r>
      <w:r>
        <w:rPr>
          <w:color w:val="auto"/>
          <w:sz w:val="22"/>
          <w:szCs w:val="22"/>
        </w:rPr>
        <w:t xml:space="preserve">čtenářská 16,9 % matematická 21,0 % přírodovědná 13,8 %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1B.2: </w:t>
      </w:r>
      <w:r>
        <w:rPr>
          <w:color w:val="auto"/>
          <w:sz w:val="22"/>
          <w:szCs w:val="22"/>
        </w:rPr>
        <w:t xml:space="preserve">nad úrovní 4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Stav roku 2009: </w:t>
      </w:r>
      <w:r>
        <w:rPr>
          <w:color w:val="auto"/>
          <w:sz w:val="22"/>
          <w:szCs w:val="22"/>
        </w:rPr>
        <w:t xml:space="preserve">čtenářská 5,1 % matematická 11,6 % přírodovědná 8,4 %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Stav roku 2012: </w:t>
      </w:r>
      <w:r>
        <w:rPr>
          <w:color w:val="auto"/>
          <w:sz w:val="22"/>
          <w:szCs w:val="22"/>
        </w:rPr>
        <w:t xml:space="preserve">čtenářská 6,1 % matematická 12,9 % přírodovědná 7,6 %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</w:p>
    <w:p w:rsidR="00C27205" w:rsidRDefault="00C27205" w:rsidP="00C27205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1B.1: </w:t>
      </w:r>
      <w:r>
        <w:rPr>
          <w:color w:val="auto"/>
          <w:sz w:val="22"/>
          <w:szCs w:val="22"/>
        </w:rPr>
        <w:t xml:space="preserve">nižší než 2009/2012 (2015), výsledky dlouhodobě vykazující klesající trend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1B.2: </w:t>
      </w:r>
      <w:r>
        <w:rPr>
          <w:color w:val="auto"/>
          <w:sz w:val="22"/>
          <w:szCs w:val="22"/>
        </w:rPr>
        <w:t xml:space="preserve">vyšší než 2009/2012 (2015), výsledky dlouhodobě vykazující rostoucí trend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1C. Osoby předčasně ukončující vzdělávání a odbornou přípravu (předčasné odchody ze vzdělávání) </w:t>
      </w:r>
    </w:p>
    <w:p w:rsidR="00C27205" w:rsidRDefault="00C27205" w:rsidP="00C2720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Definice: </w:t>
      </w:r>
      <w:r>
        <w:rPr>
          <w:color w:val="auto"/>
          <w:sz w:val="22"/>
          <w:szCs w:val="22"/>
        </w:rPr>
        <w:t xml:space="preserve">referenční úroveň ET 2020 – Podíl osob ve věku 18–24 let, které dosáhly vzdělání maximálně úrovně ISCED 2 a nejsou v procesu formálního vzdělávání a odborné přípravy.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Č. j.: MSMT-40544/2014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 </w:t>
      </w:r>
    </w:p>
    <w:p w:rsidR="00C27205" w:rsidRDefault="00C27205" w:rsidP="00C27205">
      <w:pPr>
        <w:pStyle w:val="Default"/>
        <w:rPr>
          <w:color w:val="auto"/>
        </w:rPr>
      </w:pPr>
    </w:p>
    <w:p w:rsidR="00C27205" w:rsidRDefault="00C27205" w:rsidP="00C27205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Dostupnost dat: </w:t>
      </w:r>
      <w:r>
        <w:rPr>
          <w:color w:val="auto"/>
          <w:sz w:val="22"/>
          <w:szCs w:val="22"/>
        </w:rPr>
        <w:t xml:space="preserve">ČSÚ, Výběrové šetření pracovních sil (každoročně)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Aktuální stav roku 2013: </w:t>
      </w:r>
      <w:r>
        <w:rPr>
          <w:color w:val="auto"/>
          <w:sz w:val="22"/>
          <w:szCs w:val="22"/>
        </w:rPr>
        <w:t xml:space="preserve">5,4 %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  <w:r>
        <w:rPr>
          <w:color w:val="auto"/>
          <w:sz w:val="22"/>
          <w:szCs w:val="22"/>
        </w:rPr>
        <w:t xml:space="preserve">ne vyšší než 5,5 % (v souladu s národním cílem ČR v rámci Strategie Evropa 2020)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1D. Podíl mladých lidí nezaměstnaných a mimo vzdělávání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Definice: </w:t>
      </w:r>
      <w:r>
        <w:rPr>
          <w:color w:val="auto"/>
          <w:sz w:val="22"/>
          <w:szCs w:val="22"/>
        </w:rPr>
        <w:t xml:space="preserve">Podíl mladých lidí ve věku 18-24 / 15-29 let mimo vzdělávání, kteří jsou nezaměstnaní a neaktivní na trhu práce (podle klasifikace ILO).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Dostupnost dat: </w:t>
      </w:r>
      <w:proofErr w:type="spellStart"/>
      <w:r>
        <w:rPr>
          <w:color w:val="auto"/>
          <w:sz w:val="22"/>
          <w:szCs w:val="22"/>
        </w:rPr>
        <w:t>Eurostat</w:t>
      </w:r>
      <w:proofErr w:type="spellEnd"/>
      <w:r>
        <w:rPr>
          <w:color w:val="auto"/>
          <w:sz w:val="22"/>
          <w:szCs w:val="22"/>
        </w:rPr>
        <w:t xml:space="preserve">, databáze referenčních úrovní ET 2020; případně ČSÚ, Výběrové šetření pracovních sil (každoročně)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Stav roku 2013: </w:t>
      </w:r>
      <w:r>
        <w:rPr>
          <w:color w:val="auto"/>
          <w:sz w:val="22"/>
          <w:szCs w:val="22"/>
        </w:rPr>
        <w:t xml:space="preserve">11,2 % / 12,8 %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  <w:r>
        <w:rPr>
          <w:color w:val="auto"/>
          <w:sz w:val="22"/>
          <w:szCs w:val="22"/>
        </w:rPr>
        <w:t xml:space="preserve">nižší než v roce 2013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1E. Dosažené terciární vzdělání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Definice: </w:t>
      </w:r>
      <w:r>
        <w:rPr>
          <w:color w:val="auto"/>
          <w:sz w:val="22"/>
          <w:szCs w:val="22"/>
        </w:rPr>
        <w:t xml:space="preserve">Podíl osob ve věku 30–34 let, které dosáhly terciárního vzdělání (referenční úroveň ET 2020).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Dostupnost dat: </w:t>
      </w:r>
      <w:r>
        <w:rPr>
          <w:color w:val="auto"/>
          <w:sz w:val="22"/>
          <w:szCs w:val="22"/>
        </w:rPr>
        <w:t xml:space="preserve">ČSÚ, Výběrové šetření pracovních sil (každoročně)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Aktuální stav roku 2013: </w:t>
      </w:r>
      <w:r>
        <w:rPr>
          <w:color w:val="auto"/>
          <w:sz w:val="22"/>
          <w:szCs w:val="22"/>
        </w:rPr>
        <w:t xml:space="preserve">26,7 %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  <w:r>
        <w:rPr>
          <w:color w:val="auto"/>
          <w:sz w:val="22"/>
          <w:szCs w:val="22"/>
        </w:rPr>
        <w:t xml:space="preserve">minimálně 32 % (v souladu s národním cílem ČR v rámci Strategie Evropa 2020)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Pozn.: Terciární vzdělání je v souladu s mezinárodními standardy vymezeno jako kvalifikační úrovně ISCED 5 a vyšší a v kontextu ČR tedy zahrnuje absolventy vysokých i vyšších odborných škol.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1F. Účast v dalším vzdělávání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Definice: </w:t>
      </w:r>
      <w:r>
        <w:rPr>
          <w:color w:val="auto"/>
          <w:sz w:val="22"/>
          <w:szCs w:val="22"/>
        </w:rPr>
        <w:t xml:space="preserve">Podíl obyvatel ve věku 25-64 let, kteří se poslední 4 týdny před šetřením účastnily vzdělávání (formálního a neformálního).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Dostupnost dat: </w:t>
      </w:r>
      <w:proofErr w:type="spellStart"/>
      <w:r>
        <w:rPr>
          <w:color w:val="auto"/>
          <w:sz w:val="22"/>
          <w:szCs w:val="22"/>
        </w:rPr>
        <w:t>Eurostat</w:t>
      </w:r>
      <w:proofErr w:type="spellEnd"/>
      <w:r>
        <w:rPr>
          <w:color w:val="auto"/>
          <w:sz w:val="22"/>
          <w:szCs w:val="22"/>
        </w:rPr>
        <w:t xml:space="preserve">; případně ČSÚ, Výběrové šetření pracovních sil (každoročně)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Stav roku 2013: </w:t>
      </w:r>
      <w:r>
        <w:rPr>
          <w:color w:val="auto"/>
          <w:sz w:val="22"/>
          <w:szCs w:val="22"/>
        </w:rPr>
        <w:t xml:space="preserve">9,7 % </w:t>
      </w:r>
    </w:p>
    <w:p w:rsidR="00C27205" w:rsidRDefault="00C27205" w:rsidP="00C2720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  <w:r>
        <w:rPr>
          <w:color w:val="auto"/>
          <w:sz w:val="22"/>
          <w:szCs w:val="22"/>
        </w:rPr>
        <w:t xml:space="preserve">alespoň 15 % (v souladu se závazkem ČR v rámci Strategie ET 2020).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Č. j.: MSMT-40544/2014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</w:t>
      </w:r>
    </w:p>
    <w:p w:rsidR="00C27205" w:rsidRDefault="00C27205" w:rsidP="00C27205">
      <w:pPr>
        <w:pStyle w:val="Default"/>
        <w:rPr>
          <w:color w:val="auto"/>
        </w:rPr>
      </w:pPr>
    </w:p>
    <w:p w:rsidR="00C27205" w:rsidRDefault="00C27205" w:rsidP="00C27205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2. Podporovat kvalitní výuku a učitele jako její klíčový předpoklad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2A. Podíl mladých učitelů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Definice: </w:t>
      </w:r>
      <w:r>
        <w:rPr>
          <w:color w:val="auto"/>
          <w:sz w:val="22"/>
          <w:szCs w:val="22"/>
        </w:rPr>
        <w:t xml:space="preserve">Podíl učitelů veřejných škol regionálního školství (na mateřských, základních, středních a vyšších odborných školách a konzervatořích včetně škol pro žáky se speciálními vzdělávacími potřebami, učitelé bez vedoucích pracovníků) ve věku do 35 let na celkovém počtu učitelů v těchto školách.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Dostupnost dat: </w:t>
      </w:r>
      <w:r>
        <w:rPr>
          <w:color w:val="auto"/>
          <w:sz w:val="22"/>
          <w:szCs w:val="22"/>
        </w:rPr>
        <w:t xml:space="preserve">Výpočty MŠMT na základě dat přebíraných z Informačního systému o platech Ministerstva financí ČR (každoročně, data za </w:t>
      </w:r>
      <w:proofErr w:type="spellStart"/>
      <w:r>
        <w:rPr>
          <w:color w:val="auto"/>
          <w:sz w:val="22"/>
          <w:szCs w:val="22"/>
        </w:rPr>
        <w:t>celorok</w:t>
      </w:r>
      <w:proofErr w:type="spellEnd"/>
      <w:r>
        <w:rPr>
          <w:color w:val="auto"/>
          <w:sz w:val="22"/>
          <w:szCs w:val="22"/>
        </w:rPr>
        <w:t xml:space="preserve">).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Stav roku 2013: </w:t>
      </w:r>
      <w:r>
        <w:rPr>
          <w:color w:val="auto"/>
          <w:sz w:val="22"/>
          <w:szCs w:val="22"/>
        </w:rPr>
        <w:t xml:space="preserve">23,1 %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  <w:r>
        <w:rPr>
          <w:color w:val="auto"/>
          <w:sz w:val="22"/>
          <w:szCs w:val="22"/>
        </w:rPr>
        <w:t xml:space="preserve">vyšší než v roce 2013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Pozn.: </w:t>
      </w:r>
      <w:r>
        <w:rPr>
          <w:i/>
          <w:iCs/>
          <w:color w:val="auto"/>
          <w:sz w:val="22"/>
          <w:szCs w:val="22"/>
        </w:rPr>
        <w:t xml:space="preserve">Definice indikátoru může být upravena po plném zprovoznění registru pedagogických pracovníků.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2B. Míra odchodů učitelů do jiných profesí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Definice: </w:t>
      </w:r>
      <w:r>
        <w:rPr>
          <w:color w:val="auto"/>
          <w:sz w:val="22"/>
          <w:szCs w:val="22"/>
        </w:rPr>
        <w:t xml:space="preserve">Podíl učitelů odcházejících z mateřských, základních, středních a vyšších odborných škol a konzervatoří (mimo odchody do důchodu) na celkovém počtu učitelů těchto škol v daném roce.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Dostupnost dat: </w:t>
      </w:r>
      <w:r>
        <w:rPr>
          <w:color w:val="auto"/>
          <w:sz w:val="22"/>
          <w:szCs w:val="22"/>
        </w:rPr>
        <w:t xml:space="preserve">MŠMT nově připravovaný registr pedagogických pracovníků (každoročně).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Aktuální stav: </w:t>
      </w:r>
      <w:r>
        <w:rPr>
          <w:color w:val="auto"/>
          <w:sz w:val="22"/>
          <w:szCs w:val="22"/>
        </w:rPr>
        <w:t xml:space="preserve">údaj není k dispozici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  <w:r>
        <w:rPr>
          <w:color w:val="auto"/>
          <w:sz w:val="22"/>
          <w:szCs w:val="22"/>
        </w:rPr>
        <w:t xml:space="preserve">klesající trend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Pozn.: Indikátor bude vymezen po plném zprovoznění registru pedagogických pracovníků </w:t>
      </w:r>
    </w:p>
    <w:p w:rsidR="00C27205" w:rsidRDefault="00C27205" w:rsidP="00C2720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2C. Další vzdělávání učitelů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Definice: </w:t>
      </w:r>
      <w:r>
        <w:rPr>
          <w:color w:val="auto"/>
          <w:sz w:val="22"/>
          <w:szCs w:val="22"/>
        </w:rPr>
        <w:t xml:space="preserve">Podíl učitelů mateřských, základních, středních a vyšších odborných škol a konzervatoří, kteří se účastní dalšího vzdělávání v rámci DVPP.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Dostupnost dat: </w:t>
      </w:r>
      <w:r>
        <w:rPr>
          <w:color w:val="auto"/>
          <w:sz w:val="22"/>
          <w:szCs w:val="22"/>
        </w:rPr>
        <w:t xml:space="preserve">MŠMT nově připravovaný registr pedagogických pracovníků (každoročně) a na základě vlastních výpočtů dat dostupných z Informačního systému o platech Ministerstva financí ČR.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Aktuální stav: </w:t>
      </w:r>
      <w:r>
        <w:rPr>
          <w:color w:val="auto"/>
          <w:sz w:val="22"/>
          <w:szCs w:val="22"/>
        </w:rPr>
        <w:t xml:space="preserve">údaj není k dispozici </w:t>
      </w:r>
    </w:p>
    <w:p w:rsidR="00C27205" w:rsidRDefault="00C27205" w:rsidP="00C272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Cíl pro rok 2020: </w:t>
      </w:r>
      <w:r>
        <w:rPr>
          <w:color w:val="auto"/>
          <w:sz w:val="22"/>
          <w:szCs w:val="22"/>
        </w:rPr>
        <w:t xml:space="preserve">rostoucí trend </w:t>
      </w:r>
    </w:p>
    <w:p w:rsidR="00C27205" w:rsidRDefault="00C27205" w:rsidP="00C2720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Pozn.: Indikátor bude vymezen po plném zprovoznění registru pedagogických pracovníků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Č. j.: MSMT-40544/2014 </w:t>
      </w:r>
    </w:p>
    <w:p w:rsidR="00BC4389" w:rsidRDefault="00C27205" w:rsidP="00C27205">
      <w:r>
        <w:t>6</w:t>
      </w:r>
      <w:bookmarkStart w:id="0" w:name="_GoBack"/>
      <w:bookmarkEnd w:id="0"/>
    </w:p>
    <w:sectPr w:rsidR="00BC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5"/>
    <w:rsid w:val="000003D9"/>
    <w:rsid w:val="00003F87"/>
    <w:rsid w:val="00060EBE"/>
    <w:rsid w:val="00097FC2"/>
    <w:rsid w:val="000C598C"/>
    <w:rsid w:val="000C62FD"/>
    <w:rsid w:val="000D53E4"/>
    <w:rsid w:val="0013572D"/>
    <w:rsid w:val="001714E7"/>
    <w:rsid w:val="001F0E7C"/>
    <w:rsid w:val="00201F22"/>
    <w:rsid w:val="002154DB"/>
    <w:rsid w:val="00216CDD"/>
    <w:rsid w:val="0025609A"/>
    <w:rsid w:val="002915F4"/>
    <w:rsid w:val="002A4233"/>
    <w:rsid w:val="002A7CD9"/>
    <w:rsid w:val="00317BED"/>
    <w:rsid w:val="003352FD"/>
    <w:rsid w:val="0039059A"/>
    <w:rsid w:val="00394843"/>
    <w:rsid w:val="003A52B5"/>
    <w:rsid w:val="003A7E69"/>
    <w:rsid w:val="004130A7"/>
    <w:rsid w:val="004611DF"/>
    <w:rsid w:val="00484434"/>
    <w:rsid w:val="004C20D0"/>
    <w:rsid w:val="004E6F3A"/>
    <w:rsid w:val="005072C0"/>
    <w:rsid w:val="00510E46"/>
    <w:rsid w:val="00577239"/>
    <w:rsid w:val="0059786F"/>
    <w:rsid w:val="006335FD"/>
    <w:rsid w:val="00641036"/>
    <w:rsid w:val="00682268"/>
    <w:rsid w:val="006907E0"/>
    <w:rsid w:val="007213C8"/>
    <w:rsid w:val="00727953"/>
    <w:rsid w:val="00742C5D"/>
    <w:rsid w:val="007546B1"/>
    <w:rsid w:val="007757A0"/>
    <w:rsid w:val="00786982"/>
    <w:rsid w:val="007A0D98"/>
    <w:rsid w:val="007B5D32"/>
    <w:rsid w:val="00870938"/>
    <w:rsid w:val="008B60CF"/>
    <w:rsid w:val="008B78B8"/>
    <w:rsid w:val="00913BA3"/>
    <w:rsid w:val="00936D63"/>
    <w:rsid w:val="009528D7"/>
    <w:rsid w:val="0097135D"/>
    <w:rsid w:val="00971B67"/>
    <w:rsid w:val="009805D2"/>
    <w:rsid w:val="00995D27"/>
    <w:rsid w:val="00997EFC"/>
    <w:rsid w:val="009A1430"/>
    <w:rsid w:val="009C1155"/>
    <w:rsid w:val="009E663E"/>
    <w:rsid w:val="00A64BED"/>
    <w:rsid w:val="00AB7B2C"/>
    <w:rsid w:val="00AC447C"/>
    <w:rsid w:val="00AD738A"/>
    <w:rsid w:val="00B05DAF"/>
    <w:rsid w:val="00B17336"/>
    <w:rsid w:val="00B827E3"/>
    <w:rsid w:val="00BA45E0"/>
    <w:rsid w:val="00BC4389"/>
    <w:rsid w:val="00C17BB3"/>
    <w:rsid w:val="00C27205"/>
    <w:rsid w:val="00C6210F"/>
    <w:rsid w:val="00CB2F8E"/>
    <w:rsid w:val="00CF00EC"/>
    <w:rsid w:val="00D1216E"/>
    <w:rsid w:val="00D3037E"/>
    <w:rsid w:val="00DC16A3"/>
    <w:rsid w:val="00DE7B36"/>
    <w:rsid w:val="00E028BB"/>
    <w:rsid w:val="00E66B42"/>
    <w:rsid w:val="00E67EC5"/>
    <w:rsid w:val="00E96588"/>
    <w:rsid w:val="00EA1664"/>
    <w:rsid w:val="00ED25B6"/>
    <w:rsid w:val="00EF383D"/>
    <w:rsid w:val="00F11809"/>
    <w:rsid w:val="00F16AC8"/>
    <w:rsid w:val="00F16FC9"/>
    <w:rsid w:val="00F20A2D"/>
    <w:rsid w:val="00F21A11"/>
    <w:rsid w:val="00F43FCD"/>
    <w:rsid w:val="00F70E36"/>
    <w:rsid w:val="00F8153B"/>
    <w:rsid w:val="00FA33D6"/>
    <w:rsid w:val="00FB1561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7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7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2016-10-07T11:28:00Z</dcterms:created>
  <dcterms:modified xsi:type="dcterms:W3CDTF">2016-10-07T11:28:00Z</dcterms:modified>
</cp:coreProperties>
</file>