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DA73DD">
      <w:r>
        <w:t>Klasifikace jazyků</w:t>
      </w:r>
    </w:p>
    <w:p w:rsidR="00DA73DD" w:rsidRDefault="00DA73DD"/>
    <w:p w:rsidR="00DA73DD" w:rsidRDefault="00DA73DD">
      <w:r w:rsidRPr="00DA73DD">
        <w:drawing>
          <wp:inline distT="0" distB="0" distL="0" distR="0" wp14:anchorId="08AFDEF4" wp14:editId="276894B6">
            <wp:extent cx="5760720" cy="3239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E9" w:rsidRDefault="001D7FE9"/>
    <w:p w:rsidR="001D7FE9" w:rsidRDefault="001D7FE9">
      <w:r>
        <w:t>Podrobněji např. viz J. Černý, Úvod do studia jazyka</w:t>
      </w:r>
      <w:bookmarkStart w:id="0" w:name="_GoBack"/>
      <w:bookmarkEnd w:id="0"/>
    </w:p>
    <w:sectPr w:rsidR="001D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E5"/>
    <w:rsid w:val="001D7FE9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64EE5"/>
    <w:rsid w:val="00D914B7"/>
    <w:rsid w:val="00DA73DD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4E8C7-B338-4E2A-A6E3-E8B94056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2017-11-21T09:39:00Z</dcterms:created>
  <dcterms:modified xsi:type="dcterms:W3CDTF">2017-11-21T09:40:00Z</dcterms:modified>
</cp:coreProperties>
</file>